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5569A0D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:3</w:t>
            </w:r>
            <w:r w:rsidR="00B81C37">
              <w:rPr>
                <w:b/>
              </w:rPr>
              <w:t>8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29BFB53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D55C98">
              <w:t>5</w:t>
            </w:r>
            <w:r w:rsidRPr="0012669A">
              <w:t>-</w:t>
            </w:r>
            <w:r w:rsidR="00B81C37">
              <w:t>18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0C087835" w:rsidR="00141DA2" w:rsidRPr="0012669A" w:rsidRDefault="00A24521" w:rsidP="008C57B9">
            <w:r>
              <w:t>1</w:t>
            </w:r>
            <w:r w:rsidR="00B81C37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C3173D">
              <w:t>12.55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44767855" w:rsidR="00ED1096" w:rsidRPr="00C3173D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C3173D">
              <w:t>:</w:t>
            </w:r>
            <w:r w:rsidR="00EE6D7D" w:rsidRPr="00C3173D">
              <w:t xml:space="preserve"> </w:t>
            </w:r>
            <w:r w:rsidR="00EA6ACA" w:rsidRPr="00C3173D">
              <w:t>Anna-Caren Sätherberg</w:t>
            </w:r>
            <w:r w:rsidR="00120819" w:rsidRPr="00C3173D">
              <w:t xml:space="preserve"> (</w:t>
            </w:r>
            <w:r w:rsidR="00EA6ACA" w:rsidRPr="00C3173D">
              <w:t>S</w:t>
            </w:r>
            <w:r w:rsidR="00120819" w:rsidRPr="00C3173D">
              <w:t xml:space="preserve">), </w:t>
            </w:r>
            <w:r w:rsidR="00C3173D" w:rsidRPr="00C3173D">
              <w:t xml:space="preserve">Mattias Jonsson (S), </w:t>
            </w:r>
            <w:r w:rsidR="000D2552" w:rsidRPr="00C3173D">
              <w:t xml:space="preserve">Ann-Charlotte Hammar Johnsson (M), </w:t>
            </w:r>
            <w:r w:rsidR="001E59DE" w:rsidRPr="001E59DE">
              <w:t>Mattias Bäckström Johansson (SD)</w:t>
            </w:r>
            <w:r w:rsidR="001E59DE">
              <w:t xml:space="preserve">, </w:t>
            </w:r>
            <w:r w:rsidR="000D2552" w:rsidRPr="00C3173D">
              <w:t xml:space="preserve">Monica Haider (S), </w:t>
            </w:r>
            <w:r w:rsidR="00533131" w:rsidRPr="00C3173D">
              <w:t xml:space="preserve">Helena Lindahl (C), </w:t>
            </w:r>
            <w:r w:rsidR="002054AD" w:rsidRPr="00C3173D">
              <w:t xml:space="preserve">Birger Lahti (V), </w:t>
            </w:r>
            <w:r w:rsidR="00EE6D7D" w:rsidRPr="00C3173D">
              <w:t xml:space="preserve">Lotta Olsson (M), </w:t>
            </w:r>
            <w:r w:rsidR="000D2552" w:rsidRPr="00C3173D">
              <w:t xml:space="preserve">Tobias Andersson (SD), Camilla Brodin (KD), </w:t>
            </w:r>
            <w:r w:rsidR="00EE6D7D" w:rsidRPr="00C3173D">
              <w:t xml:space="preserve">Åsa Eriksson (S), </w:t>
            </w:r>
            <w:r w:rsidR="00744776" w:rsidRPr="00C3173D">
              <w:t xml:space="preserve">Joar Forssell (L), </w:t>
            </w:r>
            <w:r w:rsidR="00F35D4C" w:rsidRPr="00C3173D">
              <w:t xml:space="preserve">Eric Palmqvist (SD), </w:t>
            </w:r>
            <w:r w:rsidR="00F35D4C" w:rsidRPr="00C3173D">
              <w:rPr>
                <w:snapToGrid w:val="0"/>
              </w:rPr>
              <w:t xml:space="preserve">Patrik Engström (S), </w:t>
            </w:r>
            <w:r w:rsidR="00EA6ACA" w:rsidRPr="00C3173D">
              <w:t xml:space="preserve">Elisabeth Björnsdotter Rahm (M), </w:t>
            </w:r>
            <w:r w:rsidR="00355D1B" w:rsidRPr="00C3173D">
              <w:rPr>
                <w:snapToGrid w:val="0"/>
              </w:rPr>
              <w:t>Josef Fransson (SD)</w:t>
            </w:r>
            <w:r w:rsidR="005722E5" w:rsidRPr="00C3173D">
              <w:rPr>
                <w:snapToGrid w:val="0"/>
              </w:rPr>
              <w:t xml:space="preserve">, </w:t>
            </w:r>
            <w:r w:rsidR="0084769B" w:rsidRPr="00C3173D">
              <w:rPr>
                <w:snapToGrid w:val="0"/>
              </w:rPr>
              <w:t>Lorena Delgado Varas (V)</w:t>
            </w:r>
            <w:r w:rsidR="00C3173D" w:rsidRPr="00C3173D">
              <w:rPr>
                <w:snapToGrid w:val="0"/>
              </w:rPr>
              <w:t xml:space="preserve">, Niels Paarup-Petersen (C), </w:t>
            </w:r>
            <w:r w:rsidR="00C3173D" w:rsidRPr="00BA1A2A">
              <w:t xml:space="preserve">Amanda Palmstierna (MP) </w:t>
            </w:r>
            <w:r w:rsidR="00EA6ACA" w:rsidRPr="00C3173D">
              <w:t xml:space="preserve">och </w:t>
            </w:r>
            <w:hyperlink r:id="rId8" w:history="1">
              <w:r w:rsidR="0015720C" w:rsidRPr="00C3173D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C3173D">
              <w:t>(S)</w:t>
            </w:r>
            <w:r w:rsidR="00EA6ACA" w:rsidRPr="00C3173D">
              <w:t>.</w:t>
            </w:r>
          </w:p>
          <w:p w14:paraId="6B0B07AC" w14:textId="4ECD1E02" w:rsidR="00ED1096" w:rsidRPr="00ED1096" w:rsidRDefault="00C3173D" w:rsidP="00ED1096">
            <w:pPr>
              <w:ind w:right="68"/>
            </w:pPr>
            <w:r>
              <w:t>Tre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Pr="007D34ED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4ED">
              <w:rPr>
                <w:b/>
                <w:snapToGrid w:val="0"/>
              </w:rPr>
              <w:t xml:space="preserve">§ </w:t>
            </w:r>
            <w:r w:rsidR="000427D7" w:rsidRPr="007D34ED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8FFCDFA" w14:textId="61AD8887" w:rsidR="001116B8" w:rsidRDefault="00B81C37" w:rsidP="001116B8">
            <w:pPr>
              <w:pStyle w:val="Kommentarer"/>
              <w:rPr>
                <w:color w:val="222222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Att mäta effekter av näringspolitiska insatser</w:t>
            </w:r>
          </w:p>
          <w:p w14:paraId="2A8594E3" w14:textId="77777777" w:rsidR="00B81C37" w:rsidRDefault="00B81C37" w:rsidP="001116B8">
            <w:pPr>
              <w:pStyle w:val="Kommentarer"/>
              <w:rPr>
                <w:color w:val="222222"/>
                <w:sz w:val="24"/>
                <w:szCs w:val="24"/>
              </w:rPr>
            </w:pPr>
          </w:p>
          <w:p w14:paraId="6041F116" w14:textId="77777777" w:rsidR="00C3173D" w:rsidRDefault="00B81C37" w:rsidP="001E59DE">
            <w:pPr>
              <w:pStyle w:val="Kommentarer"/>
              <w:rPr>
                <w:sz w:val="24"/>
                <w:szCs w:val="24"/>
              </w:rPr>
            </w:pPr>
            <w:r w:rsidRPr="00B81C37">
              <w:rPr>
                <w:color w:val="000000"/>
                <w:sz w:val="24"/>
                <w:szCs w:val="24"/>
              </w:rPr>
              <w:t xml:space="preserve">Generaldirektör Sverker Härd, avdelningschef Peter </w:t>
            </w:r>
            <w:proofErr w:type="spellStart"/>
            <w:r w:rsidRPr="00B81C37">
              <w:rPr>
                <w:color w:val="000000"/>
                <w:sz w:val="24"/>
                <w:szCs w:val="24"/>
              </w:rPr>
              <w:t>Frykblom</w:t>
            </w:r>
            <w:proofErr w:type="spellEnd"/>
            <w:r w:rsidRPr="00B81C37">
              <w:rPr>
                <w:color w:val="000000"/>
                <w:sz w:val="24"/>
                <w:szCs w:val="24"/>
              </w:rPr>
              <w:t>, avdelningschef Thomas Pettersson Westerberg</w:t>
            </w:r>
            <w:r>
              <w:rPr>
                <w:color w:val="000000"/>
                <w:sz w:val="24"/>
                <w:szCs w:val="24"/>
              </w:rPr>
              <w:t xml:space="preserve"> och </w:t>
            </w:r>
            <w:r w:rsidRPr="00B81C37">
              <w:rPr>
                <w:color w:val="000000"/>
                <w:sz w:val="24"/>
                <w:szCs w:val="24"/>
              </w:rPr>
              <w:t xml:space="preserve">avdelningschef Håkan Gadd, Tillväxtanalys, forskningsledare Enrico </w:t>
            </w:r>
            <w:proofErr w:type="spellStart"/>
            <w:r w:rsidRPr="00B81C37">
              <w:rPr>
                <w:color w:val="000000"/>
                <w:sz w:val="24"/>
                <w:szCs w:val="24"/>
              </w:rPr>
              <w:t>Deiaco</w:t>
            </w:r>
            <w:proofErr w:type="spellEnd"/>
            <w:r w:rsidRPr="00B81C37">
              <w:rPr>
                <w:color w:val="000000"/>
                <w:sz w:val="24"/>
                <w:szCs w:val="24"/>
              </w:rPr>
              <w:t>, Entreprenörskapsforum</w:t>
            </w:r>
            <w:r w:rsidRPr="00B81C37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B81C37">
              <w:rPr>
                <w:color w:val="000000"/>
                <w:sz w:val="24"/>
                <w:szCs w:val="24"/>
              </w:rPr>
              <w:t xml:space="preserve">generaldirektör Gunilla Nordlöf, enhetschef Anna </w:t>
            </w:r>
            <w:proofErr w:type="spellStart"/>
            <w:r w:rsidRPr="00B81C37">
              <w:rPr>
                <w:color w:val="000000"/>
                <w:sz w:val="24"/>
                <w:szCs w:val="24"/>
              </w:rPr>
              <w:t>Ryttberg</w:t>
            </w:r>
            <w:proofErr w:type="spellEnd"/>
            <w:r w:rsidRPr="00B81C37">
              <w:rPr>
                <w:color w:val="000000"/>
                <w:sz w:val="24"/>
                <w:szCs w:val="24"/>
              </w:rPr>
              <w:t xml:space="preserve"> och enhetschef Kristian Seth, Tillväxtverket, produktionschef Marcus Edholm, Delta Nordic Sweden AB, generaldirektör </w:t>
            </w:r>
            <w:proofErr w:type="spellStart"/>
            <w:r w:rsidRPr="00B81C37">
              <w:rPr>
                <w:color w:val="000000"/>
                <w:sz w:val="24"/>
                <w:szCs w:val="24"/>
              </w:rPr>
              <w:t>Darja</w:t>
            </w:r>
            <w:proofErr w:type="spellEnd"/>
            <w:r w:rsidRPr="00B81C37">
              <w:rPr>
                <w:color w:val="000000"/>
                <w:sz w:val="24"/>
                <w:szCs w:val="24"/>
              </w:rPr>
              <w:t xml:space="preserve"> Isaksson och stf generaldirektör Göran Marklund, </w:t>
            </w:r>
            <w:proofErr w:type="spellStart"/>
            <w:r w:rsidRPr="00B81C37">
              <w:rPr>
                <w:color w:val="000000"/>
                <w:sz w:val="24"/>
                <w:szCs w:val="24"/>
              </w:rPr>
              <w:t>Vinnova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och </w:t>
            </w:r>
            <w:r w:rsidRPr="00B81C37">
              <w:rPr>
                <w:color w:val="000000"/>
                <w:sz w:val="24"/>
                <w:szCs w:val="24"/>
              </w:rPr>
              <w:t xml:space="preserve">verkställande direktör Lotta Ljungqvist, </w:t>
            </w:r>
            <w:proofErr w:type="spellStart"/>
            <w:r w:rsidRPr="00B81C37">
              <w:rPr>
                <w:color w:val="000000"/>
                <w:sz w:val="24"/>
                <w:szCs w:val="24"/>
              </w:rPr>
              <w:t>Cytiva</w:t>
            </w:r>
            <w:proofErr w:type="spellEnd"/>
            <w:r w:rsidRPr="00B81C37">
              <w:rPr>
                <w:color w:val="000000"/>
                <w:sz w:val="24"/>
                <w:szCs w:val="24"/>
              </w:rPr>
              <w:t xml:space="preserve"> Testa Center AB</w:t>
            </w:r>
            <w:r w:rsidR="001116B8" w:rsidRPr="00B81C37">
              <w:rPr>
                <w:color w:val="222222"/>
                <w:sz w:val="24"/>
                <w:szCs w:val="24"/>
              </w:rPr>
              <w:t xml:space="preserve">, var uppkopplade per videolänk </w:t>
            </w:r>
            <w:r w:rsidR="00C3173D">
              <w:rPr>
                <w:color w:val="000000"/>
                <w:sz w:val="24"/>
                <w:szCs w:val="24"/>
              </w:rPr>
              <w:t xml:space="preserve">och </w:t>
            </w:r>
            <w:r w:rsidR="001E59DE" w:rsidRPr="001E59DE">
              <w:rPr>
                <w:sz w:val="24"/>
                <w:szCs w:val="24"/>
              </w:rPr>
              <w:t xml:space="preserve">deltog </w:t>
            </w:r>
            <w:r w:rsidR="001E59DE">
              <w:rPr>
                <w:sz w:val="24"/>
                <w:szCs w:val="24"/>
              </w:rPr>
              <w:br/>
            </w:r>
            <w:r w:rsidR="001E59DE" w:rsidRPr="001E59DE">
              <w:rPr>
                <w:sz w:val="24"/>
                <w:szCs w:val="24"/>
              </w:rPr>
              <w:t>vid utskottets interna kunskapsseminarium om att mäta effekter av näringspolitiska insatser</w:t>
            </w:r>
            <w:r w:rsidR="001E59DE">
              <w:rPr>
                <w:sz w:val="24"/>
                <w:szCs w:val="24"/>
              </w:rPr>
              <w:t>.</w:t>
            </w:r>
          </w:p>
          <w:p w14:paraId="66C7D585" w14:textId="1E98A014" w:rsidR="001E59DE" w:rsidRPr="00717A47" w:rsidRDefault="001E59DE" w:rsidP="001E59DE">
            <w:pPr>
              <w:pStyle w:val="Kommentarer"/>
              <w:rPr>
                <w:rFonts w:ascii="inherit" w:hAnsi="inherit"/>
                <w:color w:val="222222"/>
                <w:sz w:val="24"/>
                <w:szCs w:val="24"/>
              </w:rPr>
            </w:pPr>
          </w:p>
        </w:tc>
      </w:tr>
      <w:tr w:rsidR="00B81C37" w:rsidRPr="0012669A" w14:paraId="67D26CB5" w14:textId="77777777" w:rsidTr="00823B30">
        <w:trPr>
          <w:trHeight w:val="919"/>
        </w:trPr>
        <w:tc>
          <w:tcPr>
            <w:tcW w:w="567" w:type="dxa"/>
          </w:tcPr>
          <w:p w14:paraId="65058556" w14:textId="1D8D3A0D" w:rsidR="00B81C37" w:rsidRPr="007D34ED" w:rsidRDefault="00B81C3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3D0508D3" w14:textId="77777777" w:rsidR="00B81C37" w:rsidRDefault="00B81C37" w:rsidP="00B81C37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05306C8F" w14:textId="77777777" w:rsidR="00B81C37" w:rsidRDefault="00B81C37" w:rsidP="00B81C37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2D0F4C26" w14:textId="77777777" w:rsidR="00B81C37" w:rsidRDefault="00B81C37" w:rsidP="00B81C37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423351">
              <w:rPr>
                <w:snapToGrid w:val="0"/>
                <w:sz w:val="24"/>
                <w:szCs w:val="24"/>
              </w:rPr>
              <w:t>Utskottet justerade protokoll 2020/21:3</w:t>
            </w:r>
            <w:r>
              <w:rPr>
                <w:snapToGrid w:val="0"/>
                <w:sz w:val="24"/>
                <w:szCs w:val="24"/>
              </w:rPr>
              <w:t>7</w:t>
            </w:r>
            <w:r w:rsidRPr="00423351">
              <w:rPr>
                <w:snapToGrid w:val="0"/>
                <w:sz w:val="24"/>
                <w:szCs w:val="24"/>
              </w:rPr>
              <w:t>.</w:t>
            </w:r>
            <w:r w:rsidRPr="0042335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1049DBB" w14:textId="77777777" w:rsidR="00B81C37" w:rsidRDefault="00B81C37" w:rsidP="00B81C37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  <w:p w14:paraId="1FD920F7" w14:textId="3EE92386" w:rsidR="00B81C37" w:rsidRDefault="00B81C37" w:rsidP="00B81C3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3351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B81C37" w:rsidRPr="0012669A" w14:paraId="60E56124" w14:textId="77777777" w:rsidTr="00823B30">
        <w:trPr>
          <w:trHeight w:val="919"/>
        </w:trPr>
        <w:tc>
          <w:tcPr>
            <w:tcW w:w="567" w:type="dxa"/>
          </w:tcPr>
          <w:p w14:paraId="2C34AF54" w14:textId="579DFE82" w:rsidR="00B81C37" w:rsidRDefault="00B81C3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365A9554" w14:textId="77777777" w:rsidR="00B81C37" w:rsidRDefault="00B81C37" w:rsidP="00B81C3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Fråga om utskottsinitiativ om åtgärder avseende stöd vid korttidsarbete</w:t>
            </w:r>
          </w:p>
          <w:p w14:paraId="4C1F885D" w14:textId="35108642" w:rsidR="00B81C37" w:rsidRDefault="00B81C37" w:rsidP="00B81C37"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napToGrid w:val="0"/>
              </w:rPr>
              <w:t xml:space="preserve">frågan om ett utskottsinitiativ </w:t>
            </w:r>
            <w:r w:rsidR="001E59DE">
              <w:t>om åtgärder avseende stöd vid korttidsarbete.</w:t>
            </w:r>
          </w:p>
          <w:p w14:paraId="6A88473D" w14:textId="77777777" w:rsidR="00B81C37" w:rsidRPr="00EC6162" w:rsidRDefault="00B81C37" w:rsidP="00B81C37">
            <w:pPr>
              <w:rPr>
                <w:snapToGrid w:val="0"/>
              </w:rPr>
            </w:pPr>
          </w:p>
          <w:p w14:paraId="7C36E468" w14:textId="74E8BFF7" w:rsidR="00B81C37" w:rsidRPr="001210A1" w:rsidRDefault="00B81C37" w:rsidP="00B81C37">
            <w:pPr>
              <w:spacing w:after="100" w:afterAutospacing="1"/>
              <w:rPr>
                <w:b/>
                <w:color w:val="222222"/>
              </w:rPr>
            </w:pPr>
            <w:r>
              <w:rPr>
                <w:snapToGrid w:val="0"/>
              </w:rPr>
              <w:t>Ärendet bordlades.</w:t>
            </w:r>
            <w:r>
              <w:rPr>
                <w:snapToGrid w:val="0"/>
              </w:rPr>
              <w:br/>
            </w:r>
          </w:p>
        </w:tc>
      </w:tr>
      <w:tr w:rsidR="00B81C37" w:rsidRPr="0012669A" w14:paraId="24812CF6" w14:textId="77777777" w:rsidTr="00823B30">
        <w:trPr>
          <w:trHeight w:val="919"/>
        </w:trPr>
        <w:tc>
          <w:tcPr>
            <w:tcW w:w="567" w:type="dxa"/>
          </w:tcPr>
          <w:p w14:paraId="47CB7FDC" w14:textId="7D3B7D19" w:rsidR="00B81C37" w:rsidRDefault="00B81C3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41D4D355" w14:textId="68878A3D" w:rsidR="00B81C37" w:rsidRDefault="00B81C37" w:rsidP="00B81C3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Beslut om överläggning</w:t>
            </w:r>
            <w:r w:rsidR="001E59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information</w:t>
            </w:r>
          </w:p>
          <w:p w14:paraId="2955152B" w14:textId="77777777" w:rsidR="001E59DE" w:rsidRDefault="00B81C37" w:rsidP="00B81C37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beslutade med stöd av 7 kap. 12 § riksdagsordningen att begära överläggning med regeringen om revidering av EU:s energimål för förnybar energi och energieffektivitet. </w:t>
            </w:r>
          </w:p>
          <w:p w14:paraId="64F4F5A8" w14:textId="4019E558" w:rsidR="00B81C37" w:rsidRPr="00B81C37" w:rsidRDefault="001E59DE" w:rsidP="00B81C37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t>Vidare beslutade utskottet att begära information från regeringen om genomförandet av EU:s upphovsrättsdirektiv.</w:t>
            </w:r>
            <w:r w:rsidR="00B81C37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295DAE" w:rsidRPr="0012669A" w14:paraId="6DADEC0F" w14:textId="77777777" w:rsidTr="00823B30">
        <w:trPr>
          <w:trHeight w:val="919"/>
        </w:trPr>
        <w:tc>
          <w:tcPr>
            <w:tcW w:w="567" w:type="dxa"/>
          </w:tcPr>
          <w:p w14:paraId="29ECAA48" w14:textId="08AD2F07" w:rsidR="00295DAE" w:rsidRPr="007D34ED" w:rsidRDefault="00295DA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1C37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7F585BC" w14:textId="77777777" w:rsidR="00B81C37" w:rsidRPr="001210A1" w:rsidRDefault="00B81C37" w:rsidP="00B81C37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</w:t>
            </w:r>
            <w:r>
              <w:rPr>
                <w:b/>
                <w:color w:val="222222"/>
              </w:rPr>
              <w:t>men</w:t>
            </w:r>
            <w:r w:rsidRPr="001210A1">
              <w:rPr>
                <w:b/>
                <w:color w:val="222222"/>
              </w:rPr>
              <w:t xml:space="preserve"> skrivelse</w:t>
            </w:r>
          </w:p>
          <w:p w14:paraId="41183245" w14:textId="3699B976" w:rsidR="00B81C37" w:rsidRDefault="00B81C37" w:rsidP="00B81C37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1210A1">
              <w:rPr>
                <w:color w:val="222222"/>
              </w:rPr>
              <w:t xml:space="preserve">Anmäldes </w:t>
            </w:r>
            <w:r>
              <w:rPr>
                <w:color w:val="222222"/>
              </w:rPr>
              <w:t>inkom</w:t>
            </w:r>
            <w:r w:rsidR="00C3173D">
              <w:rPr>
                <w:color w:val="222222"/>
              </w:rPr>
              <w:t>men</w:t>
            </w:r>
            <w:r>
              <w:rPr>
                <w:color w:val="222222"/>
              </w:rPr>
              <w:t xml:space="preserve"> skrivelse</w:t>
            </w:r>
            <w:r w:rsidRPr="001210A1">
              <w:rPr>
                <w:color w:val="222222"/>
              </w:rPr>
              <w:t xml:space="preserve">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</w:t>
            </w:r>
            <w:r w:rsidR="00C3173D">
              <w:rPr>
                <w:color w:val="222222"/>
              </w:rPr>
              <w:t>sen</w:t>
            </w:r>
            <w:r>
              <w:rPr>
                <w:color w:val="222222"/>
              </w:rPr>
              <w:t xml:space="preserve"> lades till handlingarna.</w:t>
            </w:r>
          </w:p>
          <w:p w14:paraId="774D5B21" w14:textId="51870C2B" w:rsidR="003B7DF2" w:rsidRPr="00295DAE" w:rsidRDefault="003B7DF2" w:rsidP="00B81C37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355342D6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B81C37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5796C667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2314F">
              <w:rPr>
                <w:bCs/>
                <w:snapToGrid w:val="0"/>
              </w:rPr>
              <w:t>t</w:t>
            </w:r>
            <w:r w:rsidR="00B81C37">
              <w:rPr>
                <w:bCs/>
                <w:snapToGrid w:val="0"/>
              </w:rPr>
              <w:t>ors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B81C37">
              <w:rPr>
                <w:color w:val="000000"/>
              </w:rPr>
              <w:t>20</w:t>
            </w:r>
            <w:r w:rsidR="00342684">
              <w:rPr>
                <w:color w:val="000000"/>
              </w:rPr>
              <w:t xml:space="preserve"> maj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B81C37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1D8A4DB1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81C37">
              <w:t>20</w:t>
            </w:r>
            <w:r w:rsidR="00342684">
              <w:t xml:space="preserve"> maj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4500E36" w:rsidR="00310EFE" w:rsidRPr="00355D1B" w:rsidRDefault="00355D1B" w:rsidP="004D48A7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</w:tc>
      </w:tr>
    </w:tbl>
    <w:p w14:paraId="12BB618A" w14:textId="44B1F611" w:rsidR="00D55C98" w:rsidRDefault="00D55C98">
      <w:r>
        <w:br/>
      </w:r>
    </w:p>
    <w:p w14:paraId="7A39BEEB" w14:textId="77777777" w:rsidR="00D55C98" w:rsidRDefault="00D55C98">
      <w:r>
        <w:br w:type="page"/>
      </w:r>
    </w:p>
    <w:p w14:paraId="7FE9BAD8" w14:textId="77777777" w:rsidR="00EA6ACA" w:rsidRDefault="00EA6ACA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0E889D5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0686F">
              <w:rPr>
                <w:rFonts w:ascii="Times New Roman" w:hAnsi="Times New Roman"/>
                <w:sz w:val="22"/>
                <w:szCs w:val="22"/>
              </w:rPr>
              <w:t>3</w:t>
            </w:r>
            <w:r w:rsidR="00B81C3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14:paraId="7332C8AB" w14:textId="77777777" w:rsidTr="0044542E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426CB95C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C3173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3A74BBD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0F0C50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941E8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941E8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941E8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22059A9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152D02E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941E8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038963A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7AD531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941E8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2E051C9A" w:rsidR="002770CB" w:rsidRPr="0012669A" w:rsidRDefault="00C317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48C0EAF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5FDCF1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941E8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4C08BDC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3A26046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941E8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B63EFB4" w:rsidR="002770CB" w:rsidRPr="0012669A" w:rsidRDefault="001E59D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3217C5F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5F8423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941E8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0664EE6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6B654D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941E8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43EF9A11" w:rsidR="002770CB" w:rsidRPr="0012669A" w:rsidRDefault="0053313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691ADC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854F7C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941E8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0165B543" w:rsidR="002770CB" w:rsidRPr="0012669A" w:rsidRDefault="00D55C9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391449C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5EB303E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941E8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4683667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14A8C67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941E8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231F36A0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39FEEF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29D2F3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941E8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941E8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F7F5CAE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042E16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1CE1377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941E8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246C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071927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941E8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4B6CE4C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6B0927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941E8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EA53395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B9291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5946FD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941E8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15270CA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30EF11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33369F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941E8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161DFC5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5E87DA4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452B3B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941E8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941E8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435FE323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1CCD70C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67A31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941E8">
        <w:tc>
          <w:tcPr>
            <w:tcW w:w="3123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B4D1EAC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106BF80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2A75FB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941E8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941E8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941E8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3E6BB309" w:rsidR="002770CB" w:rsidRPr="0012669A" w:rsidRDefault="001E59D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191702C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529531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941E8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941E8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1765CDD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22D35FA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941E8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5150CC61" w:rsidR="002D58EB" w:rsidRPr="0012669A" w:rsidRDefault="0053313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2209095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109A6E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941E8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941E8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941E8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941E8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941E8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941E8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941E8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941E8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941E8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941E8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941E8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941E8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941E8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BA1A2A" w14:paraId="2A8FF496" w14:textId="77777777" w:rsidTr="000941E8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941E8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68BF5E1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09854EE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941E8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3B34B376" w:rsidR="002770CB" w:rsidRPr="0012669A" w:rsidRDefault="00C317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3795F10B" w:rsidR="002770CB" w:rsidRPr="0012669A" w:rsidRDefault="00C317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5A31B37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6D1D58BE" w:rsidR="0032557B" w:rsidRPr="0015720C" w:rsidRDefault="008D59FE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30F023E9" w:rsidR="0032557B" w:rsidRPr="00BE0F75" w:rsidRDefault="00B81C3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4FB93F7A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2FB10C4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2B8ED443" w14:textId="1824741D" w:rsidR="00A13700" w:rsidRDefault="00A13700" w:rsidP="00E332F6">
      <w:pPr>
        <w:spacing w:after="77" w:line="259" w:lineRule="auto"/>
        <w:ind w:right="25"/>
        <w:jc w:val="right"/>
      </w:pPr>
    </w:p>
    <w:p w14:paraId="0F771624" w14:textId="16C22AD5" w:rsidR="00B81C37" w:rsidRDefault="00B81C37" w:rsidP="00942FA5">
      <w:pPr>
        <w:spacing w:after="77" w:line="259" w:lineRule="auto"/>
        <w:ind w:right="25"/>
        <w:jc w:val="right"/>
      </w:pPr>
      <w:r>
        <w:br/>
      </w:r>
    </w:p>
    <w:p w14:paraId="09D4944A" w14:textId="77777777" w:rsidR="00444C32" w:rsidRDefault="00444C32" w:rsidP="00A13700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6F429" w14:textId="77777777" w:rsidR="005D2B9A" w:rsidRDefault="005D2B9A" w:rsidP="002130F1">
      <w:r>
        <w:separator/>
      </w:r>
    </w:p>
  </w:endnote>
  <w:endnote w:type="continuationSeparator" w:id="0">
    <w:p w14:paraId="568ADC0D" w14:textId="77777777" w:rsidR="005D2B9A" w:rsidRDefault="005D2B9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474BE" w14:textId="77777777" w:rsidR="005D2B9A" w:rsidRDefault="005D2B9A" w:rsidP="002130F1">
      <w:r>
        <w:separator/>
      </w:r>
    </w:p>
  </w:footnote>
  <w:footnote w:type="continuationSeparator" w:id="0">
    <w:p w14:paraId="278B983C" w14:textId="77777777" w:rsidR="005D2B9A" w:rsidRDefault="005D2B9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10"/>
  </w:num>
  <w:num w:numId="7">
    <w:abstractNumId w:val="6"/>
  </w:num>
  <w:num w:numId="8">
    <w:abstractNumId w:val="19"/>
  </w:num>
  <w:num w:numId="9">
    <w:abstractNumId w:val="9"/>
  </w:num>
  <w:num w:numId="10">
    <w:abstractNumId w:val="17"/>
  </w:num>
  <w:num w:numId="11">
    <w:abstractNumId w:val="27"/>
  </w:num>
  <w:num w:numId="12">
    <w:abstractNumId w:val="23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0"/>
  </w:num>
  <w:num w:numId="18">
    <w:abstractNumId w:val="25"/>
  </w:num>
  <w:num w:numId="19">
    <w:abstractNumId w:val="15"/>
  </w:num>
  <w:num w:numId="20">
    <w:abstractNumId w:val="0"/>
  </w:num>
  <w:num w:numId="21">
    <w:abstractNumId w:val="5"/>
  </w:num>
  <w:num w:numId="22">
    <w:abstractNumId w:val="21"/>
  </w:num>
  <w:num w:numId="23">
    <w:abstractNumId w:val="14"/>
  </w:num>
  <w:num w:numId="24">
    <w:abstractNumId w:val="22"/>
  </w:num>
  <w:num w:numId="25">
    <w:abstractNumId w:val="8"/>
  </w:num>
  <w:num w:numId="26">
    <w:abstractNumId w:val="16"/>
  </w:num>
  <w:num w:numId="27">
    <w:abstractNumId w:val="24"/>
  </w:num>
  <w:num w:numId="28">
    <w:abstractNumId w:val="7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079C0"/>
    <w:rsid w:val="000102DD"/>
    <w:rsid w:val="0001039A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2FEA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6B8"/>
    <w:rsid w:val="00112178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38A0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2655"/>
    <w:rsid w:val="001B43F9"/>
    <w:rsid w:val="001B5342"/>
    <w:rsid w:val="001B6CAE"/>
    <w:rsid w:val="001C0623"/>
    <w:rsid w:val="001C2B7B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D71CD"/>
    <w:rsid w:val="001E0BA2"/>
    <w:rsid w:val="001E10D7"/>
    <w:rsid w:val="001E1CC3"/>
    <w:rsid w:val="001E59DE"/>
    <w:rsid w:val="001E625D"/>
    <w:rsid w:val="001E682F"/>
    <w:rsid w:val="001E6EE5"/>
    <w:rsid w:val="001F0CF0"/>
    <w:rsid w:val="001F24AF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14F"/>
    <w:rsid w:val="002234F9"/>
    <w:rsid w:val="00224578"/>
    <w:rsid w:val="00225570"/>
    <w:rsid w:val="0022564B"/>
    <w:rsid w:val="00227526"/>
    <w:rsid w:val="00231D5D"/>
    <w:rsid w:val="002331D8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6857"/>
    <w:rsid w:val="00266C5B"/>
    <w:rsid w:val="00271E64"/>
    <w:rsid w:val="00273580"/>
    <w:rsid w:val="00274EC7"/>
    <w:rsid w:val="00276EED"/>
    <w:rsid w:val="002770CB"/>
    <w:rsid w:val="002779BC"/>
    <w:rsid w:val="00280FBF"/>
    <w:rsid w:val="0028147A"/>
    <w:rsid w:val="0029208A"/>
    <w:rsid w:val="00292B8E"/>
    <w:rsid w:val="002959B7"/>
    <w:rsid w:val="00295DAE"/>
    <w:rsid w:val="00297258"/>
    <w:rsid w:val="00297761"/>
    <w:rsid w:val="002A057E"/>
    <w:rsid w:val="002A1912"/>
    <w:rsid w:val="002A2024"/>
    <w:rsid w:val="002A294F"/>
    <w:rsid w:val="002A3009"/>
    <w:rsid w:val="002A61C3"/>
    <w:rsid w:val="002A7ECE"/>
    <w:rsid w:val="002B00B4"/>
    <w:rsid w:val="002B0571"/>
    <w:rsid w:val="002B2BDC"/>
    <w:rsid w:val="002B4785"/>
    <w:rsid w:val="002B6776"/>
    <w:rsid w:val="002C0153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DF2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1C99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274B"/>
    <w:rsid w:val="00423168"/>
    <w:rsid w:val="00423351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31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22E5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DE1"/>
    <w:rsid w:val="005B31DA"/>
    <w:rsid w:val="005B556C"/>
    <w:rsid w:val="005C023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2B9A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2DF5"/>
    <w:rsid w:val="006D3872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17A47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A0B2E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59FE"/>
    <w:rsid w:val="008D7422"/>
    <w:rsid w:val="008D7A19"/>
    <w:rsid w:val="008E2702"/>
    <w:rsid w:val="008E3BA3"/>
    <w:rsid w:val="008E77C4"/>
    <w:rsid w:val="008F0875"/>
    <w:rsid w:val="008F0C8C"/>
    <w:rsid w:val="008F0F47"/>
    <w:rsid w:val="008F41E3"/>
    <w:rsid w:val="008F7E02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2FA5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9786E"/>
    <w:rsid w:val="009A1763"/>
    <w:rsid w:val="009A3F2A"/>
    <w:rsid w:val="009A62F8"/>
    <w:rsid w:val="009B0293"/>
    <w:rsid w:val="009B6981"/>
    <w:rsid w:val="009C0D35"/>
    <w:rsid w:val="009C2E2A"/>
    <w:rsid w:val="009C3D26"/>
    <w:rsid w:val="009C412E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722"/>
    <w:rsid w:val="00A25DBE"/>
    <w:rsid w:val="00A342BD"/>
    <w:rsid w:val="00A3477C"/>
    <w:rsid w:val="00A3598F"/>
    <w:rsid w:val="00A376B8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57CBD"/>
    <w:rsid w:val="00A619DC"/>
    <w:rsid w:val="00A6311B"/>
    <w:rsid w:val="00A63874"/>
    <w:rsid w:val="00A64150"/>
    <w:rsid w:val="00A642E5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08"/>
    <w:rsid w:val="00A737ED"/>
    <w:rsid w:val="00A73C14"/>
    <w:rsid w:val="00A74486"/>
    <w:rsid w:val="00A75E66"/>
    <w:rsid w:val="00A769E6"/>
    <w:rsid w:val="00A76AD4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4122"/>
    <w:rsid w:val="00AD5CC2"/>
    <w:rsid w:val="00AD5FE5"/>
    <w:rsid w:val="00AE2211"/>
    <w:rsid w:val="00AE2321"/>
    <w:rsid w:val="00AE239C"/>
    <w:rsid w:val="00AE3FBE"/>
    <w:rsid w:val="00AE48B3"/>
    <w:rsid w:val="00AE4E93"/>
    <w:rsid w:val="00AE5EE9"/>
    <w:rsid w:val="00AF0AA7"/>
    <w:rsid w:val="00AF0FD4"/>
    <w:rsid w:val="00AF25A0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100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C37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1A2A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73D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6F1E"/>
    <w:rsid w:val="00CC7BF8"/>
    <w:rsid w:val="00CD056E"/>
    <w:rsid w:val="00CD10C2"/>
    <w:rsid w:val="00CD11E2"/>
    <w:rsid w:val="00CD1393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1004"/>
    <w:rsid w:val="00D4469E"/>
    <w:rsid w:val="00D4691C"/>
    <w:rsid w:val="00D46F51"/>
    <w:rsid w:val="00D476BB"/>
    <w:rsid w:val="00D47FF3"/>
    <w:rsid w:val="00D50BF1"/>
    <w:rsid w:val="00D51ACC"/>
    <w:rsid w:val="00D52365"/>
    <w:rsid w:val="00D55C98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A8B"/>
    <w:rsid w:val="00D741CB"/>
    <w:rsid w:val="00D7441E"/>
    <w:rsid w:val="00D7662F"/>
    <w:rsid w:val="00D76C23"/>
    <w:rsid w:val="00D80E3C"/>
    <w:rsid w:val="00D81B04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BD5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11EA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4A9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E58A3-011F-459D-8BCF-7403F461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4210</Characters>
  <Application>Microsoft Office Word</Application>
  <DocSecurity>4</DocSecurity>
  <Lines>1403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2021-05-04T12:33:00Z</cp:lastPrinted>
  <dcterms:created xsi:type="dcterms:W3CDTF">2021-05-21T13:24:00Z</dcterms:created>
  <dcterms:modified xsi:type="dcterms:W3CDTF">2021-05-21T13:24:00Z</dcterms:modified>
</cp:coreProperties>
</file>