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018A0">
              <w:rPr>
                <w:sz w:val="20"/>
              </w:rPr>
              <w:t>4</w:t>
            </w:r>
            <w:r w:rsidRPr="009C2227">
              <w:rPr>
                <w:sz w:val="20"/>
              </w:rPr>
              <w:t>-</w:t>
            </w:r>
            <w:r w:rsidR="0022486A">
              <w:rPr>
                <w:sz w:val="20"/>
              </w:rPr>
              <w:t>22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F62AC1" w:rsidP="003D0C0C">
            <w:pPr>
              <w:rPr>
                <w:sz w:val="20"/>
              </w:rPr>
            </w:pPr>
            <w:r w:rsidRPr="006F7B83">
              <w:rPr>
                <w:sz w:val="20"/>
              </w:rPr>
              <w:t>0</w:t>
            </w:r>
            <w:r w:rsidR="006F7B83" w:rsidRPr="006F7B83">
              <w:rPr>
                <w:sz w:val="20"/>
              </w:rPr>
              <w:t>7</w:t>
            </w:r>
            <w:r w:rsidR="0050083A" w:rsidRPr="006F7B83">
              <w:rPr>
                <w:sz w:val="20"/>
              </w:rPr>
              <w:t>:</w:t>
            </w:r>
            <w:r w:rsidR="006F7B83" w:rsidRPr="006F7B83">
              <w:rPr>
                <w:sz w:val="20"/>
              </w:rPr>
              <w:t>3</w:t>
            </w:r>
            <w:r w:rsidRPr="006F7B83">
              <w:rPr>
                <w:sz w:val="20"/>
              </w:rPr>
              <w:t>0</w:t>
            </w:r>
            <w:r w:rsidR="0050083A" w:rsidRPr="006F7B83">
              <w:rPr>
                <w:sz w:val="20"/>
              </w:rPr>
              <w:t>-</w:t>
            </w:r>
            <w:r w:rsidR="006F7B83" w:rsidRPr="006F7B83">
              <w:rPr>
                <w:sz w:val="20"/>
              </w:rPr>
              <w:t>10</w:t>
            </w:r>
            <w:r w:rsidR="00A07D75" w:rsidRPr="006F7B83">
              <w:rPr>
                <w:sz w:val="20"/>
              </w:rPr>
              <w:t>:</w:t>
            </w:r>
            <w:r w:rsidR="006F7B83" w:rsidRPr="006F7B83">
              <w:rPr>
                <w:sz w:val="20"/>
              </w:rPr>
              <w:t>00</w:t>
            </w:r>
            <w:r w:rsidR="00A07D75" w:rsidRPr="006F7B83">
              <w:rPr>
                <w:sz w:val="20"/>
              </w:rPr>
              <w:br/>
            </w:r>
            <w:r w:rsidR="006F7B83" w:rsidRPr="006F7B83">
              <w:rPr>
                <w:sz w:val="20"/>
              </w:rPr>
              <w:t>10</w:t>
            </w:r>
            <w:r w:rsidR="00A07D75" w:rsidRPr="006F7B83">
              <w:rPr>
                <w:sz w:val="20"/>
              </w:rPr>
              <w:t>:</w:t>
            </w:r>
            <w:r w:rsidR="006F7B83" w:rsidRPr="006F7B83">
              <w:rPr>
                <w:sz w:val="20"/>
              </w:rPr>
              <w:t>05</w:t>
            </w:r>
            <w:r w:rsidR="00A07D75" w:rsidRPr="006F7B83">
              <w:rPr>
                <w:sz w:val="20"/>
              </w:rPr>
              <w:t>-</w:t>
            </w:r>
            <w:r w:rsidR="003029E0" w:rsidRPr="006F7B83">
              <w:rPr>
                <w:sz w:val="20"/>
              </w:rPr>
              <w:t>1</w:t>
            </w:r>
            <w:r w:rsidR="006F7B83" w:rsidRPr="006F7B83">
              <w:rPr>
                <w:sz w:val="20"/>
              </w:rPr>
              <w:t>2</w:t>
            </w:r>
            <w:r w:rsidR="003029E0" w:rsidRPr="006F7B83">
              <w:rPr>
                <w:sz w:val="20"/>
              </w:rPr>
              <w:t>:</w:t>
            </w:r>
            <w:r w:rsidR="006F7B83" w:rsidRPr="006F7B83">
              <w:rPr>
                <w:sz w:val="20"/>
              </w:rPr>
              <w:t>45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Pr="009C2227" w:rsidRDefault="00D53F07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F017A" w:rsidRPr="004B367D" w:rsidTr="00EB67C8">
        <w:trPr>
          <w:trHeight w:val="884"/>
        </w:trPr>
        <w:tc>
          <w:tcPr>
            <w:tcW w:w="567" w:type="dxa"/>
          </w:tcPr>
          <w:p w:rsidR="007F017A" w:rsidRPr="00235B16" w:rsidRDefault="007F017A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56F37" w:rsidRDefault="007F017A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Ukraina (tillsammans med försvarsutskottet)</w:t>
            </w:r>
          </w:p>
          <w:p w:rsidR="00D56F37" w:rsidRDefault="00D56F37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017A" w:rsidRDefault="006F7B83" w:rsidP="00F00BD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abinettssekreterare Robert Rydberg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</w:t>
            </w:r>
            <w:r w:rsidR="00D56F37"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tatssekreterare Jan-Olof Lind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56F37"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 Försvarsdepartementet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om säkerhetsläget i Ukraina. Samtliga deltog fysiskt.</w:t>
            </w:r>
          </w:p>
          <w:p w:rsidR="00D56F37" w:rsidRDefault="00D56F37" w:rsidP="00F00BD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F017A" w:rsidRDefault="00D56F37" w:rsidP="00D56F3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6F7B83" w:rsidRDefault="006F7B83" w:rsidP="00D56F37">
            <w:pPr>
              <w:rPr>
                <w:bCs/>
                <w:color w:val="000000"/>
                <w:szCs w:val="24"/>
              </w:rPr>
            </w:pPr>
          </w:p>
          <w:p w:rsidR="006F7B83" w:rsidRDefault="006F7B83" w:rsidP="00D56F3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</w:t>
            </w:r>
            <w:r w:rsidR="002C242F">
              <w:rPr>
                <w:bCs/>
                <w:color w:val="000000"/>
                <w:szCs w:val="24"/>
              </w:rPr>
              <w:t>att</w:t>
            </w:r>
            <w:r>
              <w:rPr>
                <w:bCs/>
                <w:color w:val="000000"/>
                <w:szCs w:val="24"/>
              </w:rPr>
              <w:t xml:space="preserve"> tystnadsplikt enligt § 7 kap. 20 § riksdagsordningen ska gälla för de uppgifter som 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abinettssekreteraren </w:t>
            </w:r>
            <w:r>
              <w:rPr>
                <w:bCs/>
                <w:color w:val="000000"/>
                <w:szCs w:val="24"/>
              </w:rPr>
              <w:t>lämnat om bedömningar av Rysslands avsikter.</w:t>
            </w:r>
          </w:p>
          <w:p w:rsidR="006F7B83" w:rsidRDefault="006F7B83" w:rsidP="00D56F37">
            <w:pPr>
              <w:rPr>
                <w:bCs/>
                <w:color w:val="000000"/>
                <w:szCs w:val="24"/>
              </w:rPr>
            </w:pPr>
          </w:p>
          <w:p w:rsidR="006F7B83" w:rsidRDefault="006F7B83" w:rsidP="00D56F3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D56F37" w:rsidRDefault="00D56F37" w:rsidP="00D56F3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F017A" w:rsidRPr="004B367D" w:rsidTr="00EB67C8">
        <w:trPr>
          <w:trHeight w:val="884"/>
        </w:trPr>
        <w:tc>
          <w:tcPr>
            <w:tcW w:w="567" w:type="dxa"/>
          </w:tcPr>
          <w:p w:rsidR="007F017A" w:rsidRDefault="007F017A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D56F37" w:rsidRDefault="007F017A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Natos utbildnings- och rådgivningsinsats Resolute Support Mission i Afghanistan (tillsammans med försvarsutskottet)</w:t>
            </w:r>
          </w:p>
          <w:p w:rsidR="00E519C7" w:rsidRDefault="00E519C7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19C7" w:rsidRDefault="00E519C7" w:rsidP="00E519C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abinettssekreterare Robert Rydberg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tatssekreterare Jan-Olof Lind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Försvarsdepartementet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generalmajor Lena Persson Herlitz med medarbetare från Försvarsmakten informerade utskottet om s</w:t>
            </w:r>
            <w:r w:rsidRPr="00E519C7">
              <w:rPr>
                <w:rFonts w:eastAsiaTheme="minorHAnsi"/>
                <w:bCs/>
                <w:color w:val="000000"/>
                <w:szCs w:val="24"/>
                <w:lang w:eastAsia="en-US"/>
              </w:rPr>
              <w:t>venskt deltagande i Natos utbildnings- och rådgivningsinsats Resolute Support Mission i Afghanistan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 Samtliga deltog fysiskt.</w:t>
            </w:r>
          </w:p>
          <w:p w:rsidR="00E519C7" w:rsidRDefault="00E519C7" w:rsidP="00E519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F37" w:rsidRDefault="00E519C7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7F017A" w:rsidRDefault="007F017A" w:rsidP="00D56F3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F017A" w:rsidRPr="004B367D" w:rsidTr="00EB67C8">
        <w:trPr>
          <w:trHeight w:val="884"/>
        </w:trPr>
        <w:tc>
          <w:tcPr>
            <w:tcW w:w="567" w:type="dxa"/>
          </w:tcPr>
          <w:p w:rsidR="007F017A" w:rsidRDefault="007F017A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EF5653" w:rsidRDefault="007F017A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den militära utbildningsinsatsen i Irak (tillsammans med försvarsutskottet)</w:t>
            </w:r>
          </w:p>
          <w:p w:rsidR="00EF5653" w:rsidRDefault="00EF5653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1569" w:rsidRDefault="00D21569" w:rsidP="00D2156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abinettssekreterare Robert Rydberg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tatssekreterare Jan-Olof Lind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Försvarsdepartementet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generalmajor Lena Persson Herlitz med medarbetare från Försvarsmakten informerade utskottet om </w:t>
            </w:r>
            <w:r w:rsidRPr="00D21569">
              <w:rPr>
                <w:rFonts w:eastAsiaTheme="minorHAnsi"/>
                <w:bCs/>
                <w:color w:val="000000"/>
                <w:szCs w:val="24"/>
                <w:lang w:eastAsia="en-US"/>
              </w:rPr>
              <w:t>svenskt deltagande i den militära utbildningsinsatsen i Irak.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Samtliga deltog fysiskt.</w:t>
            </w:r>
          </w:p>
          <w:p w:rsidR="00D21569" w:rsidRDefault="00D21569" w:rsidP="00D2156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21569" w:rsidRDefault="00D21569" w:rsidP="00EF5653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507E71" w:rsidRDefault="00507E71" w:rsidP="00EF5653">
            <w:pPr>
              <w:rPr>
                <w:bCs/>
                <w:color w:val="000000"/>
                <w:szCs w:val="24"/>
              </w:rPr>
            </w:pPr>
          </w:p>
          <w:p w:rsidR="00507E71" w:rsidRDefault="00507E71" w:rsidP="00EF5653">
            <w:pPr>
              <w:rPr>
                <w:bCs/>
                <w:color w:val="000000"/>
                <w:szCs w:val="24"/>
              </w:rPr>
            </w:pPr>
          </w:p>
          <w:p w:rsidR="00D56F37" w:rsidRDefault="00D56F37" w:rsidP="00EF565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F017A" w:rsidRPr="004B367D" w:rsidTr="00EB67C8">
        <w:trPr>
          <w:trHeight w:val="884"/>
        </w:trPr>
        <w:tc>
          <w:tcPr>
            <w:tcW w:w="567" w:type="dxa"/>
          </w:tcPr>
          <w:p w:rsidR="007F017A" w:rsidRDefault="007F017A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</w:tcPr>
          <w:p w:rsidR="00D21569" w:rsidRDefault="007F017A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Förenta nationernas stabiliseringsinsats i Mali (tillsammans med försvarsutskottet)</w:t>
            </w:r>
          </w:p>
          <w:p w:rsidR="00D21569" w:rsidRDefault="00D21569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1569" w:rsidRPr="00D21569" w:rsidRDefault="00D21569" w:rsidP="00D2156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abinettssekreterare Robert Rydberg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tatssekreterare Jan-Olof Lind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Försvarsdepartementet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generalmajor Lena Persson Herlitz med medarbetare från Försvarsmakten informerade utskottet om </w:t>
            </w:r>
            <w:r w:rsidRPr="00D21569">
              <w:rPr>
                <w:rFonts w:eastAsiaTheme="minorHAnsi"/>
                <w:bCs/>
                <w:color w:val="000000"/>
                <w:szCs w:val="24"/>
                <w:lang w:eastAsia="en-US"/>
              </w:rPr>
              <w:t>svenskt deltagande i Förenta nationernas stabiliseringsinsats i Mali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D2156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D21569" w:rsidRDefault="00D21569" w:rsidP="00D2156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Samtliga deltog fysiskt.</w:t>
            </w:r>
          </w:p>
          <w:p w:rsidR="00D21569" w:rsidRDefault="00D21569" w:rsidP="00D2156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F37" w:rsidRDefault="00D21569" w:rsidP="00D2156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 w:rsidR="007F017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6D1BAB" w:rsidRPr="004B367D" w:rsidTr="00EB67C8">
        <w:trPr>
          <w:trHeight w:val="884"/>
        </w:trPr>
        <w:tc>
          <w:tcPr>
            <w:tcW w:w="567" w:type="dxa"/>
          </w:tcPr>
          <w:p w:rsidR="006D1BAB" w:rsidRDefault="006D1BA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6D1BAB" w:rsidRPr="00B75675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10:00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6D1BAB" w:rsidRPr="00B75675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6D1BAB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10:05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6D1BAB" w:rsidRDefault="006D1BAB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D03A9" w:rsidRPr="004B367D" w:rsidTr="00EB67C8">
        <w:trPr>
          <w:trHeight w:val="884"/>
        </w:trPr>
        <w:tc>
          <w:tcPr>
            <w:tcW w:w="567" w:type="dxa"/>
          </w:tcPr>
          <w:p w:rsidR="003D03A9" w:rsidRDefault="003D03A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5 </w:t>
            </w:r>
          </w:p>
        </w:tc>
        <w:tc>
          <w:tcPr>
            <w:tcW w:w="6947" w:type="dxa"/>
          </w:tcPr>
          <w:p w:rsidR="003D03A9" w:rsidRPr="00235B16" w:rsidRDefault="003D03A9" w:rsidP="003D03A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3D03A9" w:rsidRDefault="003D03A9" w:rsidP="003D03A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D03A9" w:rsidRDefault="003D03A9" w:rsidP="003D03A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55FB4">
              <w:rPr>
                <w:szCs w:val="26"/>
              </w:rPr>
              <w:t xml:space="preserve">Utskottet medgav deltagande på distans för följande ordinarie ledamöter och suppleanter: </w:t>
            </w:r>
            <w:r w:rsidRPr="00F572F4">
              <w:rPr>
                <w:szCs w:val="26"/>
              </w:rPr>
              <w:t>Hans Wallmark (M),</w:t>
            </w:r>
            <w:r w:rsidR="004160EF">
              <w:rPr>
                <w:szCs w:val="26"/>
              </w:rPr>
              <w:t xml:space="preserve"> Olle Thorell (S),</w:t>
            </w:r>
            <w:r w:rsidRPr="00F572F4">
              <w:rPr>
                <w:szCs w:val="26"/>
              </w:rPr>
              <w:t xml:space="preserve"> Hans Rothenberg (M),</w:t>
            </w:r>
            <w:r w:rsidR="004160EF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, </w:t>
            </w:r>
            <w:r w:rsidRPr="00F572F4">
              <w:rPr>
                <w:szCs w:val="26"/>
              </w:rPr>
              <w:t xml:space="preserve">Jamal El-Haj (S), Kerstin Lundgren (C), Håkan Svenneling (V), Margareta Cederfelt (M), Björn Söder (SD), Lars Adaktusson (KD), Annika Strandhäll (S), </w:t>
            </w:r>
            <w:r>
              <w:rPr>
                <w:szCs w:val="26"/>
              </w:rPr>
              <w:t xml:space="preserve">Fredrik Malm (L), </w:t>
            </w:r>
            <w:r w:rsidRPr="00F572F4">
              <w:rPr>
                <w:szCs w:val="26"/>
              </w:rPr>
              <w:t>Mats Nordberg (SD), Camilla Hansén (MP), Magnus Ek (C), Diana Laitinen Carlsson (S), Helena Antoni (M),</w:t>
            </w:r>
            <w:r w:rsidRPr="00F572F4">
              <w:t xml:space="preserve"> </w:t>
            </w:r>
            <w:r w:rsidRPr="00F572F4">
              <w:rPr>
                <w:szCs w:val="26"/>
              </w:rPr>
              <w:t>Sara Gille (SD), Yasmine Posio (V), Gudrun Brunegård (KD), Cecilia Widegren (M)</w:t>
            </w:r>
            <w:r>
              <w:rPr>
                <w:szCs w:val="26"/>
              </w:rPr>
              <w:t xml:space="preserve"> </w:t>
            </w:r>
            <w:r w:rsidRPr="00F572F4">
              <w:rPr>
                <w:szCs w:val="26"/>
              </w:rPr>
              <w:t>och Jessika Roswall (M).</w:t>
            </w:r>
          </w:p>
          <w:p w:rsidR="004160EF" w:rsidRDefault="003D03A9" w:rsidP="003D03A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  <w:t>Två</w:t>
            </w:r>
            <w:r w:rsidRPr="00357397">
              <w:rPr>
                <w:szCs w:val="26"/>
              </w:rPr>
              <w:t xml:space="preserve"> t</w:t>
            </w:r>
            <w:r w:rsidRPr="00915970">
              <w:rPr>
                <w:szCs w:val="26"/>
              </w:rPr>
              <w:t>jänstemän från utrikesutskottets kansli var uppkopplade på distans</w:t>
            </w:r>
            <w:r w:rsidR="004160EF">
              <w:rPr>
                <w:szCs w:val="26"/>
              </w:rPr>
              <w:t>.</w:t>
            </w:r>
          </w:p>
          <w:p w:rsidR="004160EF" w:rsidRDefault="004160EF" w:rsidP="003D03A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3D03A9" w:rsidRDefault="004160EF" w:rsidP="003D03A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En t</w:t>
            </w:r>
            <w:r w:rsidR="003D03A9">
              <w:rPr>
                <w:szCs w:val="26"/>
              </w:rPr>
              <w:t>jänsteman från EU-nämnden kansli v</w:t>
            </w:r>
            <w:r w:rsidR="003D03A9" w:rsidRPr="00235B16">
              <w:rPr>
                <w:szCs w:val="26"/>
              </w:rPr>
              <w:t>ar uppkopplad på distans</w:t>
            </w:r>
            <w:r w:rsidR="003D03A9">
              <w:rPr>
                <w:szCs w:val="26"/>
              </w:rPr>
              <w:t xml:space="preserve"> </w:t>
            </w:r>
            <w:r w:rsidR="003D03A9">
              <w:rPr>
                <w:rFonts w:eastAsiaTheme="minorHAnsi"/>
                <w:bCs/>
                <w:color w:val="000000"/>
                <w:szCs w:val="24"/>
                <w:lang w:eastAsia="en-US"/>
              </w:rPr>
              <w:t>under</w:t>
            </w:r>
            <w:r w:rsidR="003D03A9" w:rsidRPr="00D02C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3D03A9">
              <w:rPr>
                <w:rFonts w:eastAsiaTheme="minorHAnsi"/>
                <w:bCs/>
                <w:color w:val="000000"/>
                <w:szCs w:val="24"/>
                <w:lang w:eastAsia="en-US"/>
              </w:rPr>
              <w:t>sammanträdet vid punkt 16 på föredragningslistan.</w:t>
            </w:r>
          </w:p>
          <w:p w:rsidR="003D03A9" w:rsidRDefault="003D03A9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7D7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07D75" w:rsidRPr="00EE482B" w:rsidRDefault="00A07D7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1BA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:rsidR="00A07D75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Afrika (UU16)</w:t>
            </w:r>
          </w:p>
          <w:p w:rsidR="00A07D75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D1BAB" w:rsidRPr="002D2635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6D1BAB" w:rsidRPr="002D2635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1BAB" w:rsidRPr="002D2635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gramStart"/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16</w:t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D1BAB" w:rsidRPr="002D2635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07D75" w:rsidRPr="009158A0" w:rsidRDefault="006D1BAB" w:rsidP="009158A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158A0">
              <w:rPr>
                <w:rFonts w:eastAsiaTheme="minorHAnsi"/>
                <w:bCs/>
                <w:color w:val="000000"/>
                <w:szCs w:val="24"/>
                <w:lang w:eastAsia="en-US"/>
              </w:rPr>
              <w:t>SD-, V- och KD-ledamöterna anmälde reservationer</w:t>
            </w:r>
            <w:r w:rsidR="00E5662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M- och C-ledamöterna anmälde </w:t>
            </w:r>
            <w:r w:rsidR="00E56628">
              <w:t>särskilda yttranden.</w:t>
            </w:r>
            <w:r w:rsidRPr="009158A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9158A0" w:rsidRPr="00EE482B" w:rsidRDefault="009158A0" w:rsidP="009158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C551E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C551E" w:rsidRDefault="006D1BAB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:rsidR="006D1BAB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2020 (UU6y)</w:t>
            </w:r>
          </w:p>
          <w:p w:rsidR="006D1BAB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D1BAB" w:rsidRPr="00A54233" w:rsidRDefault="006D1BAB" w:rsidP="006D1BA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ingen av </w:t>
            </w: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yttrande till konstitutionsutskottet över skrivelse 2020/21:75 och redogörelse 2020/21:RS4.</w:t>
            </w:r>
          </w:p>
          <w:p w:rsidR="006D1BAB" w:rsidRPr="00EC3A82" w:rsidRDefault="006D1BAB" w:rsidP="006D1BAB">
            <w:pPr>
              <w:rPr>
                <w:bCs/>
                <w:color w:val="000000"/>
                <w:szCs w:val="24"/>
              </w:rPr>
            </w:pPr>
          </w:p>
          <w:p w:rsidR="006D1BAB" w:rsidRDefault="006D1BAB" w:rsidP="006D1B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2020/</w:t>
            </w:r>
            <w:proofErr w:type="gramStart"/>
            <w:r>
              <w:rPr>
                <w:color w:val="000000"/>
                <w:szCs w:val="24"/>
              </w:rPr>
              <w:t>21:UU</w:t>
            </w:r>
            <w:proofErr w:type="gramEnd"/>
            <w:r>
              <w:rPr>
                <w:color w:val="000000"/>
                <w:szCs w:val="24"/>
              </w:rPr>
              <w:t>6y</w:t>
            </w:r>
            <w:r w:rsidR="00B5478D">
              <w:rPr>
                <w:color w:val="000000"/>
                <w:szCs w:val="24"/>
              </w:rPr>
              <w:t>.</w:t>
            </w:r>
          </w:p>
          <w:p w:rsidR="00AC551E" w:rsidRDefault="00AC551E" w:rsidP="00462F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478D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B5478D" w:rsidRDefault="002B0EE7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:rsidR="00B5478D" w:rsidRPr="004B487F" w:rsidRDefault="00B5478D" w:rsidP="00B547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B487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Organisationen för säkerhet och samarbete i Europa (OSSE) (UU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12</w:t>
            </w:r>
            <w:r w:rsidRPr="004B487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B5478D" w:rsidRPr="004B487F" w:rsidRDefault="00B5478D" w:rsidP="00B547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5478D" w:rsidRPr="004B487F" w:rsidRDefault="00B5478D" w:rsidP="00B5478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fortsatte behandlingen av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redogörelse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gramStart"/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:OSSE</w:t>
            </w:r>
            <w:proofErr w:type="gramEnd"/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147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B5478D" w:rsidRPr="004B487F" w:rsidRDefault="00B5478D" w:rsidP="00B5478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5478D" w:rsidRPr="00A54233" w:rsidRDefault="00B5478D" w:rsidP="00B547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2B0EE7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B0EE7" w:rsidRDefault="002B0EE7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9 </w:t>
            </w:r>
          </w:p>
        </w:tc>
        <w:tc>
          <w:tcPr>
            <w:tcW w:w="6947" w:type="dxa"/>
            <w:shd w:val="clear" w:color="auto" w:fill="auto"/>
          </w:tcPr>
          <w:p w:rsidR="002B0EE7" w:rsidRDefault="002B0EE7" w:rsidP="00B547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feministisk utrikespolitik</w:t>
            </w:r>
          </w:p>
          <w:p w:rsidR="002B0EE7" w:rsidRDefault="002B0EE7" w:rsidP="00B547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B0EE7" w:rsidRPr="002B0EE7" w:rsidRDefault="002B0EE7" w:rsidP="002B0EE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Ambassadör Ann Bernes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om u</w:t>
            </w:r>
            <w:r w:rsidRPr="002B0EE7">
              <w:rPr>
                <w:rFonts w:eastAsiaTheme="minorHAnsi"/>
                <w:bCs/>
                <w:color w:val="000000"/>
                <w:szCs w:val="24"/>
                <w:lang w:eastAsia="en-US"/>
              </w:rPr>
              <w:t>ppföljning av feministisk utrikespolitik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B0EE7" w:rsidRDefault="002B0EE7" w:rsidP="002B0EE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2B0EE7" w:rsidRDefault="002B0EE7" w:rsidP="002B0EE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2B0EE7" w:rsidRPr="004B487F" w:rsidRDefault="002B0EE7" w:rsidP="002B0EE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C32F7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C32F7" w:rsidRDefault="00AC32F7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:rsidR="00AC32F7" w:rsidRDefault="00AC32F7" w:rsidP="00AC32F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Inspektionen för strategiska produkter (ISP)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AC32F7" w:rsidRPr="002B0EE7" w:rsidRDefault="00AC32F7" w:rsidP="00AC32F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Generaldirektör Carl Johan Wieslander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ISP informerade om i</w:t>
            </w:r>
            <w:r w:rsidRPr="001E6F6D">
              <w:rPr>
                <w:rFonts w:eastAsiaTheme="minorHAnsi"/>
                <w:bCs/>
                <w:color w:val="000000"/>
                <w:szCs w:val="24"/>
                <w:lang w:eastAsia="en-US"/>
              </w:rPr>
              <w:t>nspektionen för strategiska produkter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C32F7" w:rsidRDefault="00AC32F7" w:rsidP="00AC32F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C32F7" w:rsidRDefault="00AC32F7" w:rsidP="00AC32F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AC32F7" w:rsidRDefault="00AC32F7" w:rsidP="00B547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30E31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630E31" w:rsidRDefault="00630E31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AC32F7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:rsidR="00AE5CEC" w:rsidRPr="00915970" w:rsidRDefault="00AE5CEC" w:rsidP="00AE5CEC">
            <w:pPr>
              <w:rPr>
                <w:b/>
                <w:bCs/>
                <w:color w:val="000000"/>
                <w:szCs w:val="24"/>
              </w:rPr>
            </w:pPr>
            <w:r w:rsidRPr="00915970"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AE5CEC" w:rsidRPr="00915970" w:rsidRDefault="00AE5CEC" w:rsidP="00AE5CEC">
            <w:pPr>
              <w:rPr>
                <w:b/>
                <w:bCs/>
                <w:color w:val="000000"/>
                <w:szCs w:val="24"/>
              </w:rPr>
            </w:pPr>
          </w:p>
          <w:p w:rsidR="00AE5CEC" w:rsidRPr="00915970" w:rsidRDefault="00AE5CEC" w:rsidP="00AE5CEC">
            <w:pPr>
              <w:rPr>
                <w:bCs/>
                <w:color w:val="000000"/>
                <w:szCs w:val="24"/>
              </w:rPr>
            </w:pPr>
            <w:r w:rsidRPr="00915970">
              <w:rPr>
                <w:bCs/>
                <w:color w:val="000000"/>
                <w:szCs w:val="24"/>
              </w:rPr>
              <w:t xml:space="preserve">Utskottet beslutade om att sammanträda samtidigt med arbetsplenum torsdagen den </w:t>
            </w:r>
            <w:r>
              <w:rPr>
                <w:bCs/>
                <w:color w:val="000000"/>
                <w:szCs w:val="24"/>
              </w:rPr>
              <w:t>22 april</w:t>
            </w:r>
            <w:r w:rsidRPr="00915970">
              <w:rPr>
                <w:bCs/>
                <w:color w:val="000000"/>
                <w:szCs w:val="24"/>
              </w:rPr>
              <w:t xml:space="preserve"> 2021 kl. 12</w:t>
            </w:r>
            <w:r w:rsidR="00BC2EE6">
              <w:rPr>
                <w:bCs/>
                <w:color w:val="000000"/>
                <w:szCs w:val="24"/>
              </w:rPr>
              <w:t>:</w:t>
            </w:r>
            <w:r w:rsidRPr="00915970">
              <w:rPr>
                <w:bCs/>
                <w:color w:val="000000"/>
                <w:szCs w:val="24"/>
              </w:rPr>
              <w:t>00.</w:t>
            </w:r>
          </w:p>
          <w:p w:rsidR="00AE5CEC" w:rsidRPr="00915970" w:rsidRDefault="00AE5CEC" w:rsidP="00AE5CEC">
            <w:pPr>
              <w:rPr>
                <w:bCs/>
                <w:color w:val="000000"/>
                <w:szCs w:val="24"/>
              </w:rPr>
            </w:pPr>
          </w:p>
          <w:p w:rsidR="00AE5CEC" w:rsidRPr="006230EE" w:rsidRDefault="00AE5CEC" w:rsidP="00AE5CEC">
            <w:pPr>
              <w:rPr>
                <w:bCs/>
                <w:color w:val="000000"/>
                <w:szCs w:val="24"/>
                <w:highlight w:val="yellow"/>
              </w:rPr>
            </w:pPr>
            <w:r w:rsidRPr="00915970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630E31" w:rsidRDefault="00630E31" w:rsidP="00B547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7D7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07D75" w:rsidRDefault="00A07D7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1BAB">
              <w:rPr>
                <w:b/>
                <w:snapToGrid w:val="0"/>
                <w:szCs w:val="24"/>
              </w:rPr>
              <w:t>1</w:t>
            </w:r>
            <w:r w:rsidR="00536FF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:rsidR="00A07D75" w:rsidRPr="001F6030" w:rsidRDefault="002A571E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F60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</w:t>
            </w:r>
            <w:r w:rsidR="00A07D75" w:rsidRPr="001F60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(UU4)</w:t>
            </w: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030">
              <w:rPr>
                <w:color w:val="000000"/>
                <w:szCs w:val="24"/>
              </w:rPr>
              <w:t xml:space="preserve">Utskottet </w:t>
            </w:r>
            <w:r w:rsidR="006D1BAB">
              <w:rPr>
                <w:color w:val="000000"/>
                <w:szCs w:val="24"/>
              </w:rPr>
              <w:t xml:space="preserve">fortsatte </w:t>
            </w:r>
            <w:r w:rsidRPr="001F6030">
              <w:rPr>
                <w:color w:val="000000"/>
                <w:szCs w:val="24"/>
              </w:rPr>
              <w:t>behandl</w:t>
            </w:r>
            <w:r w:rsidR="006D1BAB">
              <w:rPr>
                <w:color w:val="000000"/>
                <w:szCs w:val="24"/>
              </w:rPr>
              <w:t>ingen av</w:t>
            </w:r>
            <w:r w:rsidR="006E011E" w:rsidRPr="001F6030">
              <w:rPr>
                <w:color w:val="000000"/>
                <w:szCs w:val="24"/>
              </w:rPr>
              <w:t xml:space="preserve"> redogörelse 2020/21:NR1,</w:t>
            </w:r>
            <w:r w:rsidRPr="001F6030">
              <w:rPr>
                <w:color w:val="000000"/>
                <w:szCs w:val="24"/>
              </w:rPr>
              <w:t xml:space="preserve"> skrivelse 2020/21:90</w:t>
            </w:r>
            <w:r w:rsidR="006E011E" w:rsidRPr="001F6030">
              <w:rPr>
                <w:color w:val="000000"/>
                <w:szCs w:val="24"/>
              </w:rPr>
              <w:t xml:space="preserve"> och motioner.</w:t>
            </w: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030">
              <w:rPr>
                <w:color w:val="000000"/>
                <w:szCs w:val="24"/>
              </w:rPr>
              <w:t>Ärendet bordlades.</w:t>
            </w: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E011E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6E011E" w:rsidRDefault="006E011E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6FF6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7" w:type="dxa"/>
            <w:shd w:val="clear" w:color="auto" w:fill="auto"/>
          </w:tcPr>
          <w:p w:rsidR="006E011E" w:rsidRPr="001F6030" w:rsidRDefault="006E011E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F60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granskning av Sidas garantiverksamhet (UU11)</w:t>
            </w:r>
          </w:p>
          <w:p w:rsidR="006E011E" w:rsidRPr="001F6030" w:rsidRDefault="006E011E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E011E" w:rsidRPr="00536FF6" w:rsidRDefault="006E011E" w:rsidP="006E01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36FF6">
              <w:rPr>
                <w:color w:val="000000"/>
                <w:szCs w:val="24"/>
              </w:rPr>
              <w:t xml:space="preserve">Utskottet </w:t>
            </w:r>
            <w:r w:rsidR="00536FF6" w:rsidRPr="00536FF6">
              <w:rPr>
                <w:color w:val="000000"/>
                <w:szCs w:val="24"/>
              </w:rPr>
              <w:t xml:space="preserve">fortsatte </w:t>
            </w:r>
            <w:r w:rsidRPr="00536FF6">
              <w:rPr>
                <w:color w:val="000000"/>
                <w:szCs w:val="24"/>
              </w:rPr>
              <w:t>behandl</w:t>
            </w:r>
            <w:r w:rsidR="00536FF6" w:rsidRPr="00536FF6">
              <w:rPr>
                <w:color w:val="000000"/>
                <w:szCs w:val="24"/>
              </w:rPr>
              <w:t xml:space="preserve">ingen av </w:t>
            </w:r>
            <w:r w:rsidRPr="00536FF6">
              <w:rPr>
                <w:color w:val="000000"/>
                <w:szCs w:val="24"/>
              </w:rPr>
              <w:t>skrivelse 2020/21:117 och motioner.</w:t>
            </w:r>
          </w:p>
          <w:p w:rsidR="006E011E" w:rsidRPr="00536FF6" w:rsidRDefault="006E011E" w:rsidP="006E01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E011E" w:rsidRDefault="006E011E" w:rsidP="00A07D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36FF6">
              <w:rPr>
                <w:color w:val="000000"/>
                <w:szCs w:val="24"/>
              </w:rPr>
              <w:t>Ärendet bordlades.</w:t>
            </w:r>
          </w:p>
          <w:p w:rsidR="00D53F07" w:rsidRPr="001F6030" w:rsidRDefault="00D53F07" w:rsidP="00A07D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E011E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6E011E" w:rsidRPr="00A54233" w:rsidRDefault="006E011E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54233">
              <w:rPr>
                <w:b/>
                <w:snapToGrid w:val="0"/>
                <w:szCs w:val="24"/>
              </w:rPr>
              <w:t xml:space="preserve">§ </w:t>
            </w:r>
            <w:r w:rsidR="00536FF6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7" w:type="dxa"/>
            <w:shd w:val="clear" w:color="auto" w:fill="auto"/>
          </w:tcPr>
          <w:p w:rsidR="00536FF6" w:rsidRDefault="00536FF6" w:rsidP="00536FF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Europarådet (UU13)</w:t>
            </w:r>
          </w:p>
          <w:p w:rsidR="00536FF6" w:rsidRDefault="00536FF6" w:rsidP="00536FF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36FF6" w:rsidRPr="008F1372" w:rsidRDefault="00536FF6" w:rsidP="00536FF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behandlingen av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redogörelse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:ER1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106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536FF6" w:rsidRPr="008F1372" w:rsidRDefault="00536FF6" w:rsidP="00536FF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E011E" w:rsidRPr="00A54233" w:rsidRDefault="00536FF6" w:rsidP="00536FF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00BD7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F00BD7" w:rsidRPr="00A54233" w:rsidRDefault="00FF2F19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15</w:t>
            </w:r>
          </w:p>
        </w:tc>
        <w:tc>
          <w:tcPr>
            <w:tcW w:w="6947" w:type="dxa"/>
            <w:shd w:val="clear" w:color="auto" w:fill="auto"/>
          </w:tcPr>
          <w:p w:rsidR="00FF2F19" w:rsidRDefault="00FF2F19" w:rsidP="004D0A3F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(UU10)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FF2F19" w:rsidRDefault="00FF2F19" w:rsidP="004D0A3F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skrivelse 2020/21:115 och motioner.</w:t>
            </w:r>
          </w:p>
          <w:p w:rsidR="00FF2F19" w:rsidRDefault="00FF2F19" w:rsidP="004D0A3F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00BD7" w:rsidRDefault="00FF2F19" w:rsidP="00FF2F1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F2F19" w:rsidRPr="00A54233" w:rsidRDefault="00FF2F19" w:rsidP="00FF2F1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029E0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3029E0" w:rsidRPr="003029E0" w:rsidRDefault="003029E0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029E0">
              <w:rPr>
                <w:b/>
                <w:snapToGrid w:val="0"/>
                <w:szCs w:val="24"/>
              </w:rPr>
              <w:t xml:space="preserve">§ </w:t>
            </w:r>
            <w:r w:rsidR="00FF2F19">
              <w:rPr>
                <w:b/>
                <w:snapToGrid w:val="0"/>
                <w:szCs w:val="24"/>
              </w:rPr>
              <w:t>16</w:t>
            </w:r>
          </w:p>
        </w:tc>
        <w:tc>
          <w:tcPr>
            <w:tcW w:w="6947" w:type="dxa"/>
            <w:shd w:val="clear" w:color="auto" w:fill="auto"/>
          </w:tcPr>
          <w:p w:rsidR="00FF2F19" w:rsidRDefault="00FF2F19" w:rsidP="004B48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Interparlamentariska unionen (IPU) (UU14)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FF2F19" w:rsidRDefault="00FF2F19" w:rsidP="004B48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redogörelse 2020/21:RS3.</w:t>
            </w:r>
          </w:p>
          <w:p w:rsidR="00FF2F19" w:rsidRDefault="00FF2F19" w:rsidP="004B48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029E0" w:rsidRPr="003029E0" w:rsidRDefault="00FF2F19" w:rsidP="00FF2F1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4B487F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4B487F" w:rsidRPr="003029E0" w:rsidRDefault="004B487F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F2F19">
              <w:rPr>
                <w:b/>
                <w:snapToGrid w:val="0"/>
                <w:szCs w:val="24"/>
              </w:rPr>
              <w:t>17</w:t>
            </w:r>
          </w:p>
        </w:tc>
        <w:tc>
          <w:tcPr>
            <w:tcW w:w="6947" w:type="dxa"/>
            <w:shd w:val="clear" w:color="auto" w:fill="auto"/>
          </w:tcPr>
          <w:p w:rsidR="00FF2F19" w:rsidRDefault="00FF2F19" w:rsidP="008F13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(FAC-utveckling)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FF2F19" w:rsidRDefault="00FF2F19" w:rsidP="00FF2F1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Janine Alm Ericson </w:t>
            </w:r>
            <w:r w:rsidRPr="004F6AFC"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 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</w:t>
            </w:r>
            <w:r w:rsidRPr="00FF2F19">
              <w:rPr>
                <w:rFonts w:eastAsiaTheme="minorHAnsi"/>
                <w:bCs/>
                <w:color w:val="000000"/>
                <w:szCs w:val="24"/>
                <w:lang w:eastAsia="en-US"/>
              </w:rPr>
              <w:t>inför utrikesrådet FAC-utveckling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FF2F19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:rsidR="008F1372" w:rsidRPr="008F1372" w:rsidRDefault="00FF2F19" w:rsidP="008F137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DF34EC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DF34EC" w:rsidRDefault="00DF34EC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18</w:t>
            </w:r>
          </w:p>
        </w:tc>
        <w:tc>
          <w:tcPr>
            <w:tcW w:w="6947" w:type="dxa"/>
            <w:shd w:val="clear" w:color="auto" w:fill="auto"/>
          </w:tcPr>
          <w:p w:rsidR="00DF34EC" w:rsidRDefault="00DF34EC" w:rsidP="00DF34E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F34EC" w:rsidRDefault="00DF34EC" w:rsidP="00DF34EC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29.</w:t>
            </w:r>
          </w:p>
          <w:p w:rsidR="00DF34EC" w:rsidRDefault="00DF34EC" w:rsidP="008F13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F1372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8F1372" w:rsidRPr="00197CD3" w:rsidRDefault="008F1372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97CD3">
              <w:rPr>
                <w:b/>
                <w:snapToGrid w:val="0"/>
                <w:szCs w:val="24"/>
              </w:rPr>
              <w:t>§ 1</w:t>
            </w:r>
            <w:r w:rsidR="003C773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:rsidR="00197CD3" w:rsidRPr="001C3EBF" w:rsidRDefault="008F1372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C3EB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A6E80" w:rsidRPr="00DA6E80" w:rsidRDefault="00197CD3" w:rsidP="00DA6E80">
            <w:pPr>
              <w:tabs>
                <w:tab w:val="left" w:pos="2310"/>
              </w:tabs>
              <w:rPr>
                <w:color w:val="000000"/>
                <w:sz w:val="22"/>
                <w:shd w:val="clear" w:color="auto" w:fill="FFFFFF"/>
              </w:rPr>
            </w:pPr>
            <w:r w:rsidRPr="001C3EBF">
              <w:rPr>
                <w:rFonts w:eastAsiaTheme="minorHAnsi"/>
                <w:szCs w:val="24"/>
                <w:lang w:eastAsia="en-US"/>
              </w:rPr>
              <w:tab/>
            </w:r>
            <w:r w:rsidRPr="001C3EBF">
              <w:rPr>
                <w:rFonts w:eastAsiaTheme="minorHAnsi"/>
                <w:szCs w:val="24"/>
                <w:lang w:eastAsia="en-US"/>
              </w:rPr>
              <w:br/>
            </w:r>
            <w:r w:rsidR="00DA6E80" w:rsidRPr="00DA6E80">
              <w:rPr>
                <w:color w:val="000000"/>
                <w:shd w:val="clear" w:color="auto" w:fill="FFFFFF"/>
              </w:rPr>
              <w:t>Utskottet informerades om att:</w:t>
            </w:r>
          </w:p>
          <w:p w:rsidR="00DA6E80" w:rsidRPr="00DA6E80" w:rsidRDefault="00DA6E80" w:rsidP="00DA6E80">
            <w:pPr>
              <w:spacing w:line="252" w:lineRule="auto"/>
              <w:rPr>
                <w:color w:val="000000"/>
                <w:shd w:val="clear" w:color="auto" w:fill="FFFFFF"/>
              </w:rPr>
            </w:pPr>
            <w:r w:rsidRPr="00DA6E80">
              <w:rPr>
                <w:color w:val="000000"/>
              </w:rPr>
              <w:t xml:space="preserve">- kansliet följer upp mötet med företrädare från Afghanistan och i efterhand har efterfrågat om de kan dela manus till deras inlägg i förekommande fall. </w:t>
            </w:r>
          </w:p>
          <w:p w:rsidR="00DA6E80" w:rsidRPr="00DA6E80" w:rsidRDefault="00DA6E80" w:rsidP="00DA6E80">
            <w:pPr>
              <w:spacing w:line="252" w:lineRule="auto"/>
              <w:rPr>
                <w:color w:val="000000"/>
                <w:shd w:val="clear" w:color="auto" w:fill="FFFFFF"/>
              </w:rPr>
            </w:pPr>
            <w:r w:rsidRPr="00DA6E80">
              <w:t>- regeringens faktapromemoria 2020/</w:t>
            </w:r>
            <w:proofErr w:type="gramStart"/>
            <w:r w:rsidRPr="00DA6E80">
              <w:t>21:FPM</w:t>
            </w:r>
            <w:proofErr w:type="gramEnd"/>
            <w:r w:rsidRPr="00DA6E80">
              <w:t xml:space="preserve">95 Humanitära insatser: Nya utsikter för EU:s globala bistånd mot bakgrund av covid-19 inkom den 14 april. </w:t>
            </w:r>
          </w:p>
          <w:p w:rsidR="00DA6E80" w:rsidRPr="00DA6E80" w:rsidRDefault="00DA6E80" w:rsidP="00DA6E80">
            <w:pPr>
              <w:spacing w:line="252" w:lineRule="auto"/>
            </w:pPr>
            <w:r w:rsidRPr="00DA6E80">
              <w:t>- seminariet och rundabordssamtalet med veteranföreningar den 25 maj kl. 13:30 utgår.</w:t>
            </w:r>
          </w:p>
          <w:p w:rsidR="00DA6E80" w:rsidRPr="00DA6E80" w:rsidRDefault="00DA6E80" w:rsidP="00DA6E80">
            <w:pPr>
              <w:spacing w:line="252" w:lineRule="auto"/>
              <w:rPr>
                <w:color w:val="000000"/>
                <w:shd w:val="clear" w:color="auto" w:fill="FFFFFF"/>
              </w:rPr>
            </w:pPr>
            <w:r w:rsidRPr="00DA6E80">
              <w:rPr>
                <w:shd w:val="clear" w:color="auto" w:fill="FFFFFF"/>
              </w:rPr>
              <w:t xml:space="preserve">- </w:t>
            </w:r>
            <w:r w:rsidRPr="00DA6E80">
              <w:rPr>
                <w:color w:val="000000"/>
                <w:shd w:val="clear" w:color="auto" w:fill="FFFFFF"/>
              </w:rPr>
              <w:t>anmälan till talarlista för betänkande UU16 görs under dagordningspunkten Kanslimeddelanden och cirkuleras elektroniskt i efterhand.</w:t>
            </w:r>
          </w:p>
          <w:p w:rsidR="00DA6E80" w:rsidRPr="00DA6E80" w:rsidRDefault="00DA6E80" w:rsidP="00DA6E80">
            <w:pPr>
              <w:spacing w:line="252" w:lineRule="auto"/>
            </w:pPr>
          </w:p>
          <w:p w:rsidR="00DA6E80" w:rsidRPr="00DA6E80" w:rsidRDefault="00DA6E80" w:rsidP="00DA6E80">
            <w:pPr>
              <w:spacing w:line="252" w:lineRule="auto"/>
            </w:pPr>
            <w:r w:rsidRPr="00DA6E80">
              <w:t xml:space="preserve">Utskottet beslutade att: </w:t>
            </w:r>
          </w:p>
          <w:p w:rsidR="00DA6E80" w:rsidRPr="00DA6E80" w:rsidRDefault="00DA6E80" w:rsidP="00DA6E80">
            <w:pPr>
              <w:spacing w:line="252" w:lineRule="auto"/>
            </w:pPr>
            <w:r w:rsidRPr="00DA6E80">
              <w:t>- kalla regeringen till information om regeringens faktapromemoria 2020/</w:t>
            </w:r>
            <w:proofErr w:type="gramStart"/>
            <w:r w:rsidRPr="00DA6E80">
              <w:t>21:FPM</w:t>
            </w:r>
            <w:proofErr w:type="gramEnd"/>
            <w:r w:rsidRPr="00DA6E80">
              <w:t>95 Humanitära insatser: Nya utsikter för EU:s globala bistånd mot bakgrund av covid-19 torsdagen den 20 maj</w:t>
            </w:r>
            <w:r>
              <w:t>.</w:t>
            </w:r>
          </w:p>
          <w:p w:rsidR="00DA6E80" w:rsidRPr="00DA6E80" w:rsidRDefault="00DA6E80" w:rsidP="00DA6E80">
            <w:pPr>
              <w:spacing w:line="252" w:lineRule="auto"/>
            </w:pPr>
            <w:r w:rsidRPr="00DA6E80">
              <w:t>- kalla statsrådet Hans Dahlgren information om trioprogrammet inför ORDF-23 torsdagen den 29 april kl. 12:15-13:00.</w:t>
            </w:r>
          </w:p>
          <w:p w:rsidR="00197CD3" w:rsidRPr="001C3EBF" w:rsidRDefault="00197CD3" w:rsidP="00197CD3">
            <w:pPr>
              <w:tabs>
                <w:tab w:val="left" w:pos="2310"/>
              </w:tabs>
              <w:rPr>
                <w:rFonts w:eastAsiaTheme="minorHAnsi"/>
                <w:szCs w:val="24"/>
                <w:lang w:eastAsia="en-US"/>
              </w:rPr>
            </w:pPr>
          </w:p>
        </w:tc>
      </w:tr>
      <w:tr w:rsidR="002D263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D2635" w:rsidRDefault="002D263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58A0">
              <w:rPr>
                <w:b/>
                <w:snapToGrid w:val="0"/>
                <w:szCs w:val="24"/>
              </w:rPr>
              <w:t>20</w:t>
            </w:r>
          </w:p>
        </w:tc>
        <w:tc>
          <w:tcPr>
            <w:tcW w:w="6947" w:type="dxa"/>
            <w:shd w:val="clear" w:color="auto" w:fill="auto"/>
          </w:tcPr>
          <w:p w:rsid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53F07" w:rsidRPr="00023426" w:rsidRDefault="002D2635" w:rsidP="008F13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D53F07" w:rsidRDefault="00D53F07" w:rsidP="000234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2D44BF">
              <w:rPr>
                <w:b/>
                <w:snapToGrid w:val="0"/>
                <w:szCs w:val="24"/>
              </w:rPr>
              <w:t>21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15E63" w:rsidRDefault="00C15E63" w:rsidP="00A03BD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A03BDD">
              <w:rPr>
                <w:bCs/>
                <w:color w:val="000000"/>
                <w:szCs w:val="24"/>
              </w:rPr>
              <w:t>t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ors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dagen den 2</w:t>
            </w:r>
            <w:r w:rsidR="002D44BF">
              <w:rPr>
                <w:rFonts w:eastAsiaTheme="minorHAnsi"/>
                <w:color w:val="000000"/>
                <w:szCs w:val="24"/>
                <w:lang w:eastAsia="en-US"/>
              </w:rPr>
              <w:t>9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april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 xml:space="preserve"> kl. 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08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:00</w:t>
            </w:r>
            <w:r w:rsidR="00A03BDD" w:rsidRPr="00A03BD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412A0" w:rsidRPr="00F15E4D" w:rsidRDefault="002412A0" w:rsidP="00A03BDD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Pr="004B367D" w:rsidRDefault="00023426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261C8F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F536FC">
              <w:t>2</w:t>
            </w:r>
            <w:r w:rsidR="00261C8F">
              <w:t>9</w:t>
            </w:r>
            <w:r w:rsidR="004A1C2A" w:rsidRPr="00EE482B">
              <w:t xml:space="preserve"> </w:t>
            </w:r>
            <w:r w:rsidR="00F04220">
              <w:t xml:space="preserve">april </w:t>
            </w:r>
            <w:r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6474B6" w:rsidP="00EB67C8">
            <w:pPr>
              <w:tabs>
                <w:tab w:val="left" w:pos="1701"/>
              </w:tabs>
            </w:pPr>
            <w:r>
              <w:t>Hans Wallmark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9C5B7B">
              <w:rPr>
                <w:sz w:val="20"/>
              </w:rPr>
              <w:t>30</w:t>
            </w:r>
          </w:p>
        </w:tc>
      </w:tr>
      <w:tr w:rsidR="0050083A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 xml:space="preserve">§ </w:t>
            </w:r>
            <w:proofErr w:type="gramStart"/>
            <w:r w:rsidR="00992E0A">
              <w:rPr>
                <w:sz w:val="18"/>
                <w:szCs w:val="18"/>
              </w:rPr>
              <w:t>2-3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640A63" w:rsidRPr="000D222D">
              <w:rPr>
                <w:sz w:val="18"/>
                <w:szCs w:val="18"/>
              </w:rPr>
              <w:t xml:space="preserve"> </w:t>
            </w:r>
            <w:r w:rsidR="00992E0A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8F628F" w:rsidRPr="000D222D">
              <w:rPr>
                <w:sz w:val="18"/>
                <w:szCs w:val="18"/>
              </w:rPr>
              <w:t xml:space="preserve"> </w:t>
            </w:r>
            <w:r w:rsidR="00992E0A">
              <w:rPr>
                <w:sz w:val="18"/>
                <w:szCs w:val="18"/>
              </w:rPr>
              <w:t>5</w:t>
            </w:r>
            <w:r w:rsidR="00450F25" w:rsidRPr="000D22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450F25" w:rsidRPr="000D222D">
              <w:rPr>
                <w:sz w:val="18"/>
                <w:szCs w:val="18"/>
              </w:rPr>
              <w:t xml:space="preserve"> </w:t>
            </w:r>
            <w:proofErr w:type="gramStart"/>
            <w:r w:rsidR="00992E0A">
              <w:rPr>
                <w:sz w:val="18"/>
                <w:szCs w:val="18"/>
              </w:rPr>
              <w:t>6-7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0D222D">
              <w:rPr>
                <w:sz w:val="18"/>
                <w:szCs w:val="18"/>
              </w:rPr>
              <w:t xml:space="preserve"> </w:t>
            </w:r>
            <w:proofErr w:type="gramStart"/>
            <w:r w:rsidR="005179B5">
              <w:rPr>
                <w:sz w:val="18"/>
                <w:szCs w:val="18"/>
              </w:rPr>
              <w:t>8-9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D222D">
              <w:rPr>
                <w:sz w:val="20"/>
              </w:rPr>
              <w:t xml:space="preserve">§ </w:t>
            </w:r>
            <w:proofErr w:type="gramStart"/>
            <w:r w:rsidR="000D222D" w:rsidRPr="005179B5">
              <w:rPr>
                <w:sz w:val="18"/>
                <w:szCs w:val="18"/>
              </w:rPr>
              <w:t>1</w:t>
            </w:r>
            <w:r w:rsidR="005179B5" w:rsidRPr="005179B5">
              <w:rPr>
                <w:sz w:val="18"/>
                <w:szCs w:val="18"/>
              </w:rPr>
              <w:t>0-13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D222D">
              <w:rPr>
                <w:sz w:val="20"/>
              </w:rPr>
              <w:t xml:space="preserve">§ </w:t>
            </w:r>
            <w:proofErr w:type="gramStart"/>
            <w:r w:rsidR="005179B5">
              <w:rPr>
                <w:sz w:val="20"/>
              </w:rPr>
              <w:t>14-15</w:t>
            </w:r>
            <w:proofErr w:type="gramEnd"/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D222D">
              <w:rPr>
                <w:sz w:val="20"/>
              </w:rPr>
              <w:t xml:space="preserve">§ </w:t>
            </w:r>
            <w:proofErr w:type="gramStart"/>
            <w:r w:rsidR="005179B5">
              <w:rPr>
                <w:sz w:val="20"/>
              </w:rPr>
              <w:t>16-21</w:t>
            </w:r>
            <w:proofErr w:type="gramEnd"/>
          </w:p>
        </w:tc>
      </w:tr>
      <w:tr w:rsidR="0050083A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0D222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</w:tr>
      <w:tr w:rsidR="005179B5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9B5" w:rsidRPr="000D222D" w:rsidRDefault="005179B5" w:rsidP="005179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 xml:space="preserve">Lars </w:t>
            </w:r>
            <w:proofErr w:type="spellStart"/>
            <w:r w:rsidRPr="000D222D">
              <w:rPr>
                <w:snapToGrid w:val="0"/>
                <w:sz w:val="21"/>
                <w:szCs w:val="21"/>
                <w:lang w:val="en-US"/>
              </w:rPr>
              <w:t>Adaktusson</w:t>
            </w:r>
            <w:proofErr w:type="spellEnd"/>
            <w:r w:rsidRPr="000D222D">
              <w:rPr>
                <w:snapToGrid w:val="0"/>
                <w:sz w:val="21"/>
                <w:szCs w:val="21"/>
                <w:lang w:val="en-US"/>
              </w:rPr>
              <w:t xml:space="preserve">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fldChar w:fldCharType="begin"/>
            </w:r>
            <w:r w:rsidRPr="000D222D">
              <w:rPr>
                <w:sz w:val="21"/>
                <w:szCs w:val="21"/>
              </w:rPr>
              <w:instrText xml:space="preserve">  </w:instrText>
            </w:r>
            <w:r w:rsidRPr="000D222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0D222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D222D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DD088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DD088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DD088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2C039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19311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2C039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19311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FF1E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D0647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FF1E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D0647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505F5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20253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505F5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20253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505F5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20253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21DC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6C1F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7C1A7E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Default="007C1A7E" w:rsidP="007C1A7E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A7E" w:rsidRPr="000D222D" w:rsidRDefault="007C1A7E" w:rsidP="007C1A7E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730E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5458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730E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5458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321F23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D222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EC751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730E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Default="00321F23" w:rsidP="00321F23">
            <w:r w:rsidRPr="0095458C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1F23" w:rsidRPr="000D222D" w:rsidRDefault="00321F23" w:rsidP="00321F23">
            <w:pPr>
              <w:rPr>
                <w:sz w:val="21"/>
                <w:szCs w:val="21"/>
              </w:rPr>
            </w:pPr>
          </w:p>
        </w:tc>
      </w:tr>
      <w:tr w:rsidR="00992E0A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92E0A" w:rsidRPr="00FA1D79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992E0A" w:rsidRPr="00FA1D79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992E0A" w:rsidRPr="004B367D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992E0A" w:rsidRPr="004B367D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992E0A" w:rsidRPr="004B367D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992E0A" w:rsidRPr="004B367D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92E0A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992E0A" w:rsidRPr="00FA1D79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992E0A" w:rsidRPr="00FA1D79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92E0A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92E0A" w:rsidRPr="009C2227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992E0A" w:rsidRPr="007271D4" w:rsidRDefault="00992E0A" w:rsidP="00992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23426"/>
    <w:rsid w:val="00031A4B"/>
    <w:rsid w:val="00041E57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A44AD"/>
    <w:rsid w:val="000B3BBC"/>
    <w:rsid w:val="000C4C5D"/>
    <w:rsid w:val="000D222D"/>
    <w:rsid w:val="000F5AF7"/>
    <w:rsid w:val="001064E1"/>
    <w:rsid w:val="00133626"/>
    <w:rsid w:val="00146C00"/>
    <w:rsid w:val="001664CB"/>
    <w:rsid w:val="001779E0"/>
    <w:rsid w:val="001841CD"/>
    <w:rsid w:val="00184F69"/>
    <w:rsid w:val="00197CD3"/>
    <w:rsid w:val="001B052E"/>
    <w:rsid w:val="001B18C4"/>
    <w:rsid w:val="001B1F7B"/>
    <w:rsid w:val="001B2574"/>
    <w:rsid w:val="001B7AB1"/>
    <w:rsid w:val="001C3EBF"/>
    <w:rsid w:val="001C7EC4"/>
    <w:rsid w:val="001E16FE"/>
    <w:rsid w:val="001E6F6D"/>
    <w:rsid w:val="001E71E1"/>
    <w:rsid w:val="001F3CB7"/>
    <w:rsid w:val="001F51BF"/>
    <w:rsid w:val="001F6030"/>
    <w:rsid w:val="00220ED1"/>
    <w:rsid w:val="00223534"/>
    <w:rsid w:val="0022486A"/>
    <w:rsid w:val="00226FE2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3A14"/>
    <w:rsid w:val="002902D3"/>
    <w:rsid w:val="002927A7"/>
    <w:rsid w:val="002A571E"/>
    <w:rsid w:val="002B0EE7"/>
    <w:rsid w:val="002B324E"/>
    <w:rsid w:val="002B7046"/>
    <w:rsid w:val="002C242F"/>
    <w:rsid w:val="002C7B21"/>
    <w:rsid w:val="002D2635"/>
    <w:rsid w:val="002D44BF"/>
    <w:rsid w:val="002E0A5C"/>
    <w:rsid w:val="002E2277"/>
    <w:rsid w:val="002F149F"/>
    <w:rsid w:val="002F3F18"/>
    <w:rsid w:val="002F6A4A"/>
    <w:rsid w:val="002F76AB"/>
    <w:rsid w:val="003029E0"/>
    <w:rsid w:val="00303E5C"/>
    <w:rsid w:val="003063C8"/>
    <w:rsid w:val="003129AE"/>
    <w:rsid w:val="003159D7"/>
    <w:rsid w:val="00321F23"/>
    <w:rsid w:val="00322267"/>
    <w:rsid w:val="00336EA4"/>
    <w:rsid w:val="00351294"/>
    <w:rsid w:val="00353A43"/>
    <w:rsid w:val="00356D1F"/>
    <w:rsid w:val="00357397"/>
    <w:rsid w:val="00366722"/>
    <w:rsid w:val="00382BFA"/>
    <w:rsid w:val="00386CC5"/>
    <w:rsid w:val="00394D90"/>
    <w:rsid w:val="003A6352"/>
    <w:rsid w:val="003B7C5B"/>
    <w:rsid w:val="003C25A3"/>
    <w:rsid w:val="003C7736"/>
    <w:rsid w:val="003D03A9"/>
    <w:rsid w:val="003D0C0C"/>
    <w:rsid w:val="003F1439"/>
    <w:rsid w:val="00402ECC"/>
    <w:rsid w:val="0041244A"/>
    <w:rsid w:val="004160EF"/>
    <w:rsid w:val="00450A07"/>
    <w:rsid w:val="00450F25"/>
    <w:rsid w:val="00451640"/>
    <w:rsid w:val="004573C9"/>
    <w:rsid w:val="00462F44"/>
    <w:rsid w:val="0046637A"/>
    <w:rsid w:val="00467938"/>
    <w:rsid w:val="00471885"/>
    <w:rsid w:val="00476FF6"/>
    <w:rsid w:val="00482C8C"/>
    <w:rsid w:val="00497317"/>
    <w:rsid w:val="004A1C2A"/>
    <w:rsid w:val="004A4303"/>
    <w:rsid w:val="004A4A7C"/>
    <w:rsid w:val="004B2F40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63AA9"/>
    <w:rsid w:val="005678CC"/>
    <w:rsid w:val="005833CD"/>
    <w:rsid w:val="00585C22"/>
    <w:rsid w:val="005B50F1"/>
    <w:rsid w:val="005E5BB6"/>
    <w:rsid w:val="005F13B1"/>
    <w:rsid w:val="005F23B5"/>
    <w:rsid w:val="006202DD"/>
    <w:rsid w:val="006230EE"/>
    <w:rsid w:val="00627481"/>
    <w:rsid w:val="00630E31"/>
    <w:rsid w:val="00640A63"/>
    <w:rsid w:val="00641784"/>
    <w:rsid w:val="00646353"/>
    <w:rsid w:val="006470F1"/>
    <w:rsid w:val="006474B6"/>
    <w:rsid w:val="00661889"/>
    <w:rsid w:val="00663388"/>
    <w:rsid w:val="006701EB"/>
    <w:rsid w:val="00670412"/>
    <w:rsid w:val="006A08F5"/>
    <w:rsid w:val="006A6A65"/>
    <w:rsid w:val="006C2D58"/>
    <w:rsid w:val="006C41C1"/>
    <w:rsid w:val="006C5ECD"/>
    <w:rsid w:val="006D0017"/>
    <w:rsid w:val="006D1BAB"/>
    <w:rsid w:val="006D3AF9"/>
    <w:rsid w:val="006D68CA"/>
    <w:rsid w:val="006E011E"/>
    <w:rsid w:val="006E4606"/>
    <w:rsid w:val="006F4581"/>
    <w:rsid w:val="006F7B83"/>
    <w:rsid w:val="00712851"/>
    <w:rsid w:val="00713678"/>
    <w:rsid w:val="007149F6"/>
    <w:rsid w:val="00716AF6"/>
    <w:rsid w:val="007354F1"/>
    <w:rsid w:val="00746022"/>
    <w:rsid w:val="007571ED"/>
    <w:rsid w:val="00762E43"/>
    <w:rsid w:val="00774408"/>
    <w:rsid w:val="007843F4"/>
    <w:rsid w:val="007A4F84"/>
    <w:rsid w:val="007A56B1"/>
    <w:rsid w:val="007A5E94"/>
    <w:rsid w:val="007B6A85"/>
    <w:rsid w:val="007C1A7E"/>
    <w:rsid w:val="007E205C"/>
    <w:rsid w:val="007E2F89"/>
    <w:rsid w:val="007F017A"/>
    <w:rsid w:val="007F0964"/>
    <w:rsid w:val="00804646"/>
    <w:rsid w:val="00806406"/>
    <w:rsid w:val="00811372"/>
    <w:rsid w:val="00834F26"/>
    <w:rsid w:val="008378A8"/>
    <w:rsid w:val="00844BBA"/>
    <w:rsid w:val="0085394F"/>
    <w:rsid w:val="00863227"/>
    <w:rsid w:val="00864C77"/>
    <w:rsid w:val="008712B3"/>
    <w:rsid w:val="00871FF6"/>
    <w:rsid w:val="00874A67"/>
    <w:rsid w:val="00876775"/>
    <w:rsid w:val="00876D21"/>
    <w:rsid w:val="00885B2F"/>
    <w:rsid w:val="008C5E93"/>
    <w:rsid w:val="008D3BE8"/>
    <w:rsid w:val="008D5DBE"/>
    <w:rsid w:val="008F1372"/>
    <w:rsid w:val="008F39D2"/>
    <w:rsid w:val="008F5C48"/>
    <w:rsid w:val="008F628F"/>
    <w:rsid w:val="009018A0"/>
    <w:rsid w:val="00902C57"/>
    <w:rsid w:val="0090725E"/>
    <w:rsid w:val="009158A0"/>
    <w:rsid w:val="00915970"/>
    <w:rsid w:val="00925EF5"/>
    <w:rsid w:val="0093512F"/>
    <w:rsid w:val="009402B6"/>
    <w:rsid w:val="00946F88"/>
    <w:rsid w:val="009611BB"/>
    <w:rsid w:val="00973EDF"/>
    <w:rsid w:val="00974AEA"/>
    <w:rsid w:val="00980BA4"/>
    <w:rsid w:val="009855B9"/>
    <w:rsid w:val="00986505"/>
    <w:rsid w:val="00987013"/>
    <w:rsid w:val="00987E9C"/>
    <w:rsid w:val="00992E0A"/>
    <w:rsid w:val="009B2FEC"/>
    <w:rsid w:val="009B44B3"/>
    <w:rsid w:val="009B50FC"/>
    <w:rsid w:val="009C0538"/>
    <w:rsid w:val="009C5B7B"/>
    <w:rsid w:val="009E298A"/>
    <w:rsid w:val="009E4029"/>
    <w:rsid w:val="00A03BDD"/>
    <w:rsid w:val="00A0578A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31DC"/>
    <w:rsid w:val="00AC32F7"/>
    <w:rsid w:val="00AC551E"/>
    <w:rsid w:val="00AD40CA"/>
    <w:rsid w:val="00AD4DD7"/>
    <w:rsid w:val="00AD5ABD"/>
    <w:rsid w:val="00AE4599"/>
    <w:rsid w:val="00AE5CEC"/>
    <w:rsid w:val="00AE7601"/>
    <w:rsid w:val="00B026D0"/>
    <w:rsid w:val="00B0297B"/>
    <w:rsid w:val="00B05084"/>
    <w:rsid w:val="00B176AD"/>
    <w:rsid w:val="00B24532"/>
    <w:rsid w:val="00B337AC"/>
    <w:rsid w:val="00B5478D"/>
    <w:rsid w:val="00B5506A"/>
    <w:rsid w:val="00B56BD2"/>
    <w:rsid w:val="00B672B6"/>
    <w:rsid w:val="00B7113A"/>
    <w:rsid w:val="00B75675"/>
    <w:rsid w:val="00B86D1B"/>
    <w:rsid w:val="00B905AA"/>
    <w:rsid w:val="00BA4A6F"/>
    <w:rsid w:val="00BB32B1"/>
    <w:rsid w:val="00BB64C2"/>
    <w:rsid w:val="00BC2EE6"/>
    <w:rsid w:val="00BD4989"/>
    <w:rsid w:val="00BD5ED3"/>
    <w:rsid w:val="00BF0C57"/>
    <w:rsid w:val="00C01E7F"/>
    <w:rsid w:val="00C10721"/>
    <w:rsid w:val="00C15E63"/>
    <w:rsid w:val="00C2738F"/>
    <w:rsid w:val="00C44BEE"/>
    <w:rsid w:val="00C8696F"/>
    <w:rsid w:val="00C8751C"/>
    <w:rsid w:val="00CA35F5"/>
    <w:rsid w:val="00CB1886"/>
    <w:rsid w:val="00CC1C31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1569"/>
    <w:rsid w:val="00D24242"/>
    <w:rsid w:val="00D27A42"/>
    <w:rsid w:val="00D31897"/>
    <w:rsid w:val="00D42A8D"/>
    <w:rsid w:val="00D458BE"/>
    <w:rsid w:val="00D47DE6"/>
    <w:rsid w:val="00D53F07"/>
    <w:rsid w:val="00D56F37"/>
    <w:rsid w:val="00D66118"/>
    <w:rsid w:val="00D71C4A"/>
    <w:rsid w:val="00D8468E"/>
    <w:rsid w:val="00D92DC0"/>
    <w:rsid w:val="00D973D0"/>
    <w:rsid w:val="00DA6E80"/>
    <w:rsid w:val="00DC7E0F"/>
    <w:rsid w:val="00DD088E"/>
    <w:rsid w:val="00DD3952"/>
    <w:rsid w:val="00DE3D8E"/>
    <w:rsid w:val="00DE46FE"/>
    <w:rsid w:val="00DE5D90"/>
    <w:rsid w:val="00DF34EC"/>
    <w:rsid w:val="00DF38A0"/>
    <w:rsid w:val="00E06278"/>
    <w:rsid w:val="00E143B2"/>
    <w:rsid w:val="00E310B0"/>
    <w:rsid w:val="00E31814"/>
    <w:rsid w:val="00E50E4D"/>
    <w:rsid w:val="00E519C7"/>
    <w:rsid w:val="00E53C89"/>
    <w:rsid w:val="00E56628"/>
    <w:rsid w:val="00E568E5"/>
    <w:rsid w:val="00E71035"/>
    <w:rsid w:val="00E72127"/>
    <w:rsid w:val="00E72570"/>
    <w:rsid w:val="00E7308B"/>
    <w:rsid w:val="00E84065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EF5653"/>
    <w:rsid w:val="00F00BD7"/>
    <w:rsid w:val="00F03D74"/>
    <w:rsid w:val="00F04220"/>
    <w:rsid w:val="00F063C4"/>
    <w:rsid w:val="00F15E4D"/>
    <w:rsid w:val="00F17E82"/>
    <w:rsid w:val="00F4056A"/>
    <w:rsid w:val="00F41DD5"/>
    <w:rsid w:val="00F42AC6"/>
    <w:rsid w:val="00F4749E"/>
    <w:rsid w:val="00F536FC"/>
    <w:rsid w:val="00F55416"/>
    <w:rsid w:val="00F572F4"/>
    <w:rsid w:val="00F62AC1"/>
    <w:rsid w:val="00F66E5F"/>
    <w:rsid w:val="00F73633"/>
    <w:rsid w:val="00F876C5"/>
    <w:rsid w:val="00FA1D79"/>
    <w:rsid w:val="00FA6543"/>
    <w:rsid w:val="00FC11AF"/>
    <w:rsid w:val="00FC340C"/>
    <w:rsid w:val="00FF2F19"/>
    <w:rsid w:val="00FF44C8"/>
    <w:rsid w:val="00FF66C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F938-F910-4A1D-830B-1B8A9A51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1289</Words>
  <Characters>7995</Characters>
  <Application>Microsoft Office Word</Application>
  <DocSecurity>4</DocSecurity>
  <Lines>1599</Lines>
  <Paragraphs>442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2021-04-20T11:06:00Z</cp:lastPrinted>
  <dcterms:created xsi:type="dcterms:W3CDTF">2021-04-29T12:11:00Z</dcterms:created>
  <dcterms:modified xsi:type="dcterms:W3CDTF">2021-04-29T12:11:00Z</dcterms:modified>
</cp:coreProperties>
</file>