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D9F" w:rsidRPr="00D90144" w:rsidRDefault="00B25D9F">
      <w:pPr>
        <w:pStyle w:val="Frslagsrubrik"/>
      </w:pPr>
      <w:r w:rsidRPr="00D90144">
        <w:t>Förslag till riksdagsbeslut</w:t>
      </w:r>
    </w:p>
    <w:p w:rsidR="00B25D9F" w:rsidRPr="00D90144" w:rsidRDefault="00B25D9F">
      <w:pPr>
        <w:pStyle w:val="Hemstlatt"/>
        <w:ind w:left="0"/>
      </w:pPr>
      <w:r w:rsidRPr="00D90144">
        <w:t>Riksdagen anvisar med följande ändringar i förhålla</w:t>
      </w:r>
      <w:r w:rsidRPr="00D90144">
        <w:t>n</w:t>
      </w:r>
      <w:r w:rsidRPr="00D90144">
        <w:t>de till regeringens förslag anslagen under utgiftsområde 19 Regional tillväxt enligt uppställning:</w:t>
      </w:r>
    </w:p>
    <w:tbl>
      <w:tblPr>
        <w:tblpPr w:leftFromText="141" w:rightFromText="141" w:vertAnchor="text" w:horzAnchor="margin" w:tblpXSpec="center" w:tblpY="290"/>
        <w:tblW w:w="5955" w:type="dxa"/>
        <w:tblLayout w:type="fixed"/>
        <w:tblCellMar>
          <w:top w:w="15" w:type="dxa"/>
          <w:left w:w="15" w:type="dxa"/>
          <w:bottom w:w="15" w:type="dxa"/>
          <w:right w:w="15" w:type="dxa"/>
        </w:tblCellMar>
        <w:tblLook w:val="0000" w:firstRow="0" w:lastRow="0" w:firstColumn="0" w:lastColumn="0" w:noHBand="0" w:noVBand="0"/>
      </w:tblPr>
      <w:tblGrid>
        <w:gridCol w:w="670"/>
        <w:gridCol w:w="1920"/>
        <w:gridCol w:w="1680"/>
        <w:gridCol w:w="1685"/>
      </w:tblGrid>
      <w:tr w:rsidR="00000000" w:rsidRPr="00D90144">
        <w:trPr>
          <w:cantSplit/>
        </w:trPr>
        <w:tc>
          <w:tcPr>
            <w:tcW w:w="670" w:type="dxa"/>
            <w:tcBorders>
              <w:top w:val="single" w:sz="4" w:space="0" w:color="000000"/>
              <w:left w:val="nil"/>
              <w:bottom w:val="single" w:sz="4" w:space="0" w:color="000000"/>
              <w:right w:val="nil"/>
            </w:tcBorders>
            <w:tcMar>
              <w:top w:w="0" w:type="dxa"/>
              <w:left w:w="70" w:type="dxa"/>
              <w:bottom w:w="0" w:type="dxa"/>
              <w:right w:w="70" w:type="dxa"/>
            </w:tcMar>
          </w:tcPr>
          <w:p w:rsidR="00B25D9F" w:rsidRPr="00D90144" w:rsidRDefault="00B25D9F">
            <w:pPr>
              <w:spacing w:before="60" w:line="200" w:lineRule="exact"/>
              <w:rPr>
                <w:b/>
                <w:bCs/>
                <w:color w:val="000000"/>
                <w:sz w:val="16"/>
                <w:szCs w:val="16"/>
              </w:rPr>
            </w:pPr>
            <w:r w:rsidRPr="00D90144">
              <w:rPr>
                <w:b/>
                <w:bCs/>
                <w:color w:val="000000"/>
                <w:sz w:val="16"/>
                <w:szCs w:val="16"/>
              </w:rPr>
              <w:t>Anslag</w:t>
            </w:r>
          </w:p>
        </w:tc>
        <w:tc>
          <w:tcPr>
            <w:tcW w:w="1920" w:type="dxa"/>
            <w:tcBorders>
              <w:top w:val="single" w:sz="4" w:space="0" w:color="000000"/>
              <w:left w:val="nil"/>
              <w:bottom w:val="single" w:sz="4" w:space="0" w:color="000000"/>
              <w:right w:val="nil"/>
            </w:tcBorders>
            <w:tcMar>
              <w:top w:w="0" w:type="dxa"/>
              <w:left w:w="70" w:type="dxa"/>
              <w:bottom w:w="0" w:type="dxa"/>
              <w:right w:w="70" w:type="dxa"/>
            </w:tcMar>
          </w:tcPr>
          <w:p w:rsidR="00B25D9F" w:rsidRPr="00D90144" w:rsidRDefault="00B25D9F">
            <w:pPr>
              <w:spacing w:before="60" w:line="200" w:lineRule="exact"/>
              <w:rPr>
                <w:b/>
                <w:bCs/>
                <w:color w:val="000000"/>
                <w:sz w:val="16"/>
                <w:szCs w:val="16"/>
              </w:rPr>
            </w:pPr>
            <w:r w:rsidRPr="00D90144">
              <w:rPr>
                <w:b/>
                <w:bCs/>
                <w:color w:val="000000"/>
                <w:sz w:val="16"/>
                <w:szCs w:val="16"/>
              </w:rPr>
              <w:t> </w:t>
            </w:r>
          </w:p>
        </w:tc>
        <w:tc>
          <w:tcPr>
            <w:tcW w:w="1680" w:type="dxa"/>
            <w:tcBorders>
              <w:top w:val="single" w:sz="4" w:space="0" w:color="000000"/>
              <w:left w:val="nil"/>
              <w:bottom w:val="single" w:sz="4" w:space="0" w:color="000000"/>
              <w:right w:val="nil"/>
            </w:tcBorders>
            <w:tcMar>
              <w:top w:w="0" w:type="dxa"/>
              <w:left w:w="70" w:type="dxa"/>
              <w:bottom w:w="0" w:type="dxa"/>
              <w:right w:w="70" w:type="dxa"/>
            </w:tcMar>
          </w:tcPr>
          <w:p w:rsidR="00B25D9F" w:rsidRPr="00D90144" w:rsidRDefault="00B25D9F">
            <w:pPr>
              <w:spacing w:before="60" w:line="200" w:lineRule="exact"/>
              <w:jc w:val="right"/>
              <w:rPr>
                <w:b/>
                <w:bCs/>
                <w:color w:val="000000"/>
                <w:sz w:val="16"/>
                <w:szCs w:val="16"/>
              </w:rPr>
            </w:pPr>
            <w:r w:rsidRPr="00D90144">
              <w:rPr>
                <w:b/>
                <w:bCs/>
                <w:color w:val="000000"/>
                <w:sz w:val="16"/>
                <w:szCs w:val="16"/>
              </w:rPr>
              <w:t>Regeringens förslag (tkr)</w:t>
            </w:r>
          </w:p>
        </w:tc>
        <w:tc>
          <w:tcPr>
            <w:tcW w:w="1685" w:type="dxa"/>
            <w:tcBorders>
              <w:top w:val="single" w:sz="4" w:space="0" w:color="000000"/>
              <w:left w:val="nil"/>
              <w:bottom w:val="single" w:sz="4" w:space="0" w:color="000000"/>
              <w:right w:val="nil"/>
            </w:tcBorders>
            <w:tcMar>
              <w:top w:w="0" w:type="dxa"/>
              <w:left w:w="70" w:type="dxa"/>
              <w:bottom w:w="0" w:type="dxa"/>
              <w:right w:w="70" w:type="dxa"/>
            </w:tcMar>
          </w:tcPr>
          <w:p w:rsidR="00B25D9F" w:rsidRPr="00D90144" w:rsidRDefault="00B25D9F">
            <w:pPr>
              <w:spacing w:before="60" w:line="200" w:lineRule="exact"/>
              <w:jc w:val="right"/>
              <w:rPr>
                <w:b/>
                <w:bCs/>
                <w:color w:val="000000"/>
                <w:sz w:val="16"/>
                <w:szCs w:val="16"/>
              </w:rPr>
            </w:pPr>
            <w:r w:rsidRPr="00D90144">
              <w:rPr>
                <w:b/>
                <w:bCs/>
                <w:color w:val="000000"/>
                <w:sz w:val="16"/>
                <w:szCs w:val="16"/>
              </w:rPr>
              <w:t>Anslagsförändring (tkr)</w:t>
            </w:r>
          </w:p>
        </w:tc>
      </w:tr>
      <w:tr w:rsidR="00000000" w:rsidRPr="00D90144">
        <w:trPr>
          <w:cantSplit/>
        </w:trPr>
        <w:tc>
          <w:tcPr>
            <w:tcW w:w="670" w:type="dxa"/>
            <w:tcBorders>
              <w:top w:val="nil"/>
              <w:left w:val="nil"/>
              <w:bottom w:val="nil"/>
              <w:right w:val="nil"/>
            </w:tcBorders>
            <w:tcMar>
              <w:top w:w="0" w:type="dxa"/>
              <w:left w:w="70" w:type="dxa"/>
              <w:bottom w:w="0" w:type="dxa"/>
              <w:right w:w="70" w:type="dxa"/>
            </w:tcMar>
          </w:tcPr>
          <w:p w:rsidR="00B25D9F" w:rsidRPr="00D90144" w:rsidRDefault="00B25D9F">
            <w:pPr>
              <w:spacing w:before="60" w:line="200" w:lineRule="exact"/>
              <w:rPr>
                <w:color w:val="000000"/>
                <w:sz w:val="16"/>
                <w:szCs w:val="16"/>
              </w:rPr>
            </w:pPr>
            <w:r w:rsidRPr="00D90144">
              <w:rPr>
                <w:color w:val="000000"/>
                <w:sz w:val="16"/>
                <w:szCs w:val="16"/>
              </w:rPr>
              <w:t>1:1</w:t>
            </w:r>
          </w:p>
        </w:tc>
        <w:tc>
          <w:tcPr>
            <w:tcW w:w="1920" w:type="dxa"/>
            <w:tcBorders>
              <w:top w:val="nil"/>
              <w:left w:val="nil"/>
              <w:bottom w:val="nil"/>
              <w:right w:val="nil"/>
            </w:tcBorders>
            <w:tcMar>
              <w:top w:w="0" w:type="dxa"/>
              <w:left w:w="70" w:type="dxa"/>
              <w:bottom w:w="0" w:type="dxa"/>
              <w:right w:w="70" w:type="dxa"/>
            </w:tcMar>
          </w:tcPr>
          <w:p w:rsidR="00B25D9F" w:rsidRPr="00D90144" w:rsidRDefault="00B25D9F">
            <w:pPr>
              <w:spacing w:before="60" w:line="200" w:lineRule="exact"/>
              <w:rPr>
                <w:color w:val="000000"/>
                <w:sz w:val="16"/>
                <w:szCs w:val="16"/>
              </w:rPr>
            </w:pPr>
            <w:r w:rsidRPr="00D90144">
              <w:rPr>
                <w:color w:val="000000"/>
                <w:sz w:val="16"/>
                <w:szCs w:val="16"/>
              </w:rPr>
              <w:t>Regionala tillväxtåtgärder</w:t>
            </w:r>
          </w:p>
        </w:tc>
        <w:tc>
          <w:tcPr>
            <w:tcW w:w="1680" w:type="dxa"/>
            <w:tcBorders>
              <w:top w:val="nil"/>
              <w:left w:val="nil"/>
              <w:bottom w:val="nil"/>
              <w:right w:val="nil"/>
            </w:tcBorders>
            <w:tcMar>
              <w:top w:w="0" w:type="dxa"/>
              <w:left w:w="70" w:type="dxa"/>
              <w:bottom w:w="0" w:type="dxa"/>
              <w:right w:w="70" w:type="dxa"/>
            </w:tcMar>
            <w:vAlign w:val="bottom"/>
          </w:tcPr>
          <w:p w:rsidR="00B25D9F" w:rsidRPr="00D90144" w:rsidRDefault="00B25D9F">
            <w:pPr>
              <w:spacing w:before="60" w:line="200" w:lineRule="exact"/>
              <w:jc w:val="right"/>
              <w:rPr>
                <w:color w:val="000000"/>
                <w:sz w:val="16"/>
                <w:szCs w:val="16"/>
              </w:rPr>
            </w:pPr>
            <w:r w:rsidRPr="00D90144">
              <w:rPr>
                <w:color w:val="000000"/>
                <w:sz w:val="16"/>
                <w:szCs w:val="16"/>
              </w:rPr>
              <w:t>1 534 837</w:t>
            </w:r>
          </w:p>
        </w:tc>
        <w:tc>
          <w:tcPr>
            <w:tcW w:w="1685" w:type="dxa"/>
            <w:tcBorders>
              <w:top w:val="nil"/>
              <w:left w:val="nil"/>
              <w:bottom w:val="nil"/>
              <w:right w:val="nil"/>
            </w:tcBorders>
            <w:tcMar>
              <w:top w:w="0" w:type="dxa"/>
              <w:left w:w="70" w:type="dxa"/>
              <w:bottom w:w="0" w:type="dxa"/>
              <w:right w:w="70" w:type="dxa"/>
            </w:tcMar>
            <w:vAlign w:val="bottom"/>
          </w:tcPr>
          <w:p w:rsidR="00B25D9F" w:rsidRPr="00D90144" w:rsidRDefault="00B25D9F">
            <w:pPr>
              <w:spacing w:before="60" w:line="200" w:lineRule="exact"/>
              <w:jc w:val="right"/>
              <w:rPr>
                <w:color w:val="000000"/>
                <w:sz w:val="16"/>
                <w:szCs w:val="16"/>
              </w:rPr>
            </w:pPr>
            <w:r w:rsidRPr="00D90144">
              <w:rPr>
                <w:color w:val="000000"/>
                <w:sz w:val="16"/>
                <w:szCs w:val="16"/>
              </w:rPr>
              <w:t>+50 000</w:t>
            </w:r>
          </w:p>
        </w:tc>
      </w:tr>
      <w:tr w:rsidR="00000000" w:rsidRPr="00D90144">
        <w:trPr>
          <w:cantSplit/>
        </w:trPr>
        <w:tc>
          <w:tcPr>
            <w:tcW w:w="670" w:type="dxa"/>
            <w:tcBorders>
              <w:top w:val="nil"/>
              <w:left w:val="nil"/>
              <w:bottom w:val="single" w:sz="4" w:space="0" w:color="000000"/>
              <w:right w:val="nil"/>
            </w:tcBorders>
            <w:tcMar>
              <w:top w:w="0" w:type="dxa"/>
              <w:left w:w="70" w:type="dxa"/>
              <w:bottom w:w="0" w:type="dxa"/>
              <w:right w:w="70" w:type="dxa"/>
            </w:tcMar>
          </w:tcPr>
          <w:p w:rsidR="00B25D9F" w:rsidRPr="00D90144" w:rsidRDefault="00B25D9F">
            <w:pPr>
              <w:spacing w:before="60" w:line="200" w:lineRule="exact"/>
              <w:rPr>
                <w:color w:val="000000"/>
                <w:sz w:val="16"/>
                <w:szCs w:val="16"/>
              </w:rPr>
            </w:pPr>
          </w:p>
        </w:tc>
        <w:tc>
          <w:tcPr>
            <w:tcW w:w="1920" w:type="dxa"/>
            <w:tcBorders>
              <w:top w:val="nil"/>
              <w:left w:val="nil"/>
              <w:bottom w:val="single" w:sz="4" w:space="0" w:color="000000"/>
              <w:right w:val="nil"/>
            </w:tcBorders>
            <w:tcMar>
              <w:top w:w="0" w:type="dxa"/>
              <w:left w:w="70" w:type="dxa"/>
              <w:bottom w:w="0" w:type="dxa"/>
              <w:right w:w="70" w:type="dxa"/>
            </w:tcMar>
            <w:vAlign w:val="bottom"/>
          </w:tcPr>
          <w:p w:rsidR="00B25D9F" w:rsidRPr="00D90144" w:rsidRDefault="00B25D9F">
            <w:pPr>
              <w:spacing w:before="60" w:line="200" w:lineRule="exact"/>
              <w:rPr>
                <w:b/>
                <w:bCs/>
                <w:color w:val="000000"/>
                <w:sz w:val="16"/>
                <w:szCs w:val="16"/>
              </w:rPr>
            </w:pPr>
            <w:r w:rsidRPr="00D90144">
              <w:rPr>
                <w:b/>
                <w:bCs/>
                <w:color w:val="000000"/>
                <w:sz w:val="16"/>
                <w:szCs w:val="16"/>
              </w:rPr>
              <w:t>Summa för utgiftsområde</w:t>
            </w:r>
          </w:p>
        </w:tc>
        <w:tc>
          <w:tcPr>
            <w:tcW w:w="1680" w:type="dxa"/>
            <w:tcBorders>
              <w:top w:val="nil"/>
              <w:left w:val="nil"/>
              <w:bottom w:val="single" w:sz="4" w:space="0" w:color="000000"/>
              <w:right w:val="nil"/>
            </w:tcBorders>
            <w:tcMar>
              <w:top w:w="0" w:type="dxa"/>
              <w:left w:w="70" w:type="dxa"/>
              <w:bottom w:w="0" w:type="dxa"/>
              <w:right w:w="70" w:type="dxa"/>
            </w:tcMar>
            <w:vAlign w:val="bottom"/>
          </w:tcPr>
          <w:p w:rsidR="00B25D9F" w:rsidRPr="00D90144" w:rsidRDefault="00B25D9F">
            <w:pPr>
              <w:spacing w:before="60" w:line="200" w:lineRule="exact"/>
              <w:jc w:val="right"/>
              <w:rPr>
                <w:color w:val="000000"/>
                <w:sz w:val="16"/>
                <w:szCs w:val="16"/>
              </w:rPr>
            </w:pPr>
            <w:r w:rsidRPr="00D90144">
              <w:rPr>
                <w:color w:val="000000"/>
                <w:sz w:val="16"/>
                <w:szCs w:val="16"/>
              </w:rPr>
              <w:t>3 398 701</w:t>
            </w:r>
          </w:p>
        </w:tc>
        <w:tc>
          <w:tcPr>
            <w:tcW w:w="1685" w:type="dxa"/>
            <w:tcBorders>
              <w:top w:val="nil"/>
              <w:left w:val="nil"/>
              <w:bottom w:val="single" w:sz="4" w:space="0" w:color="000000"/>
              <w:right w:val="nil"/>
            </w:tcBorders>
            <w:tcMar>
              <w:top w:w="0" w:type="dxa"/>
              <w:left w:w="70" w:type="dxa"/>
              <w:bottom w:w="0" w:type="dxa"/>
              <w:right w:w="70" w:type="dxa"/>
            </w:tcMar>
            <w:vAlign w:val="bottom"/>
          </w:tcPr>
          <w:p w:rsidR="00B25D9F" w:rsidRPr="00D90144" w:rsidRDefault="00B25D9F">
            <w:pPr>
              <w:spacing w:before="60" w:line="200" w:lineRule="exact"/>
              <w:jc w:val="right"/>
              <w:rPr>
                <w:b/>
                <w:bCs/>
                <w:color w:val="000000"/>
                <w:sz w:val="16"/>
                <w:szCs w:val="16"/>
              </w:rPr>
            </w:pPr>
            <w:r w:rsidRPr="00D90144">
              <w:rPr>
                <w:b/>
                <w:bCs/>
                <w:color w:val="000000"/>
                <w:sz w:val="16"/>
                <w:szCs w:val="16"/>
              </w:rPr>
              <w:t>+50 000</w:t>
            </w:r>
          </w:p>
        </w:tc>
      </w:tr>
    </w:tbl>
    <w:p w:rsidR="00B25D9F" w:rsidRPr="00D90144" w:rsidRDefault="00B25D9F">
      <w:pPr>
        <w:pStyle w:val="Rubrik1"/>
      </w:pPr>
      <w:r w:rsidRPr="00D90144">
        <w:t>Stöd till kommersiell service i glesbygd</w:t>
      </w:r>
    </w:p>
    <w:p w:rsidR="00B25D9F" w:rsidRPr="00D90144" w:rsidRDefault="00B25D9F">
      <w:r w:rsidRPr="00D90144">
        <w:t>Regeringen har ökat anslagen till regionala tillväxtåtgärder med 19 miljoner kronor jämfört med 2011 års budget. Av dessa ska fem miljoner kronor gå till kommersiell och offentlig service fördelade mellan 2012–2014. Vi anser att det är otillräckligt och föreslår istället att stödet totalt bör ökas med 50 milj</w:t>
      </w:r>
      <w:r w:rsidRPr="00D90144">
        <w:t>o</w:t>
      </w:r>
      <w:r w:rsidRPr="00D90144">
        <w:t>ner kronor årligen jämfört med regeringens förslag till anslag.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0144">
        <w:trPr>
          <w:cantSplit/>
        </w:trPr>
        <w:tc>
          <w:tcPr>
            <w:tcW w:w="3046" w:type="dxa"/>
          </w:tcPr>
          <w:p w:rsidR="00B25D9F" w:rsidRPr="00D90144" w:rsidRDefault="00B25D9F">
            <w:pPr>
              <w:pStyle w:val="UnderskriftDatum"/>
              <w:spacing w:before="240"/>
            </w:pPr>
            <w:r w:rsidRPr="00D90144">
              <w:t>Stockholm den 2 oktober 2011</w:t>
            </w:r>
          </w:p>
        </w:tc>
        <w:tc>
          <w:tcPr>
            <w:tcW w:w="3047" w:type="dxa"/>
          </w:tcPr>
          <w:p w:rsidR="00B25D9F" w:rsidRPr="00D90144" w:rsidRDefault="00B25D9F">
            <w:pPr>
              <w:pStyle w:val="Underskrifter"/>
              <w:spacing w:before="240"/>
            </w:pPr>
          </w:p>
        </w:tc>
      </w:tr>
      <w:tr w:rsidR="00000000" w:rsidRPr="00D90144">
        <w:trPr>
          <w:cantSplit/>
        </w:trPr>
        <w:tc>
          <w:tcPr>
            <w:tcW w:w="3046" w:type="dxa"/>
          </w:tcPr>
          <w:p w:rsidR="00B25D9F" w:rsidRPr="00D90144" w:rsidRDefault="00B25D9F">
            <w:pPr>
              <w:pStyle w:val="Underskrifter"/>
            </w:pPr>
            <w:r w:rsidRPr="00D90144">
              <w:t>Lars Johansson (S)</w:t>
            </w:r>
          </w:p>
        </w:tc>
        <w:tc>
          <w:tcPr>
            <w:tcW w:w="3046" w:type="dxa"/>
          </w:tcPr>
          <w:p w:rsidR="00B25D9F" w:rsidRPr="00D90144" w:rsidRDefault="00B25D9F">
            <w:pPr>
              <w:pStyle w:val="Underskrifter"/>
            </w:pPr>
          </w:p>
        </w:tc>
      </w:tr>
      <w:tr w:rsidR="00000000" w:rsidRPr="00D90144">
        <w:trPr>
          <w:cantSplit/>
        </w:trPr>
        <w:tc>
          <w:tcPr>
            <w:tcW w:w="3046" w:type="dxa"/>
          </w:tcPr>
          <w:p w:rsidR="00B25D9F" w:rsidRPr="00D90144" w:rsidRDefault="00B25D9F">
            <w:pPr>
              <w:pStyle w:val="Underskrifter"/>
            </w:pPr>
            <w:r w:rsidRPr="00D90144">
              <w:t>Carina Adolfsson Elgestam (S)</w:t>
            </w:r>
          </w:p>
        </w:tc>
        <w:tc>
          <w:tcPr>
            <w:tcW w:w="3046" w:type="dxa"/>
          </w:tcPr>
          <w:p w:rsidR="00B25D9F" w:rsidRPr="00D90144" w:rsidRDefault="00B25D9F">
            <w:pPr>
              <w:pStyle w:val="Underskrifter"/>
            </w:pPr>
            <w:r w:rsidRPr="00D90144">
              <w:t>Ann-Kristine Johansson (S)</w:t>
            </w:r>
          </w:p>
        </w:tc>
      </w:tr>
      <w:tr w:rsidR="00000000" w:rsidRPr="00D90144">
        <w:trPr>
          <w:cantSplit/>
        </w:trPr>
        <w:tc>
          <w:tcPr>
            <w:tcW w:w="3046" w:type="dxa"/>
          </w:tcPr>
          <w:p w:rsidR="00B25D9F" w:rsidRPr="00D90144" w:rsidRDefault="00B25D9F">
            <w:pPr>
              <w:pStyle w:val="Underskrifter"/>
            </w:pPr>
            <w:r w:rsidRPr="00D90144">
              <w:t>Börje Vestlund (S)</w:t>
            </w:r>
          </w:p>
        </w:tc>
        <w:tc>
          <w:tcPr>
            <w:tcW w:w="3046" w:type="dxa"/>
          </w:tcPr>
          <w:p w:rsidR="00B25D9F" w:rsidRPr="00D90144" w:rsidRDefault="00B25D9F">
            <w:pPr>
              <w:pStyle w:val="Underskrifter"/>
            </w:pPr>
            <w:r w:rsidRPr="00D90144">
              <w:t>Karin Åström (S)</w:t>
            </w:r>
          </w:p>
        </w:tc>
      </w:tr>
      <w:tr w:rsidR="00000000" w:rsidRPr="00D90144">
        <w:trPr>
          <w:cantSplit/>
        </w:trPr>
        <w:tc>
          <w:tcPr>
            <w:tcW w:w="3046" w:type="dxa"/>
          </w:tcPr>
          <w:p w:rsidR="00B25D9F" w:rsidRPr="00D90144" w:rsidRDefault="00B25D9F">
            <w:pPr>
              <w:pStyle w:val="Underskrifter"/>
            </w:pPr>
            <w:r w:rsidRPr="00D90144">
              <w:t>Krister Örnfjäder (S)</w:t>
            </w:r>
          </w:p>
        </w:tc>
        <w:tc>
          <w:tcPr>
            <w:tcW w:w="3046" w:type="dxa"/>
          </w:tcPr>
          <w:p w:rsidR="00B25D9F" w:rsidRPr="00D90144" w:rsidRDefault="00B25D9F">
            <w:pPr>
              <w:pStyle w:val="Underskrifter"/>
            </w:pPr>
            <w:r w:rsidRPr="00D90144">
              <w:t>Ingemar Nilsson (S)</w:t>
            </w:r>
          </w:p>
        </w:tc>
      </w:tr>
      <w:tr w:rsidR="00000000" w:rsidRPr="00D90144">
        <w:trPr>
          <w:cantSplit/>
        </w:trPr>
        <w:tc>
          <w:tcPr>
            <w:tcW w:w="3046" w:type="dxa"/>
          </w:tcPr>
          <w:p w:rsidR="00B25D9F" w:rsidRPr="00D90144" w:rsidRDefault="00B25D9F">
            <w:pPr>
              <w:pStyle w:val="Underskrifter"/>
            </w:pPr>
            <w:r w:rsidRPr="00D90144">
              <w:t>Ingela Nylund Watz (S)</w:t>
            </w:r>
          </w:p>
        </w:tc>
        <w:tc>
          <w:tcPr>
            <w:tcW w:w="3046" w:type="dxa"/>
          </w:tcPr>
          <w:p w:rsidR="00B25D9F" w:rsidRPr="00D90144" w:rsidRDefault="00B25D9F">
            <w:pPr>
              <w:pStyle w:val="Underskrifter"/>
            </w:pPr>
          </w:p>
        </w:tc>
      </w:tr>
    </w:tbl>
    <w:p w:rsidR="00B25D9F" w:rsidRPr="00D90144" w:rsidRDefault="00B25D9F">
      <w:pPr>
        <w:pStyle w:val="Normaltindrag"/>
      </w:pPr>
    </w:p>
    <w:sectPr w:rsidR="00B25D9F" w:rsidRPr="00D901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D9F" w:rsidRPr="00D90144" w:rsidRDefault="00B25D9F">
      <w:r w:rsidRPr="00D90144">
        <w:separator/>
      </w:r>
    </w:p>
  </w:endnote>
  <w:endnote w:type="continuationSeparator" w:id="0">
    <w:p w:rsidR="00B25D9F" w:rsidRPr="00D90144" w:rsidRDefault="00B25D9F">
      <w:r w:rsidRPr="00D901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9F" w:rsidRPr="00D90144" w:rsidRDefault="00D90144">
    <w:pPr>
      <w:pStyle w:val="Sidfot"/>
    </w:pPr>
    <w:r w:rsidRPr="00D901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15919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9F" w:rsidRDefault="00B25D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D9F" w:rsidRDefault="00B25D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9F" w:rsidRPr="00D90144" w:rsidRDefault="00D90144">
    <w:pPr>
      <w:pStyle w:val="Sidfot"/>
    </w:pPr>
    <w:r w:rsidRPr="00D901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5778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9F" w:rsidRDefault="00B25D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D9F" w:rsidRDefault="00B25D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9F" w:rsidRPr="00D90144" w:rsidRDefault="00D90144">
    <w:pPr>
      <w:pStyle w:val="Sidfot"/>
    </w:pPr>
    <w:r w:rsidRPr="00D901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9965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9F" w:rsidRDefault="00B25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D9F" w:rsidRDefault="00B25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D9F" w:rsidRPr="00D90144" w:rsidRDefault="00B25D9F">
      <w:r w:rsidRPr="00D90144">
        <w:separator/>
      </w:r>
    </w:p>
  </w:footnote>
  <w:footnote w:type="continuationSeparator" w:id="0">
    <w:p w:rsidR="00B25D9F" w:rsidRPr="00D90144" w:rsidRDefault="00B25D9F">
      <w:r w:rsidRPr="00D901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9F" w:rsidRPr="00D90144" w:rsidRDefault="00D90144">
    <w:pPr>
      <w:pStyle w:val="Sidhuvud"/>
    </w:pPr>
    <w:r w:rsidRPr="00D901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71537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9F" w:rsidRDefault="00B25D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D9F" w:rsidRDefault="00B25D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9F" w:rsidRPr="00D90144" w:rsidRDefault="00D90144">
    <w:pPr>
      <w:pStyle w:val="Sidhuvud"/>
    </w:pPr>
    <w:r w:rsidRPr="00D901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89619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D9F" w:rsidRDefault="00B25D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D9F" w:rsidRDefault="00B25D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D9F" w:rsidRPr="00D90144" w:rsidRDefault="00B25D9F">
    <w:pPr>
      <w:pStyle w:val="FSHNormal"/>
      <w:tabs>
        <w:tab w:val="right" w:pos="5840"/>
      </w:tabs>
    </w:pPr>
    <w:r w:rsidRPr="00D90144">
      <w:br/>
    </w:r>
    <w:r w:rsidRPr="00D90144">
      <w:fldChar w:fldCharType="begin" w:fldLock="1"/>
    </w:r>
    <w:r w:rsidRPr="00D90144">
      <w:instrText xml:space="preserve"> DOCPROPERTY</w:instrText>
    </w:r>
    <w:r w:rsidRPr="00D90144">
      <w:rPr>
        <w:sz w:val="18"/>
      </w:rPr>
      <w:instrText xml:space="preserve"> "YearUser" *\charformat </w:instrText>
    </w:r>
    <w:r w:rsidRPr="00D90144">
      <w:fldChar w:fldCharType="separate"/>
    </w:r>
    <w:r w:rsidRPr="00D90144">
      <w:t>2011/12</w:t>
    </w:r>
    <w:r w:rsidRPr="00D90144">
      <w:fldChar w:fldCharType="end"/>
    </w:r>
    <w:r w:rsidRPr="00D90144">
      <w:t xml:space="preserve"> </w:t>
    </w:r>
    <w:r w:rsidRPr="00D90144">
      <w:tab/>
      <w:t xml:space="preserve">mnr: </w:t>
    </w:r>
    <w:r w:rsidRPr="00D90144">
      <w:fldChar w:fldCharType="begin" w:fldLock="1"/>
    </w:r>
    <w:r w:rsidRPr="00D90144">
      <w:instrText xml:space="preserve"> DOCPROPERTY</w:instrText>
    </w:r>
    <w:r w:rsidRPr="00D90144">
      <w:rPr>
        <w:sz w:val="18"/>
      </w:rPr>
      <w:instrText xml:space="preserve"> "Motionsnummer" *\charformat </w:instrText>
    </w:r>
    <w:r w:rsidRPr="00D90144">
      <w:fldChar w:fldCharType="separate"/>
    </w:r>
    <w:r w:rsidRPr="00D90144">
      <w:t>N349</w:t>
    </w:r>
    <w:r w:rsidRPr="00D90144">
      <w:fldChar w:fldCharType="end"/>
    </w:r>
    <w:r w:rsidRPr="00D90144">
      <w:br/>
    </w:r>
    <w:r w:rsidRPr="00D90144">
      <w:fldChar w:fldCharType="begin" w:fldLock="1"/>
    </w:r>
    <w:r w:rsidRPr="00D90144">
      <w:instrText xml:space="preserve"> DOCPROPERTY</w:instrText>
    </w:r>
    <w:r w:rsidRPr="00D90144">
      <w:rPr>
        <w:sz w:val="18"/>
      </w:rPr>
      <w:instrText xml:space="preserve"> "Samling" *\charformat </w:instrText>
    </w:r>
    <w:r w:rsidRPr="00D90144">
      <w:fldChar w:fldCharType="end"/>
    </w:r>
    <w:r w:rsidRPr="00D90144">
      <w:tab/>
      <w:t xml:space="preserve">pnr: </w:t>
    </w:r>
    <w:r w:rsidRPr="00D90144">
      <w:fldChar w:fldCharType="begin" w:fldLock="1"/>
    </w:r>
    <w:r w:rsidRPr="00D90144">
      <w:instrText xml:space="preserve"> DOCPROPERTY</w:instrText>
    </w:r>
    <w:r w:rsidRPr="00D90144">
      <w:rPr>
        <w:sz w:val="18"/>
      </w:rPr>
      <w:instrText xml:space="preserve"> "Partinummer" *\charformat </w:instrText>
    </w:r>
    <w:r w:rsidRPr="00D90144">
      <w:fldChar w:fldCharType="separate"/>
    </w:r>
    <w:r w:rsidRPr="00D90144">
      <w:t>S4008</w:t>
    </w:r>
    <w:r w:rsidRPr="00D90144">
      <w:fldChar w:fldCharType="end"/>
    </w:r>
  </w:p>
  <w:p w:rsidR="00B25D9F" w:rsidRPr="00D90144" w:rsidRDefault="00B25D9F">
    <w:pPr>
      <w:pStyle w:val="FSHRub1"/>
    </w:pPr>
    <w:r w:rsidRPr="00D90144">
      <w:t>Motion till riksdagen</w:t>
    </w:r>
    <w:r w:rsidRPr="00D90144">
      <w:br/>
    </w:r>
    <w:r w:rsidRPr="00D90144">
      <w:fldChar w:fldCharType="begin" w:fldLock="1"/>
    </w:r>
    <w:r w:rsidRPr="00D90144">
      <w:instrText xml:space="preserve"> DOCPROPERTY "YearUser" *\charformat </w:instrText>
    </w:r>
    <w:r w:rsidRPr="00D90144">
      <w:fldChar w:fldCharType="separate"/>
    </w:r>
    <w:r w:rsidRPr="00D90144">
      <w:t>2011/12</w:t>
    </w:r>
    <w:r w:rsidRPr="00D90144">
      <w:fldChar w:fldCharType="end"/>
    </w:r>
    <w:r w:rsidRPr="00D90144">
      <w:t>:</w:t>
    </w:r>
    <w:r w:rsidRPr="00D90144">
      <w:fldChar w:fldCharType="begin" w:fldLock="1"/>
    </w:r>
    <w:r w:rsidRPr="00D90144">
      <w:instrText xml:space="preserve"> DOCPROPERTY "Motionsnummer" *\charformat </w:instrText>
    </w:r>
    <w:r w:rsidRPr="00D90144">
      <w:fldChar w:fldCharType="separate"/>
    </w:r>
    <w:r w:rsidRPr="00D90144">
      <w:t>N349</w:t>
    </w:r>
    <w:r w:rsidRPr="00D90144">
      <w:fldChar w:fldCharType="end"/>
    </w:r>
  </w:p>
  <w:p w:rsidR="00B25D9F" w:rsidRPr="00D90144" w:rsidRDefault="00B25D9F">
    <w:pPr>
      <w:pStyle w:val="FSHNormalS5"/>
    </w:pPr>
    <w:r w:rsidRPr="00D90144">
      <w:fldChar w:fldCharType="begin" w:fldLock="1"/>
    </w:r>
    <w:r w:rsidRPr="00D90144">
      <w:instrText xml:space="preserve"> DOCPROPERTY "MotionarText" *\charformat </w:instrText>
    </w:r>
    <w:r w:rsidRPr="00D90144">
      <w:fldChar w:fldCharType="separate"/>
    </w:r>
    <w:r w:rsidRPr="00D90144">
      <w:t>av Lars Johansson m.fl. (S)</w:t>
    </w:r>
    <w:r w:rsidRPr="00D90144">
      <w:fldChar w:fldCharType="end"/>
    </w:r>
    <w:r w:rsidRPr="00D90144">
      <w:br/>
    </w:r>
    <w:r w:rsidRPr="00D90144">
      <w:fldChar w:fldCharType="begin" w:fldLock="1"/>
    </w:r>
    <w:r w:rsidRPr="00D90144">
      <w:instrText xml:space="preserve"> DOCPROPERTY "SvarFrasKort" *\charformat </w:instrText>
    </w:r>
    <w:r w:rsidRPr="00D90144">
      <w:fldChar w:fldCharType="end"/>
    </w:r>
  </w:p>
  <w:p w:rsidR="00B25D9F" w:rsidRPr="00D90144" w:rsidRDefault="00B25D9F">
    <w:pPr>
      <w:pStyle w:val="FSHTitel"/>
    </w:pPr>
    <w:r w:rsidRPr="00D90144">
      <w:fldChar w:fldCharType="begin" w:fldLock="1"/>
    </w:r>
    <w:r w:rsidRPr="00D90144">
      <w:instrText xml:space="preserve"> DOCPROPERTY</w:instrText>
    </w:r>
    <w:r w:rsidRPr="00D90144">
      <w:rPr>
        <w:sz w:val="18"/>
      </w:rPr>
      <w:instrText xml:space="preserve"> "RubrikSvar" *\charformat </w:instrText>
    </w:r>
    <w:r w:rsidRPr="00D90144">
      <w:fldChar w:fldCharType="separate"/>
    </w:r>
    <w:r w:rsidRPr="00D90144">
      <w:t>Utgiftsområde 19 Regional tillväxt</w:t>
    </w:r>
    <w:r w:rsidRPr="00D90144">
      <w:fldChar w:fldCharType="end"/>
    </w:r>
  </w:p>
  <w:p w:rsidR="00B25D9F" w:rsidRPr="00D90144" w:rsidRDefault="00B25D9F">
    <w:pPr>
      <w:pStyle w:val="Normal00"/>
    </w:pPr>
  </w:p>
  <w:p w:rsidR="00B25D9F" w:rsidRPr="00D90144" w:rsidRDefault="00B25D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96016D"/>
    <w:multiLevelType w:val="hybridMultilevel"/>
    <w:tmpl w:val="95F08A0C"/>
    <w:lvl w:ilvl="0" w:tplc="7098146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2773616">
    <w:abstractNumId w:val="3"/>
  </w:num>
  <w:num w:numId="2" w16cid:durableId="503933227">
    <w:abstractNumId w:val="2"/>
  </w:num>
  <w:num w:numId="3" w16cid:durableId="1489974226">
    <w:abstractNumId w:val="1"/>
  </w:num>
  <w:num w:numId="4" w16cid:durableId="1166089361">
    <w:abstractNumId w:val="0"/>
  </w:num>
  <w:num w:numId="5" w16cid:durableId="267393402">
    <w:abstractNumId w:val="7"/>
  </w:num>
  <w:num w:numId="6" w16cid:durableId="213934291">
    <w:abstractNumId w:val="6"/>
  </w:num>
  <w:num w:numId="7" w16cid:durableId="1219241509">
    <w:abstractNumId w:val="5"/>
  </w:num>
  <w:num w:numId="8" w16cid:durableId="101655953">
    <w:abstractNumId w:val="4"/>
  </w:num>
  <w:num w:numId="9" w16cid:durableId="1671905586">
    <w:abstractNumId w:val="8"/>
  </w:num>
  <w:num w:numId="10" w16cid:durableId="1422066198">
    <w:abstractNumId w:val="9"/>
  </w:num>
  <w:num w:numId="11" w16cid:durableId="670908963">
    <w:abstractNumId w:val="10"/>
  </w:num>
  <w:num w:numId="12" w16cid:durableId="207374621">
    <w:abstractNumId w:val="14"/>
  </w:num>
  <w:num w:numId="13" w16cid:durableId="441196154">
    <w:abstractNumId w:val="16"/>
  </w:num>
  <w:num w:numId="14" w16cid:durableId="1769504154">
    <w:abstractNumId w:val="17"/>
  </w:num>
  <w:num w:numId="15" w16cid:durableId="1378700345">
    <w:abstractNumId w:val="12"/>
  </w:num>
  <w:num w:numId="16" w16cid:durableId="1700012364">
    <w:abstractNumId w:val="19"/>
  </w:num>
  <w:num w:numId="17" w16cid:durableId="250358546">
    <w:abstractNumId w:val="18"/>
  </w:num>
  <w:num w:numId="18" w16cid:durableId="210000782">
    <w:abstractNumId w:val="15"/>
  </w:num>
  <w:num w:numId="19" w16cid:durableId="334042076">
    <w:abstractNumId w:val="13"/>
  </w:num>
  <w:num w:numId="20" w16cid:durableId="441338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5FD479D-7B1D-4149-A949-BD9CC9D47A21},{D5C07C81-85A2-4A77-9EA7-95BF2E6091CD},{C0175783-C0E5-4966-B8E8-1DBAD9A35C9A},{392718BA-4C56-4CF1-9F5D-BFB44667E03D},{E954FE74-C856-472A-91F0-9EBDC78CBAB7},{0D5154F2-1568-4B4A-87D8-4B7FABF18F22},{1D963EC1-580B-4CFE-8CAB-FB67D61C9B39},{0783B3C1-8F86-4DA1-A19E-068F907E9CB5}"/>
  </w:docVars>
  <w:rsids>
    <w:rsidRoot w:val="00685E52"/>
    <w:rsid w:val="00685E52"/>
    <w:rsid w:val="00B25D9F"/>
    <w:rsid w:val="00D901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F06E54-0F0B-4E7A-A1DE-C3C038B7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826</Characters>
  <Application>Microsoft Office Word</Application>
  <DocSecurity>4</DocSecurity>
  <Lines>35</Lines>
  <Paragraphs>26</Paragraphs>
  <ScaleCrop>false</ScaleCrop>
  <HeadingPairs>
    <vt:vector size="2" baseType="variant">
      <vt:variant>
        <vt:lpstr>Rubrik</vt:lpstr>
      </vt:variant>
      <vt:variant>
        <vt:i4>1</vt:i4>
      </vt:variant>
    </vt:vector>
  </HeadingPairs>
  <TitlesOfParts>
    <vt:vector size="1" baseType="lpstr">
      <vt:lpstr>S4008</vt:lpstr>
    </vt:vector>
  </TitlesOfParts>
  <Company>Riksdagen</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S4008</dc:title>
  <dc:subject>S4008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2011-10-28T13:09:00Z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19 Regional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19 Regional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(S)\Vestlund, Börje (S)\Åström, Karin (S)\Örnfjäder, Krister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Börje Vestlund (S), Karin Åström (S), Krister Örnfjäder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20112012000000000083000040080075</vt:lpwstr>
  </property>
  <property fmtid="{D5CDD505-2E9C-101B-9397-08002B2CF9AE}" pid="47" name="datum">
    <vt:lpwstr>111002</vt:lpwstr>
  </property>
  <property fmtid="{D5CDD505-2E9C-101B-9397-08002B2CF9AE}" pid="48" name="avsändar-e-post">
    <vt:lpwstr>erik.gutierrez.aranda@riksdagen.se</vt:lpwstr>
  </property>
  <property fmtid="{D5CDD505-2E9C-101B-9397-08002B2CF9AE}" pid="49" name="id">
    <vt:lpwstr>20112012000000000083000040080075</vt:lpwstr>
  </property>
  <property fmtid="{D5CDD505-2E9C-101B-9397-08002B2CF9AE}" pid="50" name="nummer">
    <vt:lpwstr>349</vt:lpwstr>
  </property>
  <property fmtid="{D5CDD505-2E9C-101B-9397-08002B2CF9AE}" pid="51" name="utskottsbeteckning">
    <vt:lpwstr>N</vt:lpwstr>
  </property>
  <property fmtid="{D5CDD505-2E9C-101B-9397-08002B2CF9AE}" pid="52" name="GlobalUID">
    <vt:lpwstr>{DF85B422-5820-40EC-85A4-C658285D761E}</vt:lpwstr>
  </property>
  <property fmtid="{D5CDD505-2E9C-101B-9397-08002B2CF9AE}" pid="53" name="Överföringar">
    <vt:i4>0</vt:i4>
  </property>
  <property fmtid="{D5CDD505-2E9C-101B-9397-08002B2CF9AE}" pid="54" name="Checksum">
    <vt:lpwstr>*1005214537075*</vt:lpwstr>
  </property>
  <property fmtid="{D5CDD505-2E9C-101B-9397-08002B2CF9AE}" pid="55" name="skuggnummer">
    <vt:lpwstr>2239</vt:lpwstr>
  </property>
  <property fmtid="{D5CDD505-2E9C-101B-9397-08002B2CF9AE}" pid="56" name="urixVersion">
    <vt:lpwstr>4.5.0.25</vt:lpwstr>
  </property>
  <property fmtid="{D5CDD505-2E9C-101B-9397-08002B2CF9AE}" pid="57" name="urixOrigin">
    <vt:lpwstr>111104 09:04:49.757</vt:lpwstr>
  </property>
  <property fmtid="{D5CDD505-2E9C-101B-9397-08002B2CF9AE}" pid="58" name="urixGuid">
    <vt:lpwstr>{00B1C230-1BAE-48AA-B094-B5147E6C4BF0}</vt:lpwstr>
  </property>
</Properties>
</file>