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7"/>
        <w:gridCol w:w="198"/>
        <w:gridCol w:w="1560"/>
      </w:tblGrid>
      <w:tr w:rsidR="00000000" w:rsidRPr="00106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1320"/>
        </w:trPr>
        <w:tc>
          <w:tcPr>
            <w:tcW w:w="5897" w:type="dxa"/>
          </w:tcPr>
          <w:p w:rsidR="00940E0D" w:rsidRPr="00106FDA" w:rsidRDefault="00940E0D">
            <w:pPr>
              <w:pStyle w:val="HuvudRubrik"/>
            </w:pPr>
            <w:r w:rsidRPr="00106FDA">
              <w:t>Regeringskansliet</w:t>
            </w:r>
          </w:p>
          <w:p w:rsidR="00940E0D" w:rsidRPr="00106FDA" w:rsidRDefault="00940E0D">
            <w:pPr>
              <w:pStyle w:val="HuvudRubrik"/>
            </w:pPr>
            <w:r w:rsidRPr="00106FDA">
              <w:t>Faktapromemoria  2010/11:FPM41</w:t>
            </w:r>
          </w:p>
        </w:tc>
      </w:tr>
      <w:tr w:rsidR="00000000" w:rsidRPr="00106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240"/>
        </w:trPr>
        <w:tc>
          <w:tcPr>
            <w:tcW w:w="5897" w:type="dxa"/>
          </w:tcPr>
          <w:p w:rsidR="00940E0D" w:rsidRPr="00106FDA" w:rsidRDefault="00940E0D">
            <w:pPr>
              <w:pStyle w:val="HuvudRubrik"/>
              <w:rPr>
                <w:sz w:val="28"/>
              </w:rPr>
            </w:pPr>
            <w:r w:rsidRPr="00106FDA">
              <w:t>Gränsöverskridande vägtransporter av kontanter i euro</w:t>
            </w:r>
          </w:p>
        </w:tc>
      </w:tr>
      <w:tr w:rsidR="00000000" w:rsidRPr="00106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7655" w:type="dxa"/>
            <w:gridSpan w:val="3"/>
          </w:tcPr>
          <w:p w:rsidR="00940E0D" w:rsidRPr="00106FDA" w:rsidRDefault="00940E0D">
            <w:pPr>
              <w:pStyle w:val="Departement"/>
              <w:rPr>
                <w:sz w:val="28"/>
              </w:rPr>
            </w:pPr>
            <w:r w:rsidRPr="00106FDA">
              <w:t>Finansdepartementet</w:t>
            </w:r>
          </w:p>
        </w:tc>
      </w:tr>
      <w:tr w:rsidR="00000000" w:rsidRPr="00106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/>
        </w:trPr>
        <w:tc>
          <w:tcPr>
            <w:tcW w:w="7655" w:type="dxa"/>
            <w:gridSpan w:val="3"/>
          </w:tcPr>
          <w:p w:rsidR="00940E0D" w:rsidRPr="00106FDA" w:rsidRDefault="00940E0D">
            <w:pPr>
              <w:pStyle w:val="Dokumentdatum"/>
            </w:pPr>
            <w:r w:rsidRPr="00106FDA">
              <w:t>2010-12-13</w:t>
            </w:r>
          </w:p>
        </w:tc>
      </w:tr>
      <w:tr w:rsidR="00000000" w:rsidRPr="00106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/>
        </w:trPr>
        <w:tc>
          <w:tcPr>
            <w:tcW w:w="7655" w:type="dxa"/>
            <w:gridSpan w:val="3"/>
            <w:vAlign w:val="bottom"/>
          </w:tcPr>
          <w:p w:rsidR="00940E0D" w:rsidRPr="00106FDA" w:rsidRDefault="00940E0D">
            <w:pPr>
              <w:pStyle w:val="Dokumentbeteckning"/>
            </w:pPr>
            <w:r w:rsidRPr="00106FDA">
              <w:t>Dokumentbeteckning</w:t>
            </w:r>
          </w:p>
        </w:tc>
      </w:tr>
      <w:tr w:rsidR="00000000" w:rsidRPr="00106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940E0D" w:rsidRPr="00106FDA" w:rsidRDefault="00940E0D">
            <w:bookmarkStart w:id="0" w:name="KomNr"/>
            <w:bookmarkEnd w:id="0"/>
            <w:r w:rsidRPr="00106FDA">
              <w:t>KOM(2010) 376</w:t>
            </w:r>
          </w:p>
        </w:tc>
      </w:tr>
      <w:tr w:rsidR="00000000" w:rsidRPr="00106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940E0D" w:rsidRPr="00106FDA" w:rsidRDefault="00940E0D">
            <w:pPr>
              <w:pStyle w:val="Dokumentbeteckning-titel"/>
            </w:pPr>
            <w:r w:rsidRPr="00106FDA">
              <w:t>Förslag till rådets förordning (EU) nr ../.. om utvidgningen av tillämpningsområdet för Europaparlamentets och rådets förordning nr xx/yy om yrkesmässig gränsöverskridande vägtransport av kontanter i euro mellan medlemsstaterna i euroområdet</w:t>
            </w:r>
          </w:p>
        </w:tc>
      </w:tr>
    </w:tbl>
    <w:p w:rsidR="00940E0D" w:rsidRPr="00106FDA" w:rsidRDefault="00940E0D"/>
    <w:p w:rsidR="00940E0D" w:rsidRPr="00106FDA" w:rsidRDefault="00940E0D">
      <w:pPr>
        <w:pStyle w:val="Rubrik1"/>
        <w:numPr>
          <w:ilvl w:val="0"/>
          <w:numId w:val="0"/>
        </w:numPr>
      </w:pPr>
      <w:r w:rsidRPr="00106FDA">
        <w:t>Sammanfattning</w:t>
      </w:r>
    </w:p>
    <w:p w:rsidR="00940E0D" w:rsidRPr="00106FDA" w:rsidRDefault="00940E0D">
      <w:r w:rsidRPr="00106FDA">
        <w:t>I anslutning till att kommissionen föreslår nya regler om yrkesmässig gränsöverskridande vägtransport av kontanter i euro mellan medlemsstaterna i euroområdet, föreslås även i en tilläggsförordning att de nya bestämmelserna ska tillämpas i medlemsstater utanför eurozonen som står i begrepp att börja använda euron som nationell valuta.</w:t>
      </w:r>
    </w:p>
    <w:p w:rsidR="00940E0D" w:rsidRPr="00106FDA" w:rsidRDefault="00940E0D"/>
    <w:p w:rsidR="00940E0D" w:rsidRPr="00106FDA" w:rsidRDefault="00940E0D">
      <w:r w:rsidRPr="00106FDA">
        <w:t>De föreslagna reglerna blir inte tillämpliga i de medlemsstater som vare sig ingår i eurozonen eller står i begrepp att införa euron som nationell valuta. Regeringen har mot denna bakgrund inte några synpunkter på de materiella regler som föreslås i tilläggsförordningen.</w:t>
      </w:r>
    </w:p>
    <w:p w:rsidR="00940E0D" w:rsidRPr="00106FDA" w:rsidRDefault="00940E0D">
      <w:pPr>
        <w:pStyle w:val="Rubrik1"/>
      </w:pPr>
      <w:r w:rsidRPr="00106FDA">
        <w:t>Förslaget</w:t>
      </w:r>
    </w:p>
    <w:p w:rsidR="00940E0D" w:rsidRPr="00106FDA" w:rsidRDefault="00940E0D">
      <w:pPr>
        <w:pStyle w:val="Rubrik2"/>
      </w:pPr>
      <w:r w:rsidRPr="00106FDA">
        <w:t>Ärendets bakgrund</w:t>
      </w:r>
    </w:p>
    <w:p w:rsidR="00940E0D" w:rsidRPr="00106FDA" w:rsidRDefault="00940E0D">
      <w:r w:rsidRPr="00106FDA">
        <w:t>Europeiska kommissionen publicerade 2009 en vitbok om yrkesmässiga gränsöverskridande vägtransporter av kontanter i euro mellan länderna i euroområdet. Enligt kommissionen krävdes en större harmonisering av reglerna för sådana värdetransporter såvitt avsåg bl.a. vilka tider på dygnet som transporter skulle få ske, tillståndskrav för de företag som genomför trans</w:t>
      </w:r>
      <w:r w:rsidRPr="00106FDA">
        <w:lastRenderedPageBreak/>
        <w:t xml:space="preserve">porterna, krav på hur transporterna skulle få gå till (t.ex. fordonens utrustning, antalet anställda och vilka lämplighetskrav de ska uppfylla, deras rätt att bära vapen m.m.) och bestämmelser om straff i fall då t.ex. ett värdetransportbolag bryter mot reglerna. Kommissionen presenterade därefter två förslag på förordningar den 14 juli 2010. </w:t>
      </w:r>
    </w:p>
    <w:p w:rsidR="00940E0D" w:rsidRPr="00106FDA" w:rsidRDefault="00940E0D">
      <w:r w:rsidRPr="00106FDA">
        <w:t xml:space="preserve">Riksdagen lämnade i juni 2009 ett utlåtande, från riksdagens justitieutskott, till Europeiska kommissionen avseende vitboken. I utlåtandet anfördes att det finns ett </w:t>
      </w:r>
      <w:r w:rsidRPr="00106FDA">
        <w:t>mervärde i att på EU-nivå inrätta gemensamma regler som möjliggör gränsöverskridande transporter av eurokontanter på väg mellan de medlemsstater som har infört euron. I övrigt anfördes inga synpunkter (utl. 2008/09:JuU28).</w:t>
      </w:r>
    </w:p>
    <w:p w:rsidR="00940E0D" w:rsidRPr="00106FDA" w:rsidRDefault="00940E0D">
      <w:pPr>
        <w:pStyle w:val="Rubrik2"/>
      </w:pPr>
      <w:r w:rsidRPr="00106FDA">
        <w:t>Förslagets innehåll</w:t>
      </w:r>
    </w:p>
    <w:p w:rsidR="00940E0D" w:rsidRPr="00106FDA" w:rsidRDefault="00940E0D">
      <w:r w:rsidRPr="00106FDA">
        <w:t>Det förordningsförslag som det nu är fråga om (”tilläggsförordningen”) innehåller bestämmelser med innebörden att reglerna i en annan förordning ska bli tillämpliga även för medlemsstater utanför eurozonen när dessa medlemsstater står i begrepp att börja använda euron som nationell valuta.</w:t>
      </w:r>
    </w:p>
    <w:p w:rsidR="00940E0D" w:rsidRPr="00106FDA" w:rsidRDefault="00940E0D">
      <w:r w:rsidRPr="00106FDA">
        <w:t>Det mer omfattande förslaget (nedan benämnt ”huvudförordningen”) innehåller i sammanlagt 31 artiklar förslag till detaljerade, materiella regler om gränsöverskridande vägtransporter av kontanter i euro mellan olika medlemsstater i eurozonen.</w:t>
      </w:r>
    </w:p>
    <w:p w:rsidR="00940E0D" w:rsidRPr="00106FDA" w:rsidRDefault="00940E0D">
      <w:pPr>
        <w:pStyle w:val="Rubrik2"/>
      </w:pPr>
      <w:r w:rsidRPr="00106FDA">
        <w:t>Gällande svenska regler och förslagets effekt på dessa</w:t>
      </w:r>
    </w:p>
    <w:p w:rsidR="00940E0D" w:rsidRPr="00106FDA" w:rsidRDefault="00940E0D">
      <w:r w:rsidRPr="00106FDA">
        <w:t>De föreslagna reglerna är inte tillämpliga i de medlemsstater som inte står i begrepp att införa euron som nationell valuta. Förslaget bedöms därför inte innebära någon påverkan på svenska regler.</w:t>
      </w:r>
    </w:p>
    <w:p w:rsidR="00940E0D" w:rsidRPr="00106FDA" w:rsidRDefault="00940E0D">
      <w:pPr>
        <w:pStyle w:val="Rubrik2"/>
      </w:pPr>
      <w:r w:rsidRPr="00106FDA">
        <w:t>Budgetära konsekvenser / Konsekvensanalys</w:t>
      </w:r>
    </w:p>
    <w:p w:rsidR="00940E0D" w:rsidRPr="00106FDA" w:rsidRDefault="00940E0D">
      <w:r w:rsidRPr="00106FDA">
        <w:t>De föreslagna reglerna, som inte blir tillämpliga i Sverige, bedöms inte medföra några konsekvenser för den svenska statsbudgeten.</w:t>
      </w:r>
    </w:p>
    <w:p w:rsidR="00940E0D" w:rsidRPr="00106FDA" w:rsidRDefault="00940E0D">
      <w:pPr>
        <w:pStyle w:val="Rubrik1"/>
      </w:pPr>
      <w:r w:rsidRPr="00106FDA">
        <w:t>Ståndpunkter</w:t>
      </w:r>
    </w:p>
    <w:p w:rsidR="00940E0D" w:rsidRPr="00106FDA" w:rsidRDefault="00940E0D">
      <w:pPr>
        <w:pStyle w:val="Rubrik2"/>
      </w:pPr>
      <w:r w:rsidRPr="00106FDA">
        <w:t>Preliminär svensk ståndpunkt</w:t>
      </w:r>
    </w:p>
    <w:p w:rsidR="00940E0D" w:rsidRPr="00106FDA" w:rsidRDefault="00940E0D">
      <w:pPr>
        <w:rPr>
          <w:szCs w:val="24"/>
        </w:rPr>
      </w:pPr>
      <w:r w:rsidRPr="00106FDA">
        <w:rPr>
          <w:szCs w:val="24"/>
        </w:rPr>
        <w:t>Förordningsförslagen i huvudförordningen är enbart tillämpliga på gränsöverskridande vägtransporter av kontanter i euro mellan länder i eurozonen. Regelverket i huvudförordningen är alltså inte tillämpligt på vare sig transporter inom enskilda medlemsstater i eurozonen eller på gränsöverskridande vägtransporter mellan euroländer och andra medlemsstater. Tilläggsförordningen innebär enbart att även medlemsstater som står i begrepp att införa euron som valuta kommer att omfattas av regleringen.</w:t>
      </w:r>
    </w:p>
    <w:p w:rsidR="00940E0D" w:rsidRPr="00106FDA" w:rsidRDefault="00940E0D">
      <w:r w:rsidRPr="00106FDA">
        <w:t>Regeringen har mot denna bakgrund inte några synpunkter på de materiella regler som föreslås i tilläggsförordningen.</w:t>
      </w:r>
    </w:p>
    <w:p w:rsidR="00940E0D" w:rsidRPr="00106FDA" w:rsidRDefault="00940E0D">
      <w:pPr>
        <w:pStyle w:val="Rubrik2"/>
      </w:pPr>
      <w:r w:rsidRPr="00106FDA">
        <w:t>Medlemsstaternas ståndpunkter</w:t>
      </w:r>
    </w:p>
    <w:p w:rsidR="00940E0D" w:rsidRPr="00106FDA" w:rsidRDefault="00940E0D">
      <w:r w:rsidRPr="00106FDA">
        <w:rPr>
          <w:color w:val="000000"/>
          <w:szCs w:val="19"/>
        </w:rPr>
        <w:t>Ingen medlemsstat motsätter sig de föreslagna reglerna i tilläggsförordningen. En majoritet av medlemsstaterna i eurozonen, som omfattas av såväl huvudförordningen som tilläggsförordningen, är positivt inställda till de båda förordningsförslagen.</w:t>
      </w:r>
    </w:p>
    <w:p w:rsidR="00940E0D" w:rsidRPr="00106FDA" w:rsidRDefault="00940E0D">
      <w:pPr>
        <w:pStyle w:val="Rubrik2"/>
      </w:pPr>
      <w:r w:rsidRPr="00106FDA">
        <w:t>Institutionernas ståndpunkter</w:t>
      </w:r>
    </w:p>
    <w:p w:rsidR="00940E0D" w:rsidRPr="00106FDA" w:rsidRDefault="00940E0D">
      <w:r w:rsidRPr="00106FDA">
        <w:rPr>
          <w:color w:val="000000"/>
          <w:szCs w:val="19"/>
        </w:rPr>
        <w:t>Förslaget kommer från kommissionen och har överlämnats till rådet och Europaparlamentet. En rapportör har utsetts för behandling i Europaparlamentet, men Europaparlamentets inställning är ännu inte känd.</w:t>
      </w:r>
    </w:p>
    <w:p w:rsidR="00940E0D" w:rsidRPr="00106FDA" w:rsidRDefault="00940E0D">
      <w:pPr>
        <w:pStyle w:val="Rubrik2"/>
      </w:pPr>
      <w:r w:rsidRPr="00106FDA">
        <w:t>Remissinstansernas ståndpunkter</w:t>
      </w:r>
    </w:p>
    <w:p w:rsidR="00940E0D" w:rsidRPr="00106FDA" w:rsidRDefault="00940E0D">
      <w:r w:rsidRPr="00106FDA">
        <w:t>Förslaget har inte varit föremål för remissbehandling.</w:t>
      </w:r>
    </w:p>
    <w:p w:rsidR="00940E0D" w:rsidRPr="00106FDA" w:rsidRDefault="00940E0D">
      <w:pPr>
        <w:pStyle w:val="Rubrik1"/>
      </w:pPr>
      <w:r w:rsidRPr="00106FDA">
        <w:t>Förslagets förutsättningar</w:t>
      </w:r>
    </w:p>
    <w:p w:rsidR="00940E0D" w:rsidRPr="00106FDA" w:rsidRDefault="00940E0D">
      <w:pPr>
        <w:pStyle w:val="Rubrik2"/>
      </w:pPr>
      <w:r w:rsidRPr="00106FDA">
        <w:t>Rättslig grund och beslutsförfarande</w:t>
      </w:r>
    </w:p>
    <w:p w:rsidR="00940E0D" w:rsidRPr="00106FDA" w:rsidRDefault="00940E0D">
      <w:r w:rsidRPr="00106FDA">
        <w:t>Artikel 352 i fördraget om Europeiska unionens funktionssätt (EUF-fördraget) utgör rättslig grund såvitt avser förslaget till tilläggsförordning. Rådet beslutar med enhällighet efter Europaparlamentets godkännande.</w:t>
      </w:r>
    </w:p>
    <w:p w:rsidR="00940E0D" w:rsidRPr="00106FDA" w:rsidRDefault="00940E0D">
      <w:r w:rsidRPr="00106FDA">
        <w:t>Såvitt avser huvudförordningen är den rättsliga grunden artikel 133 i fördraget om Europeiska unionens funktionssätt (EUF-fördraget). Förordningen antas, med hörande av Europeiska centralbanken, i enlighet med det ordinarie lagstiftningsförfarandet (artikel 294 EUF-fördraget). Rådet beslutar med kvalificerad majoritet, men enbart de länder som har infört euron som valuta har rösträtt. Europaparlamentet är medbeslutande.</w:t>
      </w:r>
    </w:p>
    <w:p w:rsidR="00940E0D" w:rsidRPr="00106FDA" w:rsidRDefault="00940E0D">
      <w:pPr>
        <w:pStyle w:val="Rubrik2"/>
      </w:pPr>
      <w:r w:rsidRPr="00106FDA">
        <w:t>Subsidiaritets- och proportionalitetsprincipen</w:t>
      </w:r>
    </w:p>
    <w:p w:rsidR="00940E0D" w:rsidRPr="00106FDA" w:rsidRDefault="00940E0D">
      <w:r w:rsidRPr="00106FDA">
        <w:t>Europeiska kommissionen anför såvitt avser tilläggsförordningen att unionsåtgärder är nödvändiga för att underlätta övergången till euro i de medlemsstater som står i begrepp att införa euron som nationell valuta. Regeringen har inget att invända mot kommissionens subsidiaritetsbedömning.</w:t>
      </w:r>
    </w:p>
    <w:p w:rsidR="00940E0D" w:rsidRPr="00106FDA" w:rsidRDefault="00940E0D">
      <w:pPr>
        <w:pStyle w:val="Rubrik1"/>
      </w:pPr>
      <w:r w:rsidRPr="00106FDA">
        <w:t>Övrigt</w:t>
      </w:r>
    </w:p>
    <w:p w:rsidR="00940E0D" w:rsidRPr="00106FDA" w:rsidRDefault="00940E0D">
      <w:pPr>
        <w:pStyle w:val="Rubrik2"/>
      </w:pPr>
      <w:r w:rsidRPr="00106FDA">
        <w:t>Fortsatt behandling av ärendet</w:t>
      </w:r>
    </w:p>
    <w:p w:rsidR="00940E0D" w:rsidRPr="00106FDA" w:rsidRDefault="00940E0D">
      <w:r w:rsidRPr="00106FDA">
        <w:t>Förslagen behandlas för närvarande i rådet, och kommer därefter att bli föremål för behandling i Europaparlamentet.</w:t>
      </w:r>
    </w:p>
    <w:p w:rsidR="00940E0D" w:rsidRPr="00106FDA" w:rsidRDefault="00940E0D">
      <w:pPr>
        <w:pStyle w:val="Rubrik2"/>
      </w:pPr>
      <w:r w:rsidRPr="00106FDA">
        <w:t>Fackuttryck/termer</w:t>
      </w:r>
    </w:p>
    <w:p w:rsidR="00940E0D" w:rsidRPr="00106FDA" w:rsidRDefault="00940E0D">
      <w:r w:rsidRPr="00106FDA">
        <w:t>-</w:t>
      </w:r>
    </w:p>
    <w:sectPr w:rsidR="00940E0D" w:rsidRPr="00106F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4876" w:bottom="4508" w:left="1134" w:header="227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0E0D" w:rsidRPr="00106FDA" w:rsidRDefault="00940E0D">
      <w:r w:rsidRPr="00106FDA">
        <w:separator/>
      </w:r>
    </w:p>
  </w:endnote>
  <w:endnote w:type="continuationSeparator" w:id="0">
    <w:p w:rsidR="00940E0D" w:rsidRPr="00106FDA" w:rsidRDefault="00940E0D">
      <w:r w:rsidRPr="00106F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0E0D" w:rsidRPr="00106FDA" w:rsidRDefault="00940E0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0E0D" w:rsidRPr="00106FDA" w:rsidRDefault="00940E0D">
    <w:pPr>
      <w:pStyle w:val="SidfotH"/>
      <w:framePr w:wrap="around"/>
    </w:pPr>
    <w:r w:rsidRPr="00106FDA">
      <w:t>4</w:t>
    </w:r>
  </w:p>
  <w:p w:rsidR="00940E0D" w:rsidRPr="00106FDA" w:rsidRDefault="00940E0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0E0D" w:rsidRPr="00106FDA" w:rsidRDefault="00940E0D">
    <w:pPr>
      <w:pStyle w:val="SidfotH"/>
      <w:framePr w:wrap="around"/>
    </w:pPr>
    <w:r w:rsidRPr="00106FDA">
      <w:t>1</w:t>
    </w:r>
  </w:p>
  <w:p w:rsidR="00940E0D" w:rsidRPr="00106FDA" w:rsidRDefault="00940E0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0E0D" w:rsidRPr="00106FDA" w:rsidRDefault="00940E0D">
      <w:r w:rsidRPr="00106FDA">
        <w:separator/>
      </w:r>
    </w:p>
  </w:footnote>
  <w:footnote w:type="continuationSeparator" w:id="0">
    <w:p w:rsidR="00940E0D" w:rsidRPr="00106FDA" w:rsidRDefault="00940E0D">
      <w:r w:rsidRPr="00106F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0E0D" w:rsidRPr="00106FDA" w:rsidRDefault="00940E0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0E0D" w:rsidRPr="00106FDA" w:rsidRDefault="00940E0D">
    <w:pPr>
      <w:pStyle w:val="Kantrubrik"/>
      <w:framePr w:h="1157" w:hRule="exact" w:wrap="around" w:y="738"/>
    </w:pPr>
    <w:r w:rsidRPr="00106FDA">
      <w:t>2010/11:FPM41</w:t>
    </w:r>
  </w:p>
  <w:p w:rsidR="00940E0D" w:rsidRPr="00106FDA" w:rsidRDefault="00940E0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0E0D" w:rsidRPr="00106FDA" w:rsidRDefault="00106FDA">
    <w:pPr>
      <w:pStyle w:val="Sidhuvud"/>
    </w:pPr>
    <w:r w:rsidRPr="00106FDA"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4464685</wp:posOffset>
              </wp:positionH>
              <wp:positionV relativeFrom="page">
                <wp:posOffset>274320</wp:posOffset>
              </wp:positionV>
              <wp:extent cx="533400" cy="981075"/>
              <wp:effectExtent l="0" t="0" r="0" b="0"/>
              <wp:wrapNone/>
              <wp:docPr id="20698429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0E0D" w:rsidRDefault="00940E0D">
                          <w:pPr>
                            <w:pStyle w:val="Logo"/>
                          </w:pPr>
                          <w:r>
                            <w:object w:dxaOrig="840" w:dyaOrig="154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pt;height:77.15pt" filled="t">
                                <v:imagedata r:id="rId1" o:title=""/>
                              </v:shape>
                              <o:OLEObject Type="Embed" ProgID="Word.Picture.8" ShapeID="_x0000_i1025" DrawAspect="Content" ObjectID="_1827521360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51.55pt;margin-top:21.6pt;width:42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c/m6QEAALkDAAAOAAAAZHJzL2Uyb0RvYy54bWysU9tu2zAMfR+wfxD0vthp160z4hRdigwD&#10;ugvQ7gNkWbaFyaJGKbGzrx8l2+m2vg3zg0CJ5CHPIb25GXvDjgq9Blvy9SrnTFkJtbZtyb897l9d&#10;c+aDsLUwYFXJT8rzm+3LF5vBFeoCOjC1QkYg1heDK3kXgiuyzMtO9cKvwClLzgawF4Gu2GY1ioHQ&#10;e5Nd5PmbbACsHYJU3tPr3eTk24TfNEqGL03jVWCm5NRbSCems4pntt2IokXhOi3nNsQ/dNELbano&#10;GepOBMEOqJ9B9VoieGjCSkKfQdNoqRIHYrPO/2Lz0AmnEhcSx7uzTP7/wcrPxwf3FVkY38NIA0wk&#10;vLsH+d0zC7tO2FbdIsLQKVFT4XWULBucL+bUKLUvfASphk9Q05DFIUACGhvsoyrEkxE6DeB0Fl2N&#10;gUl6vLq8fJ2TR5Lr3fU6f3uVKohiSXbowwcFPYtGyZFmmsDF8d6H2IwolpBYy4PR9V4bky7YVjuD&#10;7Cho/vv0zeh/hBkbgy3EtAkxviSWkdhEMYzVSM7ItoL6RHwRpn2i/SejA/zJ2UC7VHL/4yBQcWY+&#10;WtIsLt5i4GJUiyGspNSSB84mcxemBT041G1HyNNULNySro1OnJ+6mPuk/UhSzLscF/D3e4p6+uO2&#10;vwAAAP//AwBQSwMEFAAGAAgAAAAhAApSJuLfAAAACgEAAA8AAABkcnMvZG93bnJldi54bWxMj8FO&#10;wzAMhu9IvENkJC6IpevQMkrTCTa4wWFj2jlrTFvROFWTrt3bY05wtP3p9/fn68m14ox9aDxpmM8S&#10;EEiltw1VGg6fb/crECEasqb1hBouGGBdXF/lJrN+pB2e97ESHEIhMxrqGLtMylDW6EyY+Q6Jb1++&#10;dyby2FfS9mbkcNfKNEmW0pmG+ENtOtzUWH7vB6dhue2HcUebu+3h9d18dFV6fLkctb69mZ6fQESc&#10;4h8Mv/qsDgU7nfxANohWg0oWc0Y1PCxSEAyoleLFiclHpUAWufxfofgBAAD//wMAUEsBAi0AFAAG&#10;AAgAAAAhALaDOJL+AAAA4QEAABMAAAAAAAAAAAAAAAAAAAAAAFtDb250ZW50X1R5cGVzXS54bWxQ&#10;SwECLQAUAAYACAAAACEAOP0h/9YAAACUAQAACwAAAAAAAAAAAAAAAAAvAQAAX3JlbHMvLnJlbHNQ&#10;SwECLQAUAAYACAAAACEAY/nP5ukBAAC5AwAADgAAAAAAAAAAAAAAAAAuAgAAZHJzL2Uyb0RvYy54&#10;bWxQSwECLQAUAAYACAAAACEAClIm4t8AAAAKAQAADwAAAAAAAAAAAAAAAABDBAAAZHJzL2Rvd25y&#10;ZXYueG1sUEsFBgAAAAAEAAQA8wAAAE8FAAAAAA==&#10;" o:allowincell="f" stroked="f">
              <v:textbox inset="0,0,0,0">
                <w:txbxContent>
                  <w:p w:rsidR="00940E0D" w:rsidRDefault="00940E0D">
                    <w:pPr>
                      <w:pStyle w:val="Logo"/>
                    </w:pPr>
                    <w:r>
                      <w:object w:dxaOrig="840" w:dyaOrig="1545">
                        <v:shape id="_x0000_i1025" type="#_x0000_t75" style="width:42pt;height:77.15pt" filled="t">
                          <v:imagedata r:id="rId1" o:title=""/>
                        </v:shape>
                        <o:OLEObject Type="Embed" ProgID="Word.Picture.8" ShapeID="_x0000_i1025" DrawAspect="Content" ObjectID="_1827521360" r:id="rId3"/>
                      </w:objec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6903ED0"/>
    <w:lvl w:ilvl="0">
      <w:start w:val="1"/>
      <w:numFmt w:val="decimal"/>
      <w:pStyle w:val="Rubrik1"/>
      <w:isLgl/>
      <w:lvlText w:val="%1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Rubrik2"/>
      <w:isLgl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Rubrik3"/>
      <w:isLgl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C570C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42469A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5E25BA7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7001E68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C2147B4"/>
    <w:multiLevelType w:val="multilevel"/>
    <w:tmpl w:val="95C8C2EE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560749158">
    <w:abstractNumId w:val="4"/>
  </w:num>
  <w:num w:numId="2" w16cid:durableId="1205562010">
    <w:abstractNumId w:val="1"/>
  </w:num>
  <w:num w:numId="3" w16cid:durableId="1412310473">
    <w:abstractNumId w:val="2"/>
  </w:num>
  <w:num w:numId="4" w16cid:durableId="1152018225">
    <w:abstractNumId w:val="3"/>
  </w:num>
  <w:num w:numId="5" w16cid:durableId="5987225">
    <w:abstractNumId w:val="5"/>
  </w:num>
  <w:num w:numId="6" w16cid:durableId="1486897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ctiveWritingStyle w:appName="MSWord" w:lang="sv-SE" w:vendorID="0" w:dllVersion="512" w:checkStyle="1"/>
  <w:activeWritingStyle w:appName="MSWord" w:lang="sv-SE" w:vendorID="666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10-12-13"/>
    <w:docVar w:name="Ar" w:val="2010/11"/>
    <w:docVar w:name="Dep" w:val="Finansdepartementet"/>
    <w:docVar w:name="DepWeb" w:val="Finansdepartementet"/>
    <w:docVar w:name="GDB1" w:val="KOM(2010) 376"/>
    <w:docVar w:name="GDB10" w:val=" "/>
    <w:docVar w:name="GDB11" w:val=" "/>
    <w:docVar w:name="GDB12" w:val=" "/>
    <w:docVar w:name="GDB13" w:val=" "/>
    <w:docVar w:name="GDB2" w:val=" "/>
    <w:docVar w:name="GDB3" w:val=" "/>
    <w:docVar w:name="GDB4" w:val=" "/>
    <w:docVar w:name="GDB5" w:val=" "/>
    <w:docVar w:name="GDB6" w:val=" "/>
    <w:docVar w:name="GDB7" w:val=" "/>
    <w:docVar w:name="GDB8" w:val=" "/>
    <w:docVar w:name="GDB9" w:val=" "/>
    <w:docVar w:name="GDT1" w:val="Förslag till rådets förordning (EU) nr ../.. om utvidgningen av tillämpningsområdet för Europaparlamentets och rådets förordning nr xx/yy om yrkesmässig gränsöverskridande vägtransport av kontanter i euro mellan medlemsstaterna i euroområdet"/>
    <w:docVar w:name="GDT10" w:val=" "/>
    <w:docVar w:name="GDT11" w:val=" "/>
    <w:docVar w:name="GDT12" w:val=" "/>
    <w:docVar w:name="GDT13" w:val=" "/>
    <w:docVar w:name="GDT2" w:val=" "/>
    <w:docVar w:name="GDT3" w:val=" "/>
    <w:docVar w:name="GDT4" w:val=" "/>
    <w:docVar w:name="GDT5" w:val=" "/>
    <w:docVar w:name="GDT6" w:val=" "/>
    <w:docVar w:name="GDT7" w:val=" "/>
    <w:docVar w:name="GDT8" w:val=" "/>
    <w:docVar w:name="GDT9" w:val=" "/>
    <w:docVar w:name="GDTWeb" w:val="KOM(2010) 376"/>
    <w:docVar w:name="Nr" w:val="41"/>
    <w:docVar w:name="RD_APPVERSION" w:val="3.00"/>
    <w:docVar w:name="Rub" w:val="Gränsöverskridande vägtransporter av kontanter i euro"/>
    <w:docVar w:name="UppDat" w:val="2010-12-13"/>
    <w:docVar w:name="Utsk" w:val="Justitieutskottet"/>
  </w:docVars>
  <w:rsids>
    <w:rsidRoot w:val="00D3488B"/>
    <w:rsid w:val="00106FDA"/>
    <w:rsid w:val="00940E0D"/>
    <w:rsid w:val="00D3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7C89F23-0662-4888-BDF1-B5EA98A5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numPr>
        <w:numId w:val="6"/>
      </w:numPr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numPr>
        <w:ilvl w:val="1"/>
      </w:numPr>
      <w:spacing w:before="360" w:line="256" w:lineRule="exact"/>
      <w:outlineLvl w:val="1"/>
    </w:pPr>
    <w:rPr>
      <w:sz w:val="24"/>
    </w:rPr>
  </w:style>
  <w:style w:type="paragraph" w:styleId="Rubrik3">
    <w:name w:val="heading 3"/>
    <w:basedOn w:val="Rubrik1"/>
    <w:next w:val="Normal"/>
    <w:qFormat/>
    <w:pPr>
      <w:numPr>
        <w:ilvl w:val="2"/>
      </w:num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paragraph" w:styleId="Rubrik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170"/>
    </w:pPr>
  </w:style>
  <w:style w:type="paragraph" w:customStyle="1" w:styleId="BetRubrik">
    <w:name w:val="BetRubrik"/>
    <w:basedOn w:val="Rubrik1"/>
    <w:pPr>
      <w:numPr>
        <w:numId w:val="0"/>
      </w:numPr>
      <w:spacing w:line="480" w:lineRule="exact"/>
      <w:ind w:left="624" w:hanging="624"/>
      <w:outlineLvl w:val="9"/>
    </w:pPr>
    <w:rPr>
      <w:sz w:val="36"/>
    </w:r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HuvudRubrikRad2">
    <w:name w:val="HuvudRubrikRad2"/>
    <w:basedOn w:val="HuvudRubrik"/>
  </w:style>
  <w:style w:type="paragraph" w:customStyle="1" w:styleId="Innehll">
    <w:name w:val="Innehåll"/>
    <w:basedOn w:val="Rubrik1"/>
    <w:next w:val="Normal"/>
    <w:pPr>
      <w:numPr>
        <w:numId w:val="0"/>
      </w:numPr>
      <w:spacing w:before="0" w:after="245"/>
      <w:ind w:left="624" w:hanging="624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58" w:h="1159" w:hRule="exact" w:wrap="around" w:vAnchor="page" w:hAnchor="page" w:x="7372" w:y="568"/>
      <w:spacing w:before="0"/>
    </w:pPr>
    <w:rPr>
      <w:sz w:val="21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fotH">
    <w:name w:val="SidfotH"/>
    <w:basedOn w:val="Normal"/>
    <w:pPr>
      <w:framePr w:w="567" w:hSpace="142" w:vSpace="142" w:wrap="around" w:vAnchor="page" w:hAnchor="page" w:x="8223" w:y="12475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Dokumentbeteckning-titel">
    <w:name w:val="Dokumentbeteckning - titel"/>
    <w:basedOn w:val="Normal"/>
    <w:pPr>
      <w:spacing w:before="0"/>
    </w:pPr>
  </w:style>
  <w:style w:type="paragraph" w:customStyle="1" w:styleId="Dokumentdatum">
    <w:name w:val="Dokumentdatum"/>
    <w:basedOn w:val="Normal"/>
    <w:pPr>
      <w:spacing w:before="240" w:line="240" w:lineRule="auto"/>
      <w:jc w:val="left"/>
    </w:pPr>
    <w:rPr>
      <w:sz w:val="24"/>
    </w:rPr>
  </w:style>
  <w:style w:type="paragraph" w:customStyle="1" w:styleId="Dokumentbeteckning">
    <w:name w:val="Dokumentbeteckning"/>
    <w:basedOn w:val="HuvudRubrik"/>
    <w:rPr>
      <w:sz w:val="28"/>
    </w:rPr>
  </w:style>
  <w:style w:type="paragraph" w:customStyle="1" w:styleId="Departement">
    <w:name w:val="Departement"/>
    <w:basedOn w:val="Normal"/>
    <w:pPr>
      <w:suppressAutoHyphens/>
      <w:spacing w:before="160" w:line="240" w:lineRule="auto"/>
      <w:jc w:val="left"/>
    </w:pPr>
    <w:rPr>
      <w:sz w:val="26"/>
    </w:rPr>
  </w:style>
  <w:style w:type="paragraph" w:customStyle="1" w:styleId="BetUnderLogga">
    <w:name w:val="BetUnderLogga"/>
    <w:basedOn w:val="Normal"/>
    <w:pPr>
      <w:spacing w:before="0" w:line="360" w:lineRule="atLeast"/>
      <w:jc w:val="left"/>
    </w:pPr>
    <w:rPr>
      <w:sz w:val="22"/>
    </w:rPr>
  </w:style>
  <w:style w:type="paragraph" w:styleId="Kommentarer">
    <w:name w:val="annotation text"/>
    <w:basedOn w:val="Normal"/>
    <w:semiHidden/>
    <w:pPr>
      <w:jc w:val="left"/>
    </w:pPr>
    <w:rPr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allongtext1">
    <w:name w:val="Ballongtext1"/>
    <w:basedOn w:val="Normal"/>
    <w:semiHidden/>
    <w:rPr>
      <w:rFonts w:ascii="Tahoma" w:hAnsi="Tahoma" w:cs="Tahoma"/>
      <w:sz w:val="16"/>
      <w:szCs w:val="16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RKnormal">
    <w:name w:val="RKnormal"/>
    <w:basedOn w:val="Normal"/>
    <w:pPr>
      <w:tabs>
        <w:tab w:val="left" w:pos="2835"/>
      </w:tabs>
      <w:overflowPunct w:val="0"/>
      <w:autoSpaceDE w:val="0"/>
      <w:autoSpaceDN w:val="0"/>
      <w:adjustRightInd w:val="0"/>
      <w:spacing w:before="0" w:line="240" w:lineRule="atLeast"/>
      <w:jc w:val="left"/>
      <w:textAlignment w:val="baseline"/>
    </w:pPr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0615aa\Application%20Data\Microsoft\Mallar\Centralkansliet\FaktaPM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FaktaPM.dot</Template>
  <TotalTime>0</TotalTime>
  <Pages>2</Pages>
  <Words>721</Words>
  <Characters>4896</Characters>
  <Application>Microsoft Office Word</Application>
  <DocSecurity>4</DocSecurity>
  <Lines>102</Lines>
  <Paragraphs>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FPM_201011__41</vt:lpstr>
    </vt:vector>
  </TitlesOfParts>
  <Company>RD-DTSL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FPM_201011__41</dc:title>
  <dc:subject>FPM_201011__41</dc:subject>
  <dc:creator>Riksdagen</dc:creator>
  <cp:keywords>Riksdagen</cp:keywords>
  <dc:description>KP2004-version.  Ändringarna påverkar enbart användningen inom Riksdagen. 050429 nya departement DTSL.</dc:description>
  <cp:lastModifiedBy>Lars Brink</cp:lastModifiedBy>
  <cp:revision>2</cp:revision>
  <cp:lastPrinted>2010-12-14T08:41:00Z</cp:lastPrinted>
  <dcterms:created xsi:type="dcterms:W3CDTF">2025-12-17T18:16:00Z</dcterms:created>
  <dcterms:modified xsi:type="dcterms:W3CDTF">2025-12-17T18:16:00Z</dcterms:modified>
  <cp:category>Faktapromemoria (riksdagstryck)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FPM</vt:lpwstr>
  </property>
  <property fmtid="{D5CDD505-2E9C-101B-9397-08002B2CF9AE}" pid="3" name="Nr">
    <vt:lpwstr>41</vt:lpwstr>
  </property>
  <property fmtid="{D5CDD505-2E9C-101B-9397-08002B2CF9AE}" pid="4" name="GDB1">
    <vt:lpwstr>KOM(2010) 376</vt:lpwstr>
  </property>
  <property fmtid="{D5CDD505-2E9C-101B-9397-08002B2CF9AE}" pid="5" name="GDT1">
    <vt:lpwstr> </vt:lpwstr>
  </property>
  <property fmtid="{D5CDD505-2E9C-101B-9397-08002B2CF9AE}" pid="6" name="Dep">
    <vt:lpwstr>Finansdepartementet</vt:lpwstr>
  </property>
  <property fmtid="{D5CDD505-2E9C-101B-9397-08002B2CF9AE}" pid="7" name="Rub">
    <vt:lpwstr>Gränsöverskridande vägtransporter av kontanter i euro</vt:lpwstr>
  </property>
  <property fmtid="{D5CDD505-2E9C-101B-9397-08002B2CF9AE}" pid="8" name="UppDat">
    <vt:lpwstr>2010-12-13</vt:lpwstr>
  </property>
  <property fmtid="{D5CDD505-2E9C-101B-9397-08002B2CF9AE}" pid="9" name="AnkDat">
    <vt:lpwstr>2010-12-13</vt:lpwstr>
  </property>
  <property fmtid="{D5CDD505-2E9C-101B-9397-08002B2CF9AE}" pid="10" name="Utsk">
    <vt:lpwstr>Justitieutskottet</vt:lpwstr>
  </property>
  <property fmtid="{D5CDD505-2E9C-101B-9397-08002B2CF9AE}" pid="11" name="Ar">
    <vt:lpwstr>2010/11</vt:lpwstr>
  </property>
  <property fmtid="{D5CDD505-2E9C-101B-9397-08002B2CF9AE}" pid="12" name="Dokumenttyp">
    <vt:lpwstr> FaktaPM</vt:lpwstr>
  </property>
  <property fmtid="{D5CDD505-2E9C-101B-9397-08002B2CF9AE}" pid="13" name="Epostadress">
    <vt:lpwstr>me0615aa</vt:lpwstr>
  </property>
  <property fmtid="{D5CDD505-2E9C-101B-9397-08002B2CF9AE}" pid="14" name="GDB2">
    <vt:lpwstr> </vt:lpwstr>
  </property>
  <property fmtid="{D5CDD505-2E9C-101B-9397-08002B2CF9AE}" pid="15" name="GDB3">
    <vt:lpwstr> </vt:lpwstr>
  </property>
  <property fmtid="{D5CDD505-2E9C-101B-9397-08002B2CF9AE}" pid="16" name="GDB4">
    <vt:lpwstr> </vt:lpwstr>
  </property>
  <property fmtid="{D5CDD505-2E9C-101B-9397-08002B2CF9AE}" pid="17" name="GDB5">
    <vt:lpwstr> </vt:lpwstr>
  </property>
  <property fmtid="{D5CDD505-2E9C-101B-9397-08002B2CF9AE}" pid="18" name="GDB6">
    <vt:lpwstr> </vt:lpwstr>
  </property>
  <property fmtid="{D5CDD505-2E9C-101B-9397-08002B2CF9AE}" pid="19" name="GDB7">
    <vt:lpwstr> </vt:lpwstr>
  </property>
  <property fmtid="{D5CDD505-2E9C-101B-9397-08002B2CF9AE}" pid="20" name="GDB8">
    <vt:lpwstr> </vt:lpwstr>
  </property>
  <property fmtid="{D5CDD505-2E9C-101B-9397-08002B2CF9AE}" pid="21" name="GDB9">
    <vt:lpwstr> </vt:lpwstr>
  </property>
  <property fmtid="{D5CDD505-2E9C-101B-9397-08002B2CF9AE}" pid="22" name="GDB10">
    <vt:lpwstr> </vt:lpwstr>
  </property>
  <property fmtid="{D5CDD505-2E9C-101B-9397-08002B2CF9AE}" pid="23" name="GDB11">
    <vt:lpwstr> </vt:lpwstr>
  </property>
  <property fmtid="{D5CDD505-2E9C-101B-9397-08002B2CF9AE}" pid="24" name="GDB12">
    <vt:lpwstr> </vt:lpwstr>
  </property>
  <property fmtid="{D5CDD505-2E9C-101B-9397-08002B2CF9AE}" pid="25" name="GDB13">
    <vt:lpwstr> </vt:lpwstr>
  </property>
  <property fmtid="{D5CDD505-2E9C-101B-9397-08002B2CF9AE}" pid="26" name="Statsrådsberedningen">
    <vt:lpwstr>NEJ</vt:lpwstr>
  </property>
  <property fmtid="{D5CDD505-2E9C-101B-9397-08002B2CF9AE}" pid="27" name="Justitiedepartementet">
    <vt:lpwstr>NEJ</vt:lpwstr>
  </property>
  <property fmtid="{D5CDD505-2E9C-101B-9397-08002B2CF9AE}" pid="28" name="Utrikesdepartementet">
    <vt:lpwstr>NEJ</vt:lpwstr>
  </property>
  <property fmtid="{D5CDD505-2E9C-101B-9397-08002B2CF9AE}" pid="29" name="Försvarsdepartementet">
    <vt:lpwstr>NEJ</vt:lpwstr>
  </property>
  <property fmtid="{D5CDD505-2E9C-101B-9397-08002B2CF9AE}" pid="30" name="Socialdepartementet">
    <vt:lpwstr>NEJ</vt:lpwstr>
  </property>
  <property fmtid="{D5CDD505-2E9C-101B-9397-08002B2CF9AE}" pid="31" name="Finansdepartementet">
    <vt:lpwstr>JA</vt:lpwstr>
  </property>
  <property fmtid="{D5CDD505-2E9C-101B-9397-08002B2CF9AE}" pid="32" name="Utbildningsdepartementet">
    <vt:lpwstr>NEJ</vt:lpwstr>
  </property>
  <property fmtid="{D5CDD505-2E9C-101B-9397-08002B2CF9AE}" pid="33" name="Jordbruksdepartementet">
    <vt:lpwstr>NEJ</vt:lpwstr>
  </property>
  <property fmtid="{D5CDD505-2E9C-101B-9397-08002B2CF9AE}" pid="34" name="Miljödepartementet">
    <vt:lpwstr>NEJ</vt:lpwstr>
  </property>
  <property fmtid="{D5CDD505-2E9C-101B-9397-08002B2CF9AE}" pid="35" name="Näringsdepartementet">
    <vt:lpwstr>NEJ</vt:lpwstr>
  </property>
  <property fmtid="{D5CDD505-2E9C-101B-9397-08002B2CF9AE}" pid="36" name="Integrations- och jämställdhetsdepartementet">
    <vt:lpwstr>NEJ</vt:lpwstr>
  </property>
  <property fmtid="{D5CDD505-2E9C-101B-9397-08002B2CF9AE}" pid="37" name="Kulturdepartementet">
    <vt:lpwstr>NEJ</vt:lpwstr>
  </property>
  <property fmtid="{D5CDD505-2E9C-101B-9397-08002B2CF9AE}" pid="38" name="Arbetsmarknadsdepartementet">
    <vt:lpwstr>NEJ</vt:lpwstr>
  </property>
  <property fmtid="{D5CDD505-2E9C-101B-9397-08002B2CF9AE}" pid="39" name="Förvaltningsavdelningen">
    <vt:lpwstr>NEJ</vt:lpwstr>
  </property>
  <property fmtid="{D5CDD505-2E9C-101B-9397-08002B2CF9AE}" pid="40" name="DepID">
    <vt:lpwstr>6;0;0;259</vt:lpwstr>
  </property>
  <property fmtid="{D5CDD505-2E9C-101B-9397-08002B2CF9AE}" pid="41" name="Sprak">
    <vt:lpwstr>Svenska</vt:lpwstr>
  </property>
  <property fmtid="{D5CDD505-2E9C-101B-9397-08002B2CF9AE}" pid="42" name="DokID">
    <vt:i4>80</vt:i4>
  </property>
  <property fmtid="{D5CDD505-2E9C-101B-9397-08002B2CF9AE}" pid="43" name="ContentType">
    <vt:lpwstr>Word</vt:lpwstr>
  </property>
  <property fmtid="{D5CDD505-2E9C-101B-9397-08002B2CF9AE}" pid="44" name="RKOrdnaDepartement">
    <vt:lpwstr>Statsrådsberedningen</vt:lpwstr>
  </property>
  <property fmtid="{D5CDD505-2E9C-101B-9397-08002B2CF9AE}" pid="45" name="RKOrdnaActivityCategory">
    <vt:lpwstr>6.4. Administration</vt:lpwstr>
  </property>
  <property fmtid="{D5CDD505-2E9C-101B-9397-08002B2CF9AE}" pid="46" name="RKOrdnaDiarienummer">
    <vt:lpwstr/>
  </property>
  <property fmtid="{D5CDD505-2E9C-101B-9397-08002B2CF9AE}" pid="47" name="RKOrdnaSearchKeywords">
    <vt:lpwstr/>
  </property>
  <property fmtid="{D5CDD505-2E9C-101B-9397-08002B2CF9AE}" pid="48" name="RKOrdnaSarskildSkyddsvard">
    <vt:lpwstr>0</vt:lpwstr>
  </property>
  <property fmtid="{D5CDD505-2E9C-101B-9397-08002B2CF9AE}" pid="49" name="Landsbygdsdepartementet">
    <vt:lpwstr>NEJ</vt:lpwstr>
  </property>
</Properties>
</file>