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7E3" w:rsidRPr="003135B5" w:rsidRDefault="003867E3">
      <w:pPr>
        <w:pStyle w:val="Frslagsrubrik"/>
        <w:shd w:val="clear" w:color="000000" w:fill="auto"/>
      </w:pPr>
      <w:r w:rsidRPr="003135B5">
        <w:t>Förslag till riksdagsbeslut</w:t>
      </w:r>
    </w:p>
    <w:p w:rsidR="003867E3" w:rsidRPr="003135B5" w:rsidRDefault="003867E3">
      <w:pPr>
        <w:pStyle w:val="Hemstlatt"/>
        <w:numPr>
          <w:ilvl w:val="0"/>
          <w:numId w:val="1"/>
        </w:numPr>
        <w:shd w:val="clear" w:color="000000" w:fill="auto"/>
      </w:pPr>
      <w:r w:rsidRPr="003135B5">
        <w:t>Riksdagen avslår regeringens förslag att go</w:t>
      </w:r>
      <w:r w:rsidRPr="003135B5">
        <w:t>d</w:t>
      </w:r>
      <w:r w:rsidRPr="003135B5">
        <w:t>känna Europeiska rådets beslut 2011/199/EU av den 25 mars 2011 om ändring av artikel 136 i fördraget om Europeiska unionens fun</w:t>
      </w:r>
      <w:r w:rsidRPr="003135B5">
        <w:t>k</w:t>
      </w:r>
      <w:r w:rsidRPr="003135B5">
        <w:t>tionssätt vad gäller en stabiliseringsmekanism för de medlemsstater som har euron som valuta.</w:t>
      </w:r>
    </w:p>
    <w:p w:rsidR="003867E3" w:rsidRPr="003135B5" w:rsidRDefault="003867E3">
      <w:pPr>
        <w:pStyle w:val="Hemstlatt"/>
        <w:numPr>
          <w:ilvl w:val="0"/>
          <w:numId w:val="1"/>
        </w:numPr>
        <w:shd w:val="clear" w:color="000000" w:fill="auto"/>
      </w:pPr>
      <w:r w:rsidRPr="003135B5">
        <w:t>Riksdagen avslår regeringens förslag till lag om ändring i lagen (1994:1500) med anledning av Sveriges anslutning till Europ</w:t>
      </w:r>
      <w:r w:rsidRPr="003135B5">
        <w:t>e</w:t>
      </w:r>
      <w:r w:rsidRPr="003135B5">
        <w:t>iska unionen.</w:t>
      </w:r>
    </w:p>
    <w:p w:rsidR="003867E3" w:rsidRPr="003135B5" w:rsidRDefault="003867E3">
      <w:pPr>
        <w:pStyle w:val="Hemstlatt"/>
        <w:numPr>
          <w:ilvl w:val="0"/>
          <w:numId w:val="1"/>
        </w:numPr>
        <w:shd w:val="clear" w:color="000000" w:fill="auto"/>
      </w:pPr>
      <w:r w:rsidRPr="003135B5">
        <w:t>Riksdagen godkänner regeringens förslag att godkänna Europeiska rådets beslut 2011/199/EU av den 25 mars 2011 om än</w:t>
      </w:r>
      <w:r w:rsidRPr="003135B5">
        <w:t>d</w:t>
      </w:r>
      <w:r w:rsidRPr="003135B5">
        <w:t>ring av artikel 136 i fördraget om Europeiska unionens funktionssätt vad gäller en stabiliseringsmekanism för de medlemsstater som har euron som valuta om punkt 1 ovan avslås, med det villkoret att rege</w:t>
      </w:r>
      <w:r w:rsidRPr="003135B5">
        <w:t>r</w:t>
      </w:r>
      <w:r w:rsidRPr="003135B5">
        <w:t>ingen inte ratificerar avtalet innan ett juridiskt bindande socialt pr</w:t>
      </w:r>
      <w:r w:rsidRPr="003135B5">
        <w:t>o</w:t>
      </w:r>
      <w:r w:rsidRPr="003135B5">
        <w:t>tokoll införs på EU-nivå samt innan juridiskt bindande garantier i</w:t>
      </w:r>
      <w:r w:rsidRPr="003135B5">
        <w:t>n</w:t>
      </w:r>
      <w:r w:rsidRPr="003135B5">
        <w:t>förts för den svenska kollektivavtalsmodellen i enlighet med vad som anförs i motionen.</w:t>
      </w:r>
    </w:p>
    <w:p w:rsidR="003867E3" w:rsidRPr="003135B5" w:rsidRDefault="003867E3">
      <w:pPr>
        <w:pStyle w:val="Rubrik1"/>
        <w:shd w:val="clear" w:color="000000" w:fill="auto"/>
      </w:pPr>
      <w:r w:rsidRPr="003135B5">
        <w:t>Motivering</w:t>
      </w:r>
    </w:p>
    <w:p w:rsidR="003867E3" w:rsidRPr="003135B5" w:rsidRDefault="003867E3">
      <w:pPr>
        <w:shd w:val="clear" w:color="000000" w:fill="auto"/>
      </w:pPr>
      <w:r w:rsidRPr="003135B5">
        <w:t xml:space="preserve">Under de senaste åren har flera av valutaunionens länder, däribland Grekland, Irland, Portugal, Spanien och Italien, drabbats av betydande statsfinansiella problem. Den ekonomiska krisen inom euroområdet har blivit en politisk kris för hela EU. </w:t>
      </w:r>
    </w:p>
    <w:p w:rsidR="003867E3" w:rsidRPr="003135B5" w:rsidRDefault="003867E3">
      <w:pPr>
        <w:pStyle w:val="Normaltindrag"/>
        <w:shd w:val="clear" w:color="000000" w:fill="auto"/>
      </w:pPr>
      <w:r w:rsidRPr="003135B5">
        <w:lastRenderedPageBreak/>
        <w:t>Den ekonomiska krisen i valutaunionen är emellertid inte ett resultat av bristande budgetdisciplin. Bortsett från Grekland, samt i viss mån Portugal, var de offentliga finanserna i eurozonen innan finanskrisen tämligen starka. De statsfinansiella problem som flera av valutaområdets länder drabbats av är ett resultat av den globala finanskrisen 2007–2009, den gemensamma pe</w:t>
      </w:r>
      <w:r w:rsidRPr="003135B5">
        <w:t>n</w:t>
      </w:r>
      <w:r w:rsidRPr="003135B5">
        <w:t xml:space="preserve">ningpolitiken, obalanser i det privata sparandet inom valutaunionen samt ”inhemska” fastighets- och bankkriser.  </w:t>
      </w:r>
    </w:p>
    <w:p w:rsidR="003867E3" w:rsidRPr="003135B5" w:rsidRDefault="003867E3">
      <w:pPr>
        <w:pStyle w:val="Normaltindrag"/>
        <w:shd w:val="clear" w:color="000000" w:fill="auto"/>
      </w:pPr>
      <w:r w:rsidRPr="003135B5">
        <w:t>Utan möjligheten till självständig valutapolitik har flera sydeuropeiska länder fått se sin konkurrenskraft urholkad till följd av skillnader i produktiv</w:t>
      </w:r>
      <w:r w:rsidRPr="003135B5">
        <w:t>i</w:t>
      </w:r>
      <w:r w:rsidRPr="003135B5">
        <w:t>tetstillväxt bland valutaunionens länder. Detta har bidragit till stora underskott i bytesbalanserna och i de offentliga finanserna.</w:t>
      </w:r>
    </w:p>
    <w:p w:rsidR="003867E3" w:rsidRPr="003135B5" w:rsidRDefault="003867E3">
      <w:pPr>
        <w:pStyle w:val="Normaltindrag"/>
        <w:shd w:val="clear" w:color="000000" w:fill="auto"/>
      </w:pPr>
      <w:r w:rsidRPr="003135B5">
        <w:t>EU har emellertid inte tagit sig an de strukturella problem som ligger ba</w:t>
      </w:r>
      <w:r w:rsidRPr="003135B5">
        <w:t>k</w:t>
      </w:r>
      <w:r w:rsidRPr="003135B5">
        <w:t>om den ekonomiska krisen. EU:s svar på krisen har i stället i huvudsak bestått av två delar. För det första har man genomfört diverse stödpaket till de värst utsatta länderna och, som villkor för dessa, omfattande besparingar i de nati</w:t>
      </w:r>
      <w:r w:rsidRPr="003135B5">
        <w:t>o</w:t>
      </w:r>
      <w:r w:rsidRPr="003135B5">
        <w:t>nella budgeterna samt ingrepp i de fackliga rättigheterna. För det andra har man beslutat om ökad samordning och övervakning av den ekonomiska pol</w:t>
      </w:r>
      <w:r w:rsidRPr="003135B5">
        <w:t>i</w:t>
      </w:r>
      <w:r w:rsidRPr="003135B5">
        <w:t>tiken och skärpta budgetregler. Inget av detta tar emellertid fasta på de ba</w:t>
      </w:r>
      <w:r w:rsidRPr="003135B5">
        <w:t>k</w:t>
      </w:r>
      <w:r w:rsidRPr="003135B5">
        <w:t>omliggande strukturella orsakerna till krisen. Snar</w:t>
      </w:r>
      <w:r w:rsidRPr="003135B5">
        <w:t>are riskerar den ensidiga fokuseringen på besparingar och skärpta budgetregler att fördjupa och fö</w:t>
      </w:r>
      <w:r w:rsidRPr="003135B5">
        <w:t>r</w:t>
      </w:r>
      <w:r w:rsidRPr="003135B5">
        <w:t xml:space="preserve">länga den ekonomiska krisen. </w:t>
      </w:r>
    </w:p>
    <w:p w:rsidR="003867E3" w:rsidRPr="003135B5" w:rsidRDefault="003867E3">
      <w:pPr>
        <w:pStyle w:val="Normaltindrag"/>
        <w:shd w:val="clear" w:color="000000" w:fill="auto"/>
      </w:pPr>
      <w:r w:rsidRPr="003135B5">
        <w:t>Som ett led i krisbekämpningen beslöt rådet för ekonomiska och finansie</w:t>
      </w:r>
      <w:r w:rsidRPr="003135B5">
        <w:t>l</w:t>
      </w:r>
      <w:r w:rsidRPr="003135B5">
        <w:t>la frågor (Ekofin) den 9 maj 2010 bl.a. att sjösätta Europeiska finansiella stabiliseringsfaciliteten (EFSF) som backas upp med garantier från eurolä</w:t>
      </w:r>
      <w:r w:rsidRPr="003135B5">
        <w:t>n</w:t>
      </w:r>
      <w:r w:rsidRPr="003135B5">
        <w:t>derna på 440 miljarder euro. Med stöd av dessa garantier kan EFSF ta upp lån på de finansiella marknaderna och låna vidare till enskilda euroländer med statsfinansiella problem. Eftersom EFSF är temporär har diskussioner förts om behovet av en permanent ”räddningsfond” för euroländerna. Vid sitt möte den 16–17 december 2010 enades Europeiska rådet om att EUF-</w:t>
      </w:r>
      <w:r w:rsidRPr="003135B5">
        <w:t>fördraget skulle ändras för att inrätta en permanent stabiliseringsmekanism, den europ</w:t>
      </w:r>
      <w:r w:rsidRPr="003135B5">
        <w:t>e</w:t>
      </w:r>
      <w:r w:rsidRPr="003135B5">
        <w:t>iska stabiliseringsmekanismen (ESM). En detaljerad överenskommelse go</w:t>
      </w:r>
      <w:r w:rsidRPr="003135B5">
        <w:t>d</w:t>
      </w:r>
      <w:r w:rsidRPr="003135B5">
        <w:t>kändes vid Europeiska rådets möte den 24–25 mars 2011, varvid man antog Europeiska rådets beslut 2011/199/EU om ändring av fördraget.</w:t>
      </w:r>
    </w:p>
    <w:p w:rsidR="003867E3" w:rsidRPr="003135B5" w:rsidRDefault="003867E3">
      <w:pPr>
        <w:pStyle w:val="Normaltindrag"/>
        <w:shd w:val="clear" w:color="000000" w:fill="auto"/>
      </w:pPr>
      <w:r w:rsidRPr="003135B5">
        <w:t>Den ekonomiska krisen fortsatte dock att förvärras, vilket föranledde ett åtgärdspaket som presenterades av euroländernas stats- och regeringschefer den 21 juli 2011. Åtgärdspaketet innehöll förslag som gjorde det nödvänd</w:t>
      </w:r>
      <w:r w:rsidRPr="003135B5">
        <w:t xml:space="preserve">igt att ändra i det undertecknade ESM-fördraget. Det reviderade ESM-fördraget undertecknades av euroländerna den 2 februari 2012. </w:t>
      </w:r>
    </w:p>
    <w:p w:rsidR="003867E3" w:rsidRPr="003135B5" w:rsidRDefault="003867E3">
      <w:pPr>
        <w:pStyle w:val="Normaltindrag"/>
        <w:shd w:val="clear" w:color="000000" w:fill="auto"/>
      </w:pPr>
      <w:r w:rsidRPr="003135B5">
        <w:t>Bestämmelserna om Europeiska stabilitetsmekanismen (ESM) finns i:</w:t>
      </w:r>
    </w:p>
    <w:p w:rsidR="003867E3" w:rsidRPr="003135B5" w:rsidRDefault="003867E3">
      <w:pPr>
        <w:pStyle w:val="PunktlistaBomb"/>
        <w:shd w:val="clear" w:color="000000" w:fill="auto"/>
      </w:pPr>
      <w:r w:rsidRPr="003135B5">
        <w:t>Europeiska rådets beslut 2011/199/EU om ändring av artikel 136 i fördr</w:t>
      </w:r>
      <w:r w:rsidRPr="003135B5">
        <w:t>a</w:t>
      </w:r>
      <w:r w:rsidRPr="003135B5">
        <w:t>get om Europeiska unionens funktionssätt vad gäller en stabilitetsmek</w:t>
      </w:r>
      <w:r w:rsidRPr="003135B5">
        <w:t>a</w:t>
      </w:r>
      <w:r w:rsidRPr="003135B5">
        <w:t>nism för de medlemsstater som har euron som valuta</w:t>
      </w:r>
    </w:p>
    <w:p w:rsidR="003867E3" w:rsidRPr="003135B5" w:rsidRDefault="003867E3">
      <w:pPr>
        <w:pStyle w:val="PunktlistaBomb"/>
        <w:shd w:val="clear" w:color="000000" w:fill="auto"/>
        <w:spacing w:before="0"/>
      </w:pPr>
      <w:r w:rsidRPr="003135B5">
        <w:t>Fördraget om inrättande av europeiska stabilitetsmekanismen (ESM).</w:t>
      </w:r>
    </w:p>
    <w:p w:rsidR="003867E3" w:rsidRPr="003135B5" w:rsidRDefault="003867E3">
      <w:pPr>
        <w:shd w:val="clear" w:color="000000" w:fill="auto"/>
      </w:pPr>
      <w:r w:rsidRPr="003135B5">
        <w:t>Medlemmar i ESM är de medlemsstater i EU som har euron som valuta. När en medlemsstat inför euron kommer den som konsekvens därav att bli me</w:t>
      </w:r>
      <w:r w:rsidRPr="003135B5">
        <w:t>d</w:t>
      </w:r>
      <w:r w:rsidRPr="003135B5">
        <w:t>lem i ESM med fullständiga rättigheter och skyldigheter.</w:t>
      </w:r>
    </w:p>
    <w:p w:rsidR="003867E3" w:rsidRPr="003135B5" w:rsidRDefault="003867E3">
      <w:pPr>
        <w:pStyle w:val="Normaltindrag"/>
        <w:shd w:val="clear" w:color="000000" w:fill="auto"/>
      </w:pPr>
      <w:r w:rsidRPr="003135B5">
        <w:t>Syftet med ESM är att ge finansiellt stöd till euroländer om det är oun</w:t>
      </w:r>
      <w:r w:rsidRPr="003135B5">
        <w:t>d</w:t>
      </w:r>
      <w:r w:rsidRPr="003135B5">
        <w:t>gängligt för att trygga den finansiella stabiliteten i euroområdet som helhet. I detta syfte har ESM rätt att ta upp finansiering på de finansiella marknaderna. ESM:s kapital ska uppgå till 700 miljarder euro. Kapitalet ska fördelas på 80 miljarder euro i inbetalat kapital och 620 miljarder euro i garantikapital (i</w:t>
      </w:r>
      <w:r w:rsidRPr="003135B5">
        <w:t>n</w:t>
      </w:r>
      <w:r w:rsidRPr="003135B5">
        <w:t>fordringsbart kapital). Det inbetalade kapitalet ska betalas i fem lika stora årliga delbetalningar. Garantikapitalet ska helt eller delvis betalas in på beg</w:t>
      </w:r>
      <w:r w:rsidRPr="003135B5">
        <w:t>ä</w:t>
      </w:r>
      <w:r w:rsidRPr="003135B5">
        <w:t>ran, efter beslut med enkel majorite</w:t>
      </w:r>
      <w:r w:rsidRPr="003135B5">
        <w:t>t av styrelsen ifall det behövs för att täcka förluster.</w:t>
      </w:r>
    </w:p>
    <w:p w:rsidR="003867E3" w:rsidRPr="003135B5" w:rsidRDefault="003867E3">
      <w:pPr>
        <w:pStyle w:val="Normaltindrag"/>
        <w:shd w:val="clear" w:color="000000" w:fill="auto"/>
      </w:pPr>
      <w:r w:rsidRPr="003135B5">
        <w:t>ESM kommer att kunna lämna stabilitetsstöd på fem olika sätt.</w:t>
      </w:r>
    </w:p>
    <w:p w:rsidR="003867E3" w:rsidRPr="003135B5" w:rsidRDefault="003867E3">
      <w:pPr>
        <w:pStyle w:val="PunktlistaNummer"/>
        <w:shd w:val="clear" w:color="000000" w:fill="auto"/>
      </w:pPr>
      <w:r w:rsidRPr="003135B5">
        <w:t>Förebyggande finansiellt stöd i form av en kreditlina.</w:t>
      </w:r>
    </w:p>
    <w:p w:rsidR="003867E3" w:rsidRPr="003135B5" w:rsidRDefault="003867E3">
      <w:pPr>
        <w:pStyle w:val="PunktlistaNummer"/>
        <w:shd w:val="clear" w:color="000000" w:fill="auto"/>
        <w:spacing w:before="0"/>
      </w:pPr>
      <w:r w:rsidRPr="003135B5">
        <w:t>Rekapitalisering av finansiella institutioner.</w:t>
      </w:r>
    </w:p>
    <w:p w:rsidR="003867E3" w:rsidRPr="003135B5" w:rsidRDefault="003867E3">
      <w:pPr>
        <w:pStyle w:val="PunktlistaNummer"/>
        <w:shd w:val="clear" w:color="000000" w:fill="auto"/>
        <w:spacing w:before="0"/>
      </w:pPr>
      <w:r w:rsidRPr="003135B5">
        <w:t>Lån. Konditionaliteten läggs fast i ett makroekonomiskt anpassningspr</w:t>
      </w:r>
      <w:r w:rsidRPr="003135B5">
        <w:t>o</w:t>
      </w:r>
      <w:r w:rsidRPr="003135B5">
        <w:t>gram.</w:t>
      </w:r>
    </w:p>
    <w:p w:rsidR="003867E3" w:rsidRPr="003135B5" w:rsidRDefault="003867E3">
      <w:pPr>
        <w:pStyle w:val="PunktlistaNummer"/>
        <w:shd w:val="clear" w:color="000000" w:fill="auto"/>
        <w:spacing w:before="0"/>
      </w:pPr>
      <w:r w:rsidRPr="003135B5">
        <w:t>Köp av statsobligationer på primärmarknaden, dvs. att ESM köper stat</w:t>
      </w:r>
      <w:r w:rsidRPr="003135B5">
        <w:t>s</w:t>
      </w:r>
      <w:r w:rsidRPr="003135B5">
        <w:t>obligationer direkt av den berörda medlemsstaten.</w:t>
      </w:r>
    </w:p>
    <w:p w:rsidR="003867E3" w:rsidRPr="003135B5" w:rsidRDefault="003867E3">
      <w:pPr>
        <w:pStyle w:val="PunktlistaNummer"/>
        <w:shd w:val="clear" w:color="000000" w:fill="auto"/>
        <w:spacing w:before="0"/>
      </w:pPr>
      <w:r w:rsidRPr="003135B5">
        <w:t>Köp av statsobligationer på sekundärmarknaden.</w:t>
      </w:r>
    </w:p>
    <w:p w:rsidR="003867E3" w:rsidRPr="003135B5" w:rsidRDefault="003867E3">
      <w:pPr>
        <w:shd w:val="clear" w:color="000000" w:fill="auto"/>
      </w:pPr>
      <w:r w:rsidRPr="003135B5">
        <w:t>När det gäller den privata sektorns medverkan i stödaktioner ska ESM följa IMF:s praxis, vilket innebär att den privata sektorns medverkan endast blir aktuell i exceptionella fall. Finansiellt stöd från ESM ska ske på ”strikta vil</w:t>
      </w:r>
      <w:r w:rsidRPr="003135B5">
        <w:t>l</w:t>
      </w:r>
      <w:r w:rsidRPr="003135B5">
        <w:t>kor”. Sådana villkor kan gälla allt från ett makroekonomiskt anpassningspr</w:t>
      </w:r>
      <w:r w:rsidRPr="003135B5">
        <w:t>o</w:t>
      </w:r>
      <w:r w:rsidRPr="003135B5">
        <w:t>gram till fortlöpande iakttagande av i förväg fastställda kvalifikationskrav.</w:t>
      </w:r>
    </w:p>
    <w:p w:rsidR="003867E3" w:rsidRPr="003135B5" w:rsidRDefault="003867E3">
      <w:pPr>
        <w:pStyle w:val="Normaltindrag"/>
        <w:shd w:val="clear" w:color="000000" w:fill="auto"/>
      </w:pPr>
      <w:r w:rsidRPr="003135B5">
        <w:t>Det kan finnas skäl för valutaunionens länder att inrätta någon typ av f</w:t>
      </w:r>
      <w:r w:rsidRPr="003135B5">
        <w:t>i</w:t>
      </w:r>
      <w:r w:rsidRPr="003135B5">
        <w:t>nansiell stabiliseringsmekanism som kan kanalisera finansiellt stöd till länder med statsfinansiella problem. Men av följande skäl kan inte Vänsterpartiet ställa sig bakom den föreslagna fördragsändringen.</w:t>
      </w:r>
    </w:p>
    <w:p w:rsidR="003867E3" w:rsidRPr="003135B5" w:rsidRDefault="003867E3">
      <w:pPr>
        <w:pStyle w:val="PunktlistaNummer"/>
        <w:numPr>
          <w:ilvl w:val="0"/>
          <w:numId w:val="21"/>
        </w:numPr>
        <w:shd w:val="clear" w:color="000000" w:fill="auto"/>
        <w:tabs>
          <w:tab w:val="clear" w:pos="340"/>
        </w:tabs>
      </w:pPr>
      <w:r w:rsidRPr="003135B5">
        <w:t>Den privata sektorns medverkan är underställd IMF:s praxis, vilket inn</w:t>
      </w:r>
      <w:r w:rsidRPr="003135B5">
        <w:t>e</w:t>
      </w:r>
      <w:r w:rsidRPr="003135B5">
        <w:t>bär att den privata sektorns medverkan endast blir aktuell i exceptionella fall. Detta är inte rimligt då den nuvarande krisen i mångt och mycket är en bankkris. Det var excesserna inom den finansiella sektorn som utlöste finanskrisen 2008 och den därpå följande djupa lågkonjunkturen. De statsfinansiella problemen i euroområdet är en direkt följd av detta. Dä</w:t>
      </w:r>
      <w:r w:rsidRPr="003135B5">
        <w:t>r</w:t>
      </w:r>
      <w:r w:rsidRPr="003135B5">
        <w:t>till har bankerna kunnat tjäna enorma summor på den förda krispolitiken inom euroområdet. De har kunnat låna pengar till mycket låg ränta av Europeis</w:t>
      </w:r>
      <w:r w:rsidRPr="003135B5">
        <w:t>ka centralbanken, inte minst inom ramen för ECB:s nyligen a</w:t>
      </w:r>
      <w:r w:rsidRPr="003135B5">
        <w:t>v</w:t>
      </w:r>
      <w:r w:rsidRPr="003135B5">
        <w:t>slutade program med treåriga lån</w:t>
      </w:r>
      <w:r w:rsidRPr="003135B5">
        <w:rPr>
          <w:rStyle w:val="Fotnotsreferens"/>
        </w:rPr>
        <w:footnoteReference w:id="2"/>
      </w:r>
      <w:r w:rsidRPr="003135B5">
        <w:t>, och sedan kunnat placera dessa i t.ex. spanska och italienska statspapper till mycket hög ränta. Det är inte ri</w:t>
      </w:r>
      <w:r w:rsidRPr="003135B5">
        <w:t>m</w:t>
      </w:r>
      <w:r w:rsidRPr="003135B5">
        <w:t>ligt att de som först skapade krisen, och sedan tjänat stora pengar på de</w:t>
      </w:r>
      <w:r w:rsidRPr="003135B5">
        <w:t>n</w:t>
      </w:r>
      <w:r w:rsidRPr="003135B5">
        <w:t>samma, inte ska vara med och betala för krishanteringen.</w:t>
      </w:r>
    </w:p>
    <w:p w:rsidR="003867E3" w:rsidRPr="003135B5" w:rsidRDefault="003867E3">
      <w:pPr>
        <w:pStyle w:val="PunktlistaNummer"/>
        <w:shd w:val="clear" w:color="000000" w:fill="auto"/>
        <w:spacing w:before="0"/>
      </w:pPr>
      <w:r w:rsidRPr="003135B5">
        <w:t>I fördraget om ESM slås det fast att stöd får ges till rekapitalisering av finansiella institutioner. På detta vis förstärks den nuvarande politiken där den finansiella sektorn vältrar över kostnaderna och riskerna på ska</w:t>
      </w:r>
      <w:r w:rsidRPr="003135B5">
        <w:t>t</w:t>
      </w:r>
      <w:r w:rsidRPr="003135B5">
        <w:t xml:space="preserve">tebetalarna. </w:t>
      </w:r>
    </w:p>
    <w:p w:rsidR="003867E3" w:rsidRPr="003135B5" w:rsidRDefault="003867E3">
      <w:pPr>
        <w:pStyle w:val="PunktlistaNummer"/>
        <w:shd w:val="clear" w:color="000000" w:fill="auto"/>
        <w:spacing w:before="0"/>
      </w:pPr>
      <w:r w:rsidRPr="003135B5">
        <w:t>I fördraget sägs det att stöd endast kommer att betalas ut på ”strikta vil</w:t>
      </w:r>
      <w:r w:rsidRPr="003135B5">
        <w:t>l</w:t>
      </w:r>
      <w:r w:rsidRPr="003135B5">
        <w:t>kor”. Någon närmare precisering av dessa villkor görs inte. Det är dock rimligt att anta att villkoren för stöden kommer att ligga i linje med de villkor som EU hittills har ställt upp för stöden till bl.a. Grekland, Span</w:t>
      </w:r>
      <w:r w:rsidRPr="003135B5">
        <w:t>i</w:t>
      </w:r>
      <w:r w:rsidRPr="003135B5">
        <w:t>en och Irland. Dessa har präglats av en nyliberal slagsida i form av krav på sänkta löner, privatiseringar, nedskärningar i offentliga välfärdssystem och urholkade fackliga rättigheter. Förutom att dessa krav har haft en oacceptabel fördelningsprofil har de fördjupat och förlängt den ekon</w:t>
      </w:r>
      <w:r w:rsidRPr="003135B5">
        <w:t>o</w:t>
      </w:r>
      <w:r w:rsidRPr="003135B5">
        <w:t xml:space="preserve">miska krisen i euroområdet. </w:t>
      </w:r>
    </w:p>
    <w:p w:rsidR="003867E3" w:rsidRPr="003135B5" w:rsidRDefault="003867E3">
      <w:pPr>
        <w:pStyle w:val="PunktlistaNummer"/>
        <w:shd w:val="clear" w:color="000000" w:fill="auto"/>
        <w:spacing w:before="0"/>
      </w:pPr>
      <w:r w:rsidRPr="003135B5">
        <w:t>Artikel 32:3 i ESM-fördraget slår fast följande: ”ESM, dess egendom, medel och tillgångar, var de än finns och vem som än innehar dem, ska åtnjuta immunitet från varje form av rättsligt förfarande utom då ESM u</w:t>
      </w:r>
      <w:r w:rsidRPr="003135B5">
        <w:t>t</w:t>
      </w:r>
      <w:r w:rsidRPr="003135B5">
        <w:t>tryckligen avstår från sin immunitet för eventuella åtgärder eller till följd av avtalsvillkor, inbegripet dokumentationen om finansieringsinstrume</w:t>
      </w:r>
      <w:r w:rsidRPr="003135B5">
        <w:t>n</w:t>
      </w:r>
      <w:r w:rsidRPr="003135B5">
        <w:t>ten”. Vi menar att denna artikel strider mot grundläggande juridiska pri</w:t>
      </w:r>
      <w:r w:rsidRPr="003135B5">
        <w:t>n</w:t>
      </w:r>
      <w:r w:rsidRPr="003135B5">
        <w:t>ciper om öppenhet och ansvarsutkrävande.</w:t>
      </w:r>
    </w:p>
    <w:p w:rsidR="003867E3" w:rsidRPr="003135B5" w:rsidRDefault="003867E3">
      <w:pPr>
        <w:shd w:val="clear" w:color="000000" w:fill="auto"/>
      </w:pPr>
      <w:r w:rsidRPr="003135B5">
        <w:t>Mot bakgrund av ovanstående skäl avslår Vänsterpartiet regeringens förslag att godkänna Europeiska rådets beslut 2011/199/EU av den 25 mars 2011 om ändring av artikel 136 i fördraget om Europeiska unionens funktionssätt vad gäller en stabiliseringsm</w:t>
      </w:r>
      <w:r w:rsidRPr="003135B5">
        <w:t>ekanism för de medlemsstater som har euron som valuta. I konsekvens med detta avslår Vänsterpartiet regeringens förslag om ändring i lagen (1994:1500) med anledning av Sveriges anslutning till Eur</w:t>
      </w:r>
      <w:r w:rsidRPr="003135B5">
        <w:t>o</w:t>
      </w:r>
      <w:r w:rsidRPr="003135B5">
        <w:t>peiska unionen.</w:t>
      </w:r>
    </w:p>
    <w:p w:rsidR="003867E3" w:rsidRPr="003135B5" w:rsidRDefault="003867E3">
      <w:pPr>
        <w:pStyle w:val="Rubrik2"/>
        <w:shd w:val="clear" w:color="000000" w:fill="auto"/>
      </w:pPr>
      <w:r w:rsidRPr="003135B5">
        <w:t>Juridiskt bindande socialt protokoll och permanent skydd för den svenska modellen</w:t>
      </w:r>
    </w:p>
    <w:p w:rsidR="003867E3" w:rsidRPr="003135B5" w:rsidRDefault="003867E3">
      <w:pPr>
        <w:shd w:val="clear" w:color="000000" w:fill="auto"/>
      </w:pPr>
      <w:r w:rsidRPr="003135B5">
        <w:t xml:space="preserve">Eurokrisen har medfört att löntagarnas intressen är satta under stark press. Nödlånen till de mest utsatta länderna har villkorats med omfattande krav på sänkta löner och uppluckrad arbetsrätt. Därtill har EU fattat beslut om ökad samordning av den ekonomiska politiken och skärpta budgetregler i samband med det s.k. 6-packet och den s.k. finanspakten. Inget av detta tar emellertid fasta på de bakomliggande strukturella orsakerna till krisen. Orsaken till den nuvarande krisen har sin grund i den gemensamma </w:t>
      </w:r>
      <w:r w:rsidRPr="003135B5">
        <w:t>penning- och valutapolit</w:t>
      </w:r>
      <w:r w:rsidRPr="003135B5">
        <w:t>i</w:t>
      </w:r>
      <w:r w:rsidRPr="003135B5">
        <w:t>ken, vilket skapar makroekonomiska obalanser inom valutaunionen, vilket manifesteras i stora skillnader i ländernas bytesbalanssaldon.</w:t>
      </w:r>
    </w:p>
    <w:p w:rsidR="003867E3" w:rsidRPr="003135B5" w:rsidRDefault="003867E3">
      <w:pPr>
        <w:pStyle w:val="Normaltindrag"/>
        <w:shd w:val="clear" w:color="000000" w:fill="auto"/>
      </w:pPr>
      <w:r w:rsidRPr="003135B5">
        <w:t>Eftersom EU besynnerligt nog inte tycks se stora överskott i de nordeur</w:t>
      </w:r>
      <w:r w:rsidRPr="003135B5">
        <w:t>o</w:t>
      </w:r>
      <w:r w:rsidRPr="003135B5">
        <w:t>peiska ländernas bytesbalanser som ett problem läggs hela bördan för att komma till rätta med de makroekonomiska obalanserna på underskottslände</w:t>
      </w:r>
      <w:r w:rsidRPr="003135B5">
        <w:t>r</w:t>
      </w:r>
      <w:r w:rsidRPr="003135B5">
        <w:t>na i Sydeuropa. Eftersom länderna i valutaunionen är bundna av den geme</w:t>
      </w:r>
      <w:r w:rsidRPr="003135B5">
        <w:t>n</w:t>
      </w:r>
      <w:r w:rsidRPr="003135B5">
        <w:t>samma valutan är dessa satta under stark press att genomföra s.k. interna devalveringar för att på så sätt förbättra sin konkurrenskraft, där urholkade fackliga rättigheter används som metod för att driva igenom lönesänkningar.</w:t>
      </w:r>
    </w:p>
    <w:p w:rsidR="003867E3" w:rsidRPr="003135B5" w:rsidRDefault="003867E3">
      <w:pPr>
        <w:pStyle w:val="Normaltindrag"/>
        <w:shd w:val="clear" w:color="000000" w:fill="auto"/>
      </w:pPr>
      <w:r w:rsidRPr="003135B5">
        <w:t xml:space="preserve">Förslaget om att inrätta en permanent stabiliseringsmekanism, den </w:t>
      </w:r>
      <w:r w:rsidRPr="003135B5">
        <w:t>europ</w:t>
      </w:r>
      <w:r w:rsidRPr="003135B5">
        <w:t>e</w:t>
      </w:r>
      <w:r w:rsidRPr="003135B5">
        <w:t>iska stabiliseringsmekanismen (ESM), ska ses i ljuset av detta. Liksom 6-packet och finanspakten adresserar inte ESM valutaunionens strukturella problem. Snarare riskerar den att cementera den nuvarande politiken med nödlån till olika länder parat med ytterligare krav på sänkta löner och urho</w:t>
      </w:r>
      <w:r w:rsidRPr="003135B5">
        <w:t>l</w:t>
      </w:r>
      <w:r w:rsidRPr="003135B5">
        <w:t xml:space="preserve">kade fackliga rättigheter. </w:t>
      </w:r>
    </w:p>
    <w:p w:rsidR="003867E3" w:rsidRPr="003135B5" w:rsidRDefault="003867E3">
      <w:pPr>
        <w:pStyle w:val="Rubrik3"/>
        <w:shd w:val="clear" w:color="000000" w:fill="auto"/>
      </w:pPr>
      <w:r w:rsidRPr="003135B5">
        <w:t>Juridiskt bindande socialt protokoll</w:t>
      </w:r>
    </w:p>
    <w:p w:rsidR="003867E3" w:rsidRPr="003135B5" w:rsidRDefault="003867E3">
      <w:pPr>
        <w:shd w:val="clear" w:color="000000" w:fill="auto"/>
      </w:pPr>
      <w:r w:rsidRPr="003135B5">
        <w:t>I samband med den nu pågående ekonomiska krisen har vi sett hur grun</w:t>
      </w:r>
      <w:r w:rsidRPr="003135B5">
        <w:t>d</w:t>
      </w:r>
      <w:r w:rsidRPr="003135B5">
        <w:t>läggande fackliga rättigheter angripits i Grekland, Italien och Spanien, dä</w:t>
      </w:r>
      <w:r w:rsidRPr="003135B5">
        <w:t>r</w:t>
      </w:r>
      <w:r w:rsidRPr="003135B5">
        <w:t>ibland rätten att fritt förhandla, teckna och upprätthålla kollektivavtal. Vi ser det som djupt bekymmersamt att krisen utnyttjas politiskt för att underminera arbetstagarnas fackliga rättigheter. EU-domstolens domar i Viking-, Laval-, Rüffert-, och Luxemburgmålen hade redan innan krisen försvagat de grun</w:t>
      </w:r>
      <w:r w:rsidRPr="003135B5">
        <w:t>d</w:t>
      </w:r>
      <w:r w:rsidRPr="003135B5">
        <w:t>läggande rättigheterna i förhållande till de ekonomiska friheterna inom EU. Vänsterpartiet liksom arbetstagarnas fackliga organi</w:t>
      </w:r>
      <w:r w:rsidRPr="003135B5">
        <w:t>sationer har efter de nämnda domarna ställt krav om att ett juridiskt bindande socialt protokoll ska tillfogas EU:s fördrag. I det sociala protokollet ska fastställas att grun</w:t>
      </w:r>
      <w:r w:rsidRPr="003135B5">
        <w:t>d</w:t>
      </w:r>
      <w:r w:rsidRPr="003135B5">
        <w:t>läggande mänskliga rättigheter såsom de grundläggande fackliga rättighete</w:t>
      </w:r>
      <w:r w:rsidRPr="003135B5">
        <w:t>r</w:t>
      </w:r>
      <w:r w:rsidRPr="003135B5">
        <w:t>na, förhandlings- och konflikträtten samt rätten att fritt teckna kollektivavtal, är överordnade EU:s ekonomiska friheter. Det kravet aktualiseras nu i sa</w:t>
      </w:r>
      <w:r w:rsidRPr="003135B5">
        <w:t>m</w:t>
      </w:r>
      <w:r w:rsidRPr="003135B5">
        <w:t>band med den föreslagna fördragsändringen.</w:t>
      </w:r>
    </w:p>
    <w:p w:rsidR="003867E3" w:rsidRPr="003135B5" w:rsidRDefault="003867E3">
      <w:pPr>
        <w:pStyle w:val="Normaltindrag"/>
        <w:shd w:val="clear" w:color="000000" w:fill="auto"/>
      </w:pPr>
      <w:r w:rsidRPr="003135B5">
        <w:t>Vänsterpartiet begär därför, under förutsättning att vårt avslag</w:t>
      </w:r>
      <w:r w:rsidRPr="003135B5">
        <w:t>syrkande a</w:t>
      </w:r>
      <w:r w:rsidRPr="003135B5">
        <w:t>v</w:t>
      </w:r>
      <w:r w:rsidRPr="003135B5">
        <w:t>seende regeringens förslag att godkänna Europeiska rådets beslut 2011/199/EU av den 25 mars 2011 om ändring av artikel 136 i fördraget om Europeiska unionens funktionssätt (yrkande 1) faller, att regeringen inte rat</w:t>
      </w:r>
      <w:r w:rsidRPr="003135B5">
        <w:t>i</w:t>
      </w:r>
      <w:r w:rsidRPr="003135B5">
        <w:t>ficerar avtalet innan ett juridiskt bindande socialt protokoll införs på EU-nivå. Detta bör riksdagen besluta.</w:t>
      </w:r>
    </w:p>
    <w:p w:rsidR="003867E3" w:rsidRPr="003135B5" w:rsidRDefault="003867E3">
      <w:pPr>
        <w:pStyle w:val="Rubrik3"/>
        <w:shd w:val="clear" w:color="000000" w:fill="auto"/>
      </w:pPr>
      <w:r w:rsidRPr="003135B5">
        <w:t>Juridiskt bindande garantier för den svenska kollektivavtalsmodellen</w:t>
      </w:r>
    </w:p>
    <w:p w:rsidR="003867E3" w:rsidRPr="003135B5" w:rsidRDefault="003867E3">
      <w:pPr>
        <w:shd w:val="clear" w:color="000000" w:fill="auto"/>
      </w:pPr>
      <w:r w:rsidRPr="003135B5">
        <w:t>Inför folkomröstningen om ett svenskt medlemskap i EU år 1994 var frågan om garantier för att den svenska kollektivavtalsmodellen skulle bestå viktig för hur många valde att rösta. Den dåvarande regeringen bedyrade att Sver</w:t>
      </w:r>
      <w:r w:rsidRPr="003135B5">
        <w:t>i</w:t>
      </w:r>
      <w:r w:rsidRPr="003135B5">
        <w:t>ge, i förhandlingar om ett eventuellt medlemskap, hade fått sådana g</w:t>
      </w:r>
      <w:r w:rsidRPr="003135B5">
        <w:t>a</w:t>
      </w:r>
      <w:r w:rsidRPr="003135B5">
        <w:t>rantier. Det står nu helt klart, inte minst med anledning av Laval-domen, att dessa garant</w:t>
      </w:r>
      <w:r w:rsidRPr="003135B5">
        <w:t>i</w:t>
      </w:r>
      <w:r w:rsidRPr="003135B5">
        <w:t>er inte hade något juridiskt värde. I samband med den nu aktuella fördrag</w:t>
      </w:r>
      <w:r w:rsidRPr="003135B5">
        <w:t>s</w:t>
      </w:r>
      <w:r w:rsidRPr="003135B5">
        <w:t>ändringen måste därför regeringen ställa krav på juridiskt bindande garantier för kollektivavtalsmodellen.</w:t>
      </w:r>
    </w:p>
    <w:p w:rsidR="003867E3" w:rsidRPr="003135B5" w:rsidRDefault="003867E3">
      <w:pPr>
        <w:pStyle w:val="Normaltindrag"/>
        <w:shd w:val="clear" w:color="000000" w:fill="auto"/>
      </w:pPr>
      <w:r w:rsidRPr="003135B5">
        <w:t>Vänsterpartiet begär därför, under förutsättning att vårt avslagsyrkande a</w:t>
      </w:r>
      <w:r w:rsidRPr="003135B5">
        <w:t>v</w:t>
      </w:r>
      <w:r w:rsidRPr="003135B5">
        <w:t>seende regeringens förslag att godkänna Europeiska rådets beslut 2011/199/EU av den 25 mars 2011 om ändring av artikel 136 i fördraget om Europeiska unionens funktionssätt (yrkande 1) faller, att regeringen inte rat</w:t>
      </w:r>
      <w:r w:rsidRPr="003135B5">
        <w:t>i</w:t>
      </w:r>
      <w:r w:rsidRPr="003135B5">
        <w:t>ficerar avtalet innan Sverige fått juridiskt bindande garantier för de svenska kollektivavtalen så att de inte kan överprövas av EU-domstolen. 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35B5">
        <w:trPr>
          <w:cantSplit/>
        </w:trPr>
        <w:tc>
          <w:tcPr>
            <w:tcW w:w="3046" w:type="dxa"/>
          </w:tcPr>
          <w:p w:rsidR="003867E3" w:rsidRPr="003135B5" w:rsidRDefault="003867E3">
            <w:pPr>
              <w:pStyle w:val="UnderskriftDatum"/>
              <w:shd w:val="clear" w:color="000000" w:fill="auto"/>
              <w:spacing w:before="240"/>
            </w:pPr>
            <w:r w:rsidRPr="003135B5">
              <w:t>Stockholm den 14 mars 2012</w:t>
            </w:r>
          </w:p>
        </w:tc>
        <w:tc>
          <w:tcPr>
            <w:tcW w:w="3047" w:type="dxa"/>
          </w:tcPr>
          <w:p w:rsidR="003867E3" w:rsidRPr="003135B5" w:rsidRDefault="003867E3">
            <w:pPr>
              <w:pStyle w:val="Underskrifter"/>
              <w:shd w:val="clear" w:color="000000" w:fill="auto"/>
              <w:spacing w:before="240"/>
            </w:pPr>
          </w:p>
        </w:tc>
      </w:tr>
      <w:tr w:rsidR="00000000" w:rsidRPr="003135B5">
        <w:trPr>
          <w:cantSplit/>
        </w:trPr>
        <w:tc>
          <w:tcPr>
            <w:tcW w:w="3046" w:type="dxa"/>
          </w:tcPr>
          <w:p w:rsidR="003867E3" w:rsidRPr="003135B5" w:rsidRDefault="003867E3">
            <w:pPr>
              <w:pStyle w:val="Underskrifter"/>
              <w:shd w:val="clear" w:color="000000" w:fill="auto"/>
            </w:pPr>
            <w:r w:rsidRPr="003135B5">
              <w:t>Jonas Sjöstedt (V)</w:t>
            </w:r>
          </w:p>
        </w:tc>
        <w:tc>
          <w:tcPr>
            <w:tcW w:w="3046" w:type="dxa"/>
          </w:tcPr>
          <w:p w:rsidR="003867E3" w:rsidRPr="003135B5" w:rsidRDefault="003867E3">
            <w:pPr>
              <w:pStyle w:val="Underskrifter"/>
              <w:shd w:val="clear" w:color="000000" w:fill="auto"/>
            </w:pPr>
          </w:p>
        </w:tc>
      </w:tr>
      <w:tr w:rsidR="00000000" w:rsidRPr="003135B5">
        <w:trPr>
          <w:cantSplit/>
        </w:trPr>
        <w:tc>
          <w:tcPr>
            <w:tcW w:w="3046" w:type="dxa"/>
          </w:tcPr>
          <w:p w:rsidR="003867E3" w:rsidRPr="003135B5" w:rsidRDefault="003867E3">
            <w:pPr>
              <w:pStyle w:val="Underskrifter"/>
              <w:shd w:val="clear" w:color="000000" w:fill="auto"/>
            </w:pPr>
            <w:r w:rsidRPr="003135B5">
              <w:t>Jens Holm (V)</w:t>
            </w:r>
          </w:p>
        </w:tc>
        <w:tc>
          <w:tcPr>
            <w:tcW w:w="3046" w:type="dxa"/>
          </w:tcPr>
          <w:p w:rsidR="003867E3" w:rsidRPr="003135B5" w:rsidRDefault="003867E3">
            <w:pPr>
              <w:pStyle w:val="Underskrifter"/>
              <w:shd w:val="clear" w:color="000000" w:fill="auto"/>
            </w:pPr>
            <w:r w:rsidRPr="003135B5">
              <w:t>Hans Linde (V)</w:t>
            </w:r>
          </w:p>
        </w:tc>
      </w:tr>
      <w:tr w:rsidR="00000000" w:rsidRPr="003135B5">
        <w:trPr>
          <w:cantSplit/>
        </w:trPr>
        <w:tc>
          <w:tcPr>
            <w:tcW w:w="3046" w:type="dxa"/>
          </w:tcPr>
          <w:p w:rsidR="003867E3" w:rsidRPr="003135B5" w:rsidRDefault="003867E3">
            <w:pPr>
              <w:pStyle w:val="Underskrifter"/>
              <w:shd w:val="clear" w:color="000000" w:fill="auto"/>
            </w:pPr>
            <w:r w:rsidRPr="003135B5">
              <w:t>Eva Olofsson (V)</w:t>
            </w:r>
          </w:p>
        </w:tc>
        <w:tc>
          <w:tcPr>
            <w:tcW w:w="3046" w:type="dxa"/>
          </w:tcPr>
          <w:p w:rsidR="003867E3" w:rsidRPr="003135B5" w:rsidRDefault="003867E3">
            <w:pPr>
              <w:pStyle w:val="Underskrifter"/>
              <w:shd w:val="clear" w:color="000000" w:fill="auto"/>
            </w:pPr>
            <w:r w:rsidRPr="003135B5">
              <w:t>Mia Sydow Mölleby (V)</w:t>
            </w:r>
          </w:p>
        </w:tc>
      </w:tr>
      <w:tr w:rsidR="00000000" w:rsidRPr="003135B5">
        <w:trPr>
          <w:cantSplit/>
        </w:trPr>
        <w:tc>
          <w:tcPr>
            <w:tcW w:w="3046" w:type="dxa"/>
          </w:tcPr>
          <w:p w:rsidR="003867E3" w:rsidRPr="003135B5" w:rsidRDefault="003867E3">
            <w:pPr>
              <w:pStyle w:val="Underskrifter"/>
              <w:shd w:val="clear" w:color="000000" w:fill="auto"/>
            </w:pPr>
            <w:r w:rsidRPr="003135B5">
              <w:t>Ulla Andersson (V)</w:t>
            </w:r>
          </w:p>
        </w:tc>
        <w:tc>
          <w:tcPr>
            <w:tcW w:w="3046" w:type="dxa"/>
          </w:tcPr>
          <w:p w:rsidR="003867E3" w:rsidRPr="003135B5" w:rsidRDefault="003867E3">
            <w:pPr>
              <w:pStyle w:val="Underskrifter"/>
              <w:shd w:val="clear" w:color="000000" w:fill="auto"/>
            </w:pPr>
          </w:p>
        </w:tc>
      </w:tr>
    </w:tbl>
    <w:p w:rsidR="003867E3" w:rsidRPr="003135B5" w:rsidRDefault="003867E3">
      <w:pPr>
        <w:pStyle w:val="Normaltindrag"/>
        <w:shd w:val="clear" w:color="000000" w:fill="auto"/>
      </w:pPr>
    </w:p>
    <w:sectPr w:rsidR="003867E3" w:rsidRPr="003135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7E3" w:rsidRPr="003135B5" w:rsidRDefault="003867E3">
      <w:r w:rsidRPr="003135B5">
        <w:separator/>
      </w:r>
    </w:p>
  </w:endnote>
  <w:endnote w:type="continuationSeparator" w:id="0">
    <w:p w:rsidR="003867E3" w:rsidRPr="003135B5" w:rsidRDefault="003867E3">
      <w:r w:rsidRPr="003135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E3" w:rsidRPr="003135B5" w:rsidRDefault="003135B5">
    <w:pPr>
      <w:pStyle w:val="Sidfot"/>
    </w:pPr>
    <w:r w:rsidRPr="003135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21617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7E3" w:rsidRDefault="003867E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67E3" w:rsidRDefault="003867E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E3" w:rsidRPr="003135B5" w:rsidRDefault="003135B5">
    <w:pPr>
      <w:pStyle w:val="Sidfot"/>
    </w:pPr>
    <w:r w:rsidRPr="003135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468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7E3" w:rsidRDefault="003867E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67E3" w:rsidRDefault="003867E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E3" w:rsidRPr="003135B5" w:rsidRDefault="003135B5">
    <w:pPr>
      <w:pStyle w:val="Sidfot"/>
    </w:pPr>
    <w:r w:rsidRPr="003135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34503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7E3" w:rsidRDefault="003867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67E3" w:rsidRDefault="003867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7E3" w:rsidRPr="003135B5" w:rsidRDefault="003867E3">
      <w:pPr>
        <w:pStyle w:val="Sidfot"/>
        <w:rPr>
          <w:color w:val="FFFFFF"/>
        </w:rPr>
      </w:pPr>
    </w:p>
  </w:footnote>
  <w:footnote w:type="continuationSeparator" w:id="0">
    <w:p w:rsidR="003867E3" w:rsidRPr="003135B5" w:rsidRDefault="003867E3">
      <w:pPr>
        <w:pStyle w:val="Sidfot"/>
      </w:pPr>
    </w:p>
  </w:footnote>
  <w:footnote w:type="continuationNotice" w:id="1">
    <w:p w:rsidR="003867E3" w:rsidRPr="003135B5" w:rsidRDefault="003867E3">
      <w:pPr>
        <w:pStyle w:val="Sidfot"/>
      </w:pPr>
    </w:p>
  </w:footnote>
  <w:footnote w:id="2">
    <w:p w:rsidR="003867E3" w:rsidRPr="003135B5" w:rsidRDefault="003867E3">
      <w:pPr>
        <w:pStyle w:val="Fotnotstext"/>
      </w:pPr>
      <w:r w:rsidRPr="003135B5">
        <w:rPr>
          <w:rStyle w:val="Fotnotsreferens"/>
          <w:sz w:val="20"/>
        </w:rPr>
        <w:footnoteRef/>
      </w:r>
      <w:r w:rsidRPr="003135B5">
        <w:t xml:space="preserve"> De s.k. Longer Term Refinancing Operations (LTRO).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E3" w:rsidRPr="003135B5" w:rsidRDefault="003135B5">
    <w:pPr>
      <w:pStyle w:val="Sidhuvud"/>
    </w:pPr>
    <w:r w:rsidRPr="003135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3783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7E3" w:rsidRDefault="003867E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67E3" w:rsidRDefault="003867E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E3" w:rsidRPr="003135B5" w:rsidRDefault="003135B5">
    <w:pPr>
      <w:pStyle w:val="Sidhuvud"/>
    </w:pPr>
    <w:r w:rsidRPr="003135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24592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7E3" w:rsidRDefault="003867E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67E3" w:rsidRDefault="003867E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E3" w:rsidRPr="003135B5" w:rsidRDefault="003867E3">
    <w:pPr>
      <w:pStyle w:val="FSHNormal"/>
      <w:tabs>
        <w:tab w:val="right" w:pos="5840"/>
      </w:tabs>
    </w:pPr>
    <w:r w:rsidRPr="003135B5">
      <w:br/>
    </w:r>
    <w:r w:rsidRPr="003135B5">
      <w:fldChar w:fldCharType="begin" w:fldLock="1"/>
    </w:r>
    <w:r w:rsidRPr="003135B5">
      <w:instrText xml:space="preserve"> DOCPROPERTY</w:instrText>
    </w:r>
    <w:r w:rsidRPr="003135B5">
      <w:rPr>
        <w:sz w:val="18"/>
      </w:rPr>
      <w:instrText xml:space="preserve"> "YearUser" *\charformat </w:instrText>
    </w:r>
    <w:r w:rsidRPr="003135B5">
      <w:fldChar w:fldCharType="separate"/>
    </w:r>
    <w:r w:rsidRPr="003135B5">
      <w:t>2011/12</w:t>
    </w:r>
    <w:r w:rsidRPr="003135B5">
      <w:fldChar w:fldCharType="end"/>
    </w:r>
    <w:r w:rsidRPr="003135B5">
      <w:t xml:space="preserve"> </w:t>
    </w:r>
    <w:r w:rsidRPr="003135B5">
      <w:tab/>
      <w:t xml:space="preserve">mnr: </w:t>
    </w:r>
    <w:r w:rsidRPr="003135B5">
      <w:fldChar w:fldCharType="begin" w:fldLock="1"/>
    </w:r>
    <w:r w:rsidRPr="003135B5">
      <w:instrText xml:space="preserve"> DOCPROPERTY</w:instrText>
    </w:r>
    <w:r w:rsidRPr="003135B5">
      <w:rPr>
        <w:sz w:val="18"/>
      </w:rPr>
      <w:instrText xml:space="preserve"> "Motionsnummer" *\charformat </w:instrText>
    </w:r>
    <w:r w:rsidRPr="003135B5">
      <w:fldChar w:fldCharType="separate"/>
    </w:r>
    <w:r w:rsidRPr="003135B5">
      <w:t>Fi9</w:t>
    </w:r>
    <w:r w:rsidRPr="003135B5">
      <w:fldChar w:fldCharType="end"/>
    </w:r>
    <w:r w:rsidRPr="003135B5">
      <w:br/>
    </w:r>
    <w:r w:rsidRPr="003135B5">
      <w:fldChar w:fldCharType="begin" w:fldLock="1"/>
    </w:r>
    <w:r w:rsidRPr="003135B5">
      <w:instrText xml:space="preserve"> DOCPROPERTY</w:instrText>
    </w:r>
    <w:r w:rsidRPr="003135B5">
      <w:rPr>
        <w:sz w:val="18"/>
      </w:rPr>
      <w:instrText xml:space="preserve"> "Samling" *\charformat </w:instrText>
    </w:r>
    <w:r w:rsidRPr="003135B5">
      <w:fldChar w:fldCharType="end"/>
    </w:r>
    <w:r w:rsidRPr="003135B5">
      <w:tab/>
      <w:t xml:space="preserve">pnr: </w:t>
    </w:r>
    <w:r w:rsidRPr="003135B5">
      <w:fldChar w:fldCharType="begin" w:fldLock="1"/>
    </w:r>
    <w:r w:rsidRPr="003135B5">
      <w:instrText xml:space="preserve"> DOCPROPERTY</w:instrText>
    </w:r>
    <w:r w:rsidRPr="003135B5">
      <w:rPr>
        <w:sz w:val="18"/>
      </w:rPr>
      <w:instrText xml:space="preserve"> "Partinummer" *\charformat </w:instrText>
    </w:r>
    <w:r w:rsidRPr="003135B5">
      <w:fldChar w:fldCharType="separate"/>
    </w:r>
    <w:r w:rsidRPr="003135B5">
      <w:t>V12</w:t>
    </w:r>
    <w:r w:rsidRPr="003135B5">
      <w:fldChar w:fldCharType="end"/>
    </w:r>
  </w:p>
  <w:p w:rsidR="003867E3" w:rsidRPr="003135B5" w:rsidRDefault="003867E3">
    <w:pPr>
      <w:pStyle w:val="FSHRub1"/>
    </w:pPr>
    <w:r w:rsidRPr="003135B5">
      <w:t>Motion till riksdagen</w:t>
    </w:r>
    <w:r w:rsidRPr="003135B5">
      <w:br/>
    </w:r>
    <w:r w:rsidRPr="003135B5">
      <w:fldChar w:fldCharType="begin" w:fldLock="1"/>
    </w:r>
    <w:r w:rsidRPr="003135B5">
      <w:instrText xml:space="preserve"> DOCPROPERTY "YearUser" *\charformat </w:instrText>
    </w:r>
    <w:r w:rsidRPr="003135B5">
      <w:fldChar w:fldCharType="separate"/>
    </w:r>
    <w:r w:rsidRPr="003135B5">
      <w:t>2011/12</w:t>
    </w:r>
    <w:r w:rsidRPr="003135B5">
      <w:fldChar w:fldCharType="end"/>
    </w:r>
    <w:r w:rsidRPr="003135B5">
      <w:t>:</w:t>
    </w:r>
    <w:r w:rsidRPr="003135B5">
      <w:fldChar w:fldCharType="begin" w:fldLock="1"/>
    </w:r>
    <w:r w:rsidRPr="003135B5">
      <w:instrText xml:space="preserve"> DOCPROPERTY "Motionsnummer" *\charformat </w:instrText>
    </w:r>
    <w:r w:rsidRPr="003135B5">
      <w:fldChar w:fldCharType="separate"/>
    </w:r>
    <w:r w:rsidRPr="003135B5">
      <w:t>Fi9</w:t>
    </w:r>
    <w:r w:rsidRPr="003135B5">
      <w:fldChar w:fldCharType="end"/>
    </w:r>
  </w:p>
  <w:p w:rsidR="003867E3" w:rsidRPr="003135B5" w:rsidRDefault="003867E3">
    <w:pPr>
      <w:pStyle w:val="FSHNormalS5"/>
    </w:pPr>
    <w:r w:rsidRPr="003135B5">
      <w:fldChar w:fldCharType="begin" w:fldLock="1"/>
    </w:r>
    <w:r w:rsidRPr="003135B5">
      <w:instrText xml:space="preserve"> DOCPROPERTY "MotionarText" *\charformat </w:instrText>
    </w:r>
    <w:r w:rsidRPr="003135B5">
      <w:fldChar w:fldCharType="separate"/>
    </w:r>
    <w:r w:rsidRPr="003135B5">
      <w:t>av Jonas Sjöstedt m.fl. (V)</w:t>
    </w:r>
    <w:r w:rsidRPr="003135B5">
      <w:fldChar w:fldCharType="end"/>
    </w:r>
    <w:r w:rsidRPr="003135B5">
      <w:br/>
    </w:r>
    <w:r w:rsidRPr="003135B5">
      <w:fldChar w:fldCharType="begin" w:fldLock="1"/>
    </w:r>
    <w:r w:rsidRPr="003135B5">
      <w:instrText xml:space="preserve"> DOCPROPERTY "SvarFrasKort" *\charformat </w:instrText>
    </w:r>
    <w:r w:rsidRPr="003135B5">
      <w:fldChar w:fldCharType="separate"/>
    </w:r>
    <w:r w:rsidRPr="003135B5">
      <w:t>med anledning av prop. 2011/12:66</w:t>
    </w:r>
    <w:r w:rsidRPr="003135B5">
      <w:fldChar w:fldCharType="end"/>
    </w:r>
  </w:p>
  <w:p w:rsidR="003867E3" w:rsidRPr="003135B5" w:rsidRDefault="003867E3">
    <w:pPr>
      <w:pStyle w:val="FSHTitel"/>
    </w:pPr>
    <w:r w:rsidRPr="003135B5">
      <w:fldChar w:fldCharType="begin" w:fldLock="1"/>
    </w:r>
    <w:r w:rsidRPr="003135B5">
      <w:instrText xml:space="preserve"> DOCPROPERTY</w:instrText>
    </w:r>
    <w:r w:rsidRPr="003135B5">
      <w:rPr>
        <w:sz w:val="18"/>
      </w:rPr>
      <w:instrText xml:space="preserve"> "RubrikSvar" *\charformat </w:instrText>
    </w:r>
    <w:r w:rsidRPr="003135B5">
      <w:fldChar w:fldCharType="separate"/>
    </w:r>
    <w:r w:rsidRPr="003135B5">
      <w:t>Godkännande av Europeiska rådets beslut om ändring av artikel 136 i EUF-fördraget – stabilitetsmekanism för euroländer</w:t>
    </w:r>
    <w:r w:rsidRPr="003135B5">
      <w:fldChar w:fldCharType="end"/>
    </w:r>
  </w:p>
  <w:p w:rsidR="003867E3" w:rsidRPr="003135B5" w:rsidRDefault="003867E3">
    <w:pPr>
      <w:pStyle w:val="Normal00"/>
    </w:pPr>
  </w:p>
  <w:p w:rsidR="003867E3" w:rsidRPr="003135B5" w:rsidRDefault="003867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B9A0B26">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BF4509E"/>
    <w:multiLevelType w:val="hybridMultilevel"/>
    <w:tmpl w:val="1CAEA6F6"/>
    <w:lvl w:ilvl="0" w:tplc="9B3A9802">
      <w:start w:val="1"/>
      <w:numFmt w:val="decimal"/>
      <w:pStyle w:val="Hemstlatt"/>
      <w:lvlText w:val="%1."/>
      <w:lvlJc w:val="left"/>
      <w:pPr>
        <w:tabs>
          <w:tab w:val="num" w:pos="340"/>
        </w:tabs>
        <w:ind w:left="340" w:hanging="340"/>
      </w:pPr>
    </w:lvl>
    <w:lvl w:ilvl="1" w:tplc="73CCBD04" w:tentative="1">
      <w:start w:val="1"/>
      <w:numFmt w:val="lowerLetter"/>
      <w:lvlText w:val="%2."/>
      <w:lvlJc w:val="left"/>
      <w:pPr>
        <w:tabs>
          <w:tab w:val="num" w:pos="1440"/>
        </w:tabs>
        <w:ind w:left="1440" w:hanging="360"/>
      </w:pPr>
    </w:lvl>
    <w:lvl w:ilvl="2" w:tplc="FB5A4DF6" w:tentative="1">
      <w:start w:val="1"/>
      <w:numFmt w:val="lowerRoman"/>
      <w:lvlText w:val="%3."/>
      <w:lvlJc w:val="right"/>
      <w:pPr>
        <w:tabs>
          <w:tab w:val="num" w:pos="2160"/>
        </w:tabs>
        <w:ind w:left="2160" w:hanging="180"/>
      </w:pPr>
    </w:lvl>
    <w:lvl w:ilvl="3" w:tplc="2E4EBEB6" w:tentative="1">
      <w:start w:val="1"/>
      <w:numFmt w:val="decimal"/>
      <w:lvlText w:val="%4."/>
      <w:lvlJc w:val="left"/>
      <w:pPr>
        <w:tabs>
          <w:tab w:val="num" w:pos="2880"/>
        </w:tabs>
        <w:ind w:left="2880" w:hanging="360"/>
      </w:pPr>
    </w:lvl>
    <w:lvl w:ilvl="4" w:tplc="D33C259C" w:tentative="1">
      <w:start w:val="1"/>
      <w:numFmt w:val="lowerLetter"/>
      <w:lvlText w:val="%5."/>
      <w:lvlJc w:val="left"/>
      <w:pPr>
        <w:tabs>
          <w:tab w:val="num" w:pos="3600"/>
        </w:tabs>
        <w:ind w:left="3600" w:hanging="360"/>
      </w:pPr>
    </w:lvl>
    <w:lvl w:ilvl="5" w:tplc="36A0070C" w:tentative="1">
      <w:start w:val="1"/>
      <w:numFmt w:val="lowerRoman"/>
      <w:lvlText w:val="%6."/>
      <w:lvlJc w:val="right"/>
      <w:pPr>
        <w:tabs>
          <w:tab w:val="num" w:pos="4320"/>
        </w:tabs>
        <w:ind w:left="4320" w:hanging="180"/>
      </w:pPr>
    </w:lvl>
    <w:lvl w:ilvl="6" w:tplc="B6F0A2CE" w:tentative="1">
      <w:start w:val="1"/>
      <w:numFmt w:val="decimal"/>
      <w:lvlText w:val="%7."/>
      <w:lvlJc w:val="left"/>
      <w:pPr>
        <w:tabs>
          <w:tab w:val="num" w:pos="5040"/>
        </w:tabs>
        <w:ind w:left="5040" w:hanging="360"/>
      </w:pPr>
    </w:lvl>
    <w:lvl w:ilvl="7" w:tplc="422CEFA8" w:tentative="1">
      <w:start w:val="1"/>
      <w:numFmt w:val="lowerLetter"/>
      <w:lvlText w:val="%8."/>
      <w:lvlJc w:val="left"/>
      <w:pPr>
        <w:tabs>
          <w:tab w:val="num" w:pos="5760"/>
        </w:tabs>
        <w:ind w:left="5760" w:hanging="360"/>
      </w:pPr>
    </w:lvl>
    <w:lvl w:ilvl="8" w:tplc="A6CA1910"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7603960">
    <w:abstractNumId w:val="3"/>
  </w:num>
  <w:num w:numId="2" w16cid:durableId="1122579067">
    <w:abstractNumId w:val="2"/>
  </w:num>
  <w:num w:numId="3" w16cid:durableId="1315571763">
    <w:abstractNumId w:val="1"/>
  </w:num>
  <w:num w:numId="4" w16cid:durableId="951322487">
    <w:abstractNumId w:val="0"/>
  </w:num>
  <w:num w:numId="5" w16cid:durableId="6828948">
    <w:abstractNumId w:val="7"/>
  </w:num>
  <w:num w:numId="6" w16cid:durableId="2132750194">
    <w:abstractNumId w:val="6"/>
  </w:num>
  <w:num w:numId="7" w16cid:durableId="1415317579">
    <w:abstractNumId w:val="5"/>
  </w:num>
  <w:num w:numId="8" w16cid:durableId="1562254296">
    <w:abstractNumId w:val="4"/>
  </w:num>
  <w:num w:numId="9" w16cid:durableId="1801999548">
    <w:abstractNumId w:val="8"/>
  </w:num>
  <w:num w:numId="10" w16cid:durableId="177622296">
    <w:abstractNumId w:val="9"/>
  </w:num>
  <w:num w:numId="11" w16cid:durableId="1397892659">
    <w:abstractNumId w:val="10"/>
  </w:num>
  <w:num w:numId="12" w16cid:durableId="761341237">
    <w:abstractNumId w:val="13"/>
  </w:num>
  <w:num w:numId="13" w16cid:durableId="269509129">
    <w:abstractNumId w:val="15"/>
  </w:num>
  <w:num w:numId="14" w16cid:durableId="1115906892">
    <w:abstractNumId w:val="16"/>
  </w:num>
  <w:num w:numId="15" w16cid:durableId="521742451">
    <w:abstractNumId w:val="11"/>
  </w:num>
  <w:num w:numId="16" w16cid:durableId="84037202">
    <w:abstractNumId w:val="19"/>
  </w:num>
  <w:num w:numId="17" w16cid:durableId="1479686554">
    <w:abstractNumId w:val="17"/>
  </w:num>
  <w:num w:numId="18" w16cid:durableId="2122263435">
    <w:abstractNumId w:val="14"/>
  </w:num>
  <w:num w:numId="19" w16cid:durableId="871647403">
    <w:abstractNumId w:val="12"/>
  </w:num>
  <w:num w:numId="20" w16cid:durableId="477042652">
    <w:abstractNumId w:val="18"/>
  </w:num>
  <w:num w:numId="21" w16cid:durableId="28065485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2-29"/>
    <w:docVar w:name="PersonGUIDs" w:val="{DA248C4D-AFF6-4AC5-94CA-AED252C8C8C8},{4C5A52D9-57D3-4837-8681-D18310330361},{00468181-7122-42C5-877E-69489063FE94},{A3B7BC79-15BA-4C82-9CD3-12632F50DBA0},{A7313DCE-0B34-4C27-86F8-BEBB9AB9F316},{9757EBE9-5352-471C-B04A-E35C112BD16A}"/>
  </w:docVars>
  <w:rsids>
    <w:rsidRoot w:val="000C0E3E"/>
    <w:rsid w:val="000C0E3E"/>
    <w:rsid w:val="003135B5"/>
    <w:rsid w:val="003867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299D18-5EFB-414E-B17E-A67F565C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1870</Words>
  <Characters>11390</Characters>
  <Application>Microsoft Office Word</Application>
  <DocSecurity>4</DocSecurity>
  <Lines>207</Lines>
  <Paragraphs>53</Paragraphs>
  <ScaleCrop>false</ScaleCrop>
  <HeadingPairs>
    <vt:vector size="2" baseType="variant">
      <vt:variant>
        <vt:lpstr>Rubrik</vt:lpstr>
      </vt:variant>
      <vt:variant>
        <vt:i4>1</vt:i4>
      </vt:variant>
    </vt:vector>
  </HeadingPairs>
  <TitlesOfParts>
    <vt:vector size="1" baseType="lpstr">
      <vt:lpstr>V012</vt:lpstr>
    </vt:vector>
  </TitlesOfParts>
  <Company>Riksdagen</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V012</dc:title>
  <dc:subject>V012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2012-03-23T09:47:00Z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mot2000_533_2012-02-29</vt:lpwstr>
  </property>
  <property fmtid="{D5CDD505-2E9C-101B-9397-08002B2CF9AE}" pid="3" name="version">
    <vt:lpwstr>mot2000_533_2012-02-29</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2011/12:66 Godkännande av Europeiska rådets beslut om ändring av artikel 136 i EUF-fördraget – stabilitetsmekanism för euroländer</vt:lpwstr>
  </property>
  <property fmtid="{D5CDD505-2E9C-101B-9397-08002B2CF9AE}" pid="11" name="SvarFrasKort">
    <vt:lpwstr>med anledning av prop. 2011/12:66</vt:lpwstr>
  </property>
  <property fmtid="{D5CDD505-2E9C-101B-9397-08002B2CF9AE}" pid="12" name="Svar">
    <vt:lpwstr>Proposition</vt:lpwstr>
  </property>
  <property fmtid="{D5CDD505-2E9C-101B-9397-08002B2CF9AE}" pid="13" name="SvarNr">
    <vt:lpwstr>2011/12:66</vt:lpwstr>
  </property>
  <property fmtid="{D5CDD505-2E9C-101B-9397-08002B2CF9AE}" pid="14" name="RubrikSvar">
    <vt:lpwstr>Godkännande av Europeiska rådets beslut om ändring av artikel 136 i EUF-fördraget – stabilitetsmekanism för euroländer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Jonas Sjöstedt m.fl. (V)</vt:lpwstr>
  </property>
  <property fmtid="{D5CDD505-2E9C-101B-9397-08002B2CF9AE}" pid="26" name="MotionarLista">
    <vt:lpwstr>Sjöstedt, Jonas (V)\Holm, Jens (V)\Linde, Hans (V)\Olofsson, Eva (V)\Sydow Mölleby, Mia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Sjöstedt (V), Jens Holm (V), Hans Linde (V), Eva Olofsson (V), Mia Sydow Mölleby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mars 2012</vt:lpwstr>
  </property>
  <property fmtid="{D5CDD505-2E9C-101B-9397-08002B2CF9AE}" pid="44" name="NotesUID">
    <vt:lpwstr>konstantia.fraggidou@riksdagen.se</vt:lpwstr>
  </property>
  <property fmtid="{D5CDD505-2E9C-101B-9397-08002B2CF9AE}" pid="45" name="ReservUID">
    <vt:lpwstr>ka1208aa</vt:lpwstr>
  </property>
  <property fmtid="{D5CDD505-2E9C-101B-9397-08002B2CF9AE}" pid="46" name="MotionID">
    <vt:lpwstr>20112012000000000086000000120075</vt:lpwstr>
  </property>
  <property fmtid="{D5CDD505-2E9C-101B-9397-08002B2CF9AE}" pid="47" name="datum">
    <vt:lpwstr>120314</vt:lpwstr>
  </property>
  <property fmtid="{D5CDD505-2E9C-101B-9397-08002B2CF9AE}" pid="48" name="avsändar-e-post">
    <vt:lpwstr>konstantia.fraggidou@riksdagen.se</vt:lpwstr>
  </property>
  <property fmtid="{D5CDD505-2E9C-101B-9397-08002B2CF9AE}" pid="49" name="id">
    <vt:lpwstr>20112012000000000086000000120075</vt:lpwstr>
  </property>
  <property fmtid="{D5CDD505-2E9C-101B-9397-08002B2CF9AE}" pid="50" name="nummer">
    <vt:lpwstr>9</vt:lpwstr>
  </property>
  <property fmtid="{D5CDD505-2E9C-101B-9397-08002B2CF9AE}" pid="51" name="utskottsbeteckning">
    <vt:lpwstr>Fi</vt:lpwstr>
  </property>
  <property fmtid="{D5CDD505-2E9C-101B-9397-08002B2CF9AE}" pid="52" name="GlobalUID">
    <vt:lpwstr>{906B6EFE-4F71-452A-A2F1-EF5EF5A14F2B}</vt:lpwstr>
  </property>
  <property fmtid="{D5CDD505-2E9C-101B-9397-08002B2CF9AE}" pid="53" name="Överföringar">
    <vt:i4>0</vt:i4>
  </property>
  <property fmtid="{D5CDD505-2E9C-101B-9397-08002B2CF9AE}" pid="54" name="Checksum">
    <vt:lpwstr>*0005257849365*</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120516 15:59:57.203</vt:lpwstr>
  </property>
  <property fmtid="{D5CDD505-2E9C-101B-9397-08002B2CF9AE}" pid="58" name="urixGuid">
    <vt:lpwstr>{DFE377EE-675F-4EFA-BCA4-BD9A11873265}</vt:lpwstr>
  </property>
</Properties>
</file>