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1B1F97" w:rsidRPr="009C5CBB" w:rsidRDefault="00723D66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B7037E">
              <w:rPr>
                <w:b/>
                <w:sz w:val="20"/>
              </w:rPr>
              <w:t>29</w:t>
            </w:r>
          </w:p>
          <w:p w:rsidR="0096348C" w:rsidRPr="009C5CBB" w:rsidRDefault="0096348C" w:rsidP="0096348C">
            <w:pPr>
              <w:rPr>
                <w:b/>
                <w:sz w:val="20"/>
              </w:rPr>
            </w:pP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E30AAF">
              <w:rPr>
                <w:sz w:val="20"/>
              </w:rPr>
              <w:t>-</w:t>
            </w:r>
            <w:r w:rsidR="005B1C5E">
              <w:rPr>
                <w:sz w:val="20"/>
              </w:rPr>
              <w:t>03-2</w:t>
            </w:r>
            <w:r w:rsidR="00B7037E">
              <w:rPr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F085B" w:rsidRDefault="00B7037E" w:rsidP="003014D7">
            <w:pPr>
              <w:rPr>
                <w:sz w:val="20"/>
              </w:rPr>
            </w:pPr>
            <w:r>
              <w:rPr>
                <w:sz w:val="20"/>
              </w:rPr>
              <w:t>10:00-10:55</w:t>
            </w:r>
          </w:p>
          <w:p w:rsidR="004D5801" w:rsidRPr="009C5CBB" w:rsidRDefault="00B7037E" w:rsidP="003014D7">
            <w:pPr>
              <w:rPr>
                <w:sz w:val="20"/>
              </w:rPr>
            </w:pPr>
            <w:r>
              <w:rPr>
                <w:sz w:val="20"/>
              </w:rPr>
              <w:t>11:00-11:07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8249A" w:rsidRPr="005F371A" w:rsidTr="009E7EFB">
        <w:tc>
          <w:tcPr>
            <w:tcW w:w="567" w:type="dxa"/>
          </w:tcPr>
          <w:p w:rsidR="00C8249A" w:rsidRDefault="00C8249A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B7037E" w:rsidRDefault="00B7037E" w:rsidP="00B703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Beslut om närvaro</w:t>
            </w:r>
          </w:p>
          <w:p w:rsidR="00B7037E" w:rsidRDefault="00B7037E" w:rsidP="00B703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B7037E" w:rsidRPr="00A155A0" w:rsidRDefault="00B7037E" w:rsidP="00A155A0">
            <w:pPr>
              <w:rPr>
                <w:sz w:val="22"/>
              </w:rPr>
            </w:pPr>
            <w:r>
              <w:rPr>
                <w:bCs/>
                <w:color w:val="000000"/>
                <w:szCs w:val="24"/>
              </w:rPr>
              <w:t xml:space="preserve">Utskottet medgav att ledamöterna </w:t>
            </w:r>
            <w:r w:rsidR="00A155A0">
              <w:t xml:space="preserve">Åsa Lindestam (S), Hans Wallmark (M), </w:t>
            </w:r>
            <w:r w:rsidR="00A155A0" w:rsidRPr="00A155A0">
              <w:t>Peter Jeppsson (S)</w:t>
            </w:r>
            <w:r w:rsidR="00A155A0">
              <w:rPr>
                <w:sz w:val="22"/>
              </w:rPr>
              <w:t xml:space="preserve">, </w:t>
            </w:r>
            <w:r w:rsidR="00A155A0" w:rsidRPr="00A155A0">
              <w:t>Aleksandra Völker (S)</w:t>
            </w:r>
            <w:r w:rsidR="00A155A0">
              <w:rPr>
                <w:sz w:val="22"/>
              </w:rPr>
              <w:t xml:space="preserve">, </w:t>
            </w:r>
            <w:r w:rsidR="00A155A0" w:rsidRPr="00A155A0">
              <w:t>Kent Härstedt (S)</w:t>
            </w:r>
            <w:r w:rsidR="00A155A0">
              <w:rPr>
                <w:sz w:val="22"/>
              </w:rPr>
              <w:t xml:space="preserve">, </w:t>
            </w:r>
            <w:r w:rsidR="00A155A0">
              <w:t xml:space="preserve">Daniel Bäckström (C), </w:t>
            </w:r>
            <w:r w:rsidR="00A155A0" w:rsidRPr="00A155A0">
              <w:t>Anders Schröder (MP)</w:t>
            </w:r>
            <w:r w:rsidR="00A155A0">
              <w:rPr>
                <w:sz w:val="22"/>
              </w:rPr>
              <w:t xml:space="preserve">, </w:t>
            </w:r>
            <w:r w:rsidR="00A155A0" w:rsidRPr="00A155A0">
              <w:t>Lotta Olsson (M)</w:t>
            </w:r>
            <w:r w:rsidR="00A155A0">
              <w:rPr>
                <w:sz w:val="22"/>
              </w:rPr>
              <w:t xml:space="preserve">, </w:t>
            </w:r>
            <w:r w:rsidR="00A155A0" w:rsidRPr="00A155A0">
              <w:t>Paula Holmqvist (S)</w:t>
            </w:r>
            <w:r w:rsidR="00A155A0">
              <w:rPr>
                <w:sz w:val="22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samt </w:t>
            </w:r>
            <w:r w:rsidR="00A155A0">
              <w:rPr>
                <w:bCs/>
                <w:color w:val="000000"/>
                <w:szCs w:val="24"/>
              </w:rPr>
              <w:t xml:space="preserve">en </w:t>
            </w:r>
            <w:r>
              <w:rPr>
                <w:bCs/>
                <w:color w:val="000000"/>
                <w:szCs w:val="24"/>
              </w:rPr>
              <w:t>tjänsteman från försvarsutskottet fick närvara vid punkt 2 på föredragningslistan.</w:t>
            </w:r>
          </w:p>
          <w:p w:rsidR="00C8249A" w:rsidRPr="007656D4" w:rsidRDefault="00C8249A" w:rsidP="005B1C5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7037E" w:rsidRPr="005F371A" w:rsidTr="009E7EFB">
        <w:tc>
          <w:tcPr>
            <w:tcW w:w="567" w:type="dxa"/>
          </w:tcPr>
          <w:p w:rsidR="00B7037E" w:rsidRDefault="00B7037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2 </w:t>
            </w:r>
          </w:p>
        </w:tc>
        <w:tc>
          <w:tcPr>
            <w:tcW w:w="6947" w:type="dxa"/>
          </w:tcPr>
          <w:p w:rsidR="00B7037E" w:rsidRDefault="00B7037E" w:rsidP="00B703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Irak</w:t>
            </w:r>
          </w:p>
          <w:p w:rsidR="00B7037E" w:rsidRDefault="00B7037E" w:rsidP="00B703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F03332" w:rsidRDefault="00F03332" w:rsidP="00F03332">
            <w:r>
              <w:rPr>
                <w:bCs/>
                <w:color w:val="000000"/>
                <w:szCs w:val="24"/>
              </w:rPr>
              <w:t>I</w:t>
            </w:r>
            <w:r w:rsidR="00152A3F">
              <w:rPr>
                <w:bCs/>
                <w:color w:val="000000"/>
                <w:szCs w:val="24"/>
              </w:rPr>
              <w:t xml:space="preserve">nformation om </w:t>
            </w:r>
            <w:r>
              <w:rPr>
                <w:bCs/>
                <w:color w:val="000000"/>
                <w:szCs w:val="24"/>
              </w:rPr>
              <w:t>fortsatt svenskt deltagande i den militära utbildningsinsatsen</w:t>
            </w:r>
            <w:r w:rsidR="00CD214E">
              <w:rPr>
                <w:bCs/>
                <w:color w:val="000000"/>
                <w:szCs w:val="24"/>
              </w:rPr>
              <w:t xml:space="preserve"> i </w:t>
            </w:r>
            <w:r w:rsidR="00152A3F">
              <w:rPr>
                <w:bCs/>
                <w:color w:val="000000"/>
                <w:szCs w:val="24"/>
              </w:rPr>
              <w:t xml:space="preserve">Irak från </w:t>
            </w:r>
            <w:r w:rsidR="00152A3F">
              <w:rPr>
                <w:rFonts w:eastAsia="Calibri"/>
                <w:bCs/>
                <w:color w:val="000000"/>
                <w:szCs w:val="24"/>
                <w:lang w:eastAsia="en-US"/>
              </w:rPr>
              <w:t>utrikesminister Margot Wallström,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och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försvarsminister Peter Hultqvist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, </w:t>
            </w:r>
            <w:r w:rsidR="00152A3F">
              <w:rPr>
                <w:rFonts w:eastAsia="Calibri"/>
                <w:bCs/>
                <w:color w:val="000000"/>
                <w:szCs w:val="24"/>
                <w:lang w:eastAsia="en-US"/>
              </w:rPr>
              <w:t>kansliråd Anders Lindgren, kansliråd Majeed Olerud Khoso och politiskt sakkunnig Louise B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jarke, samtliga från Utrikesdepar</w:t>
            </w:r>
            <w:r w:rsidR="00152A3F">
              <w:rPr>
                <w:rFonts w:eastAsia="Calibri"/>
                <w:bCs/>
                <w:color w:val="000000"/>
                <w:szCs w:val="24"/>
                <w:lang w:eastAsia="en-US"/>
              </w:rPr>
              <w:t>tementet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 w:rsidR="00152A3F">
              <w:rPr>
                <w:rFonts w:eastAsia="Calibri"/>
                <w:bCs/>
                <w:color w:val="000000"/>
                <w:szCs w:val="24"/>
                <w:lang w:eastAsia="en-US"/>
              </w:rPr>
              <w:t>samt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 w:rsidR="00152A3F">
              <w:t xml:space="preserve">departementssekreterare Henric Arnoldsson och politiskt sakkunnig Annelie Greg, </w:t>
            </w:r>
            <w:r>
              <w:t>båda från Försvarsdepartementet och stf chef för ledningsstabens inriktningsavdelning Brig Gen Micael Claesson och irakhandläggare på l</w:t>
            </w:r>
            <w:r>
              <w:t>edning</w:t>
            </w:r>
            <w:r>
              <w:t>sstabens fö</w:t>
            </w:r>
            <w:r w:rsidR="00D14AB9">
              <w:t xml:space="preserve">rmågeplanering </w:t>
            </w:r>
            <w:r>
              <w:t>ö</w:t>
            </w:r>
            <w:r>
              <w:t xml:space="preserve">vlt Jonas Nilsson, </w:t>
            </w:r>
            <w:r>
              <w:t>båda från Försvarsmakten.</w:t>
            </w:r>
          </w:p>
          <w:p w:rsidR="00F03332" w:rsidRDefault="00F03332" w:rsidP="00F03332"/>
          <w:p w:rsidR="00CD214E" w:rsidRPr="00152A3F" w:rsidRDefault="00152A3F" w:rsidP="00F03332">
            <w:r>
              <w:t>Ledamöternas frågor besvarades.</w:t>
            </w:r>
          </w:p>
          <w:p w:rsidR="00152A3F" w:rsidRPr="00152A3F" w:rsidRDefault="00152A3F" w:rsidP="00B7037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900A52" w:rsidRPr="005F371A" w:rsidTr="009E7EFB">
        <w:tc>
          <w:tcPr>
            <w:tcW w:w="567" w:type="dxa"/>
          </w:tcPr>
          <w:p w:rsidR="00900A52" w:rsidRDefault="00900A52" w:rsidP="00900A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900A52" w:rsidRDefault="00900A52" w:rsidP="00900A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00A52" w:rsidRDefault="00900A52" w:rsidP="00900A52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10:55 och återupptogs kl. 11:00</w:t>
            </w:r>
          </w:p>
          <w:p w:rsidR="00900A52" w:rsidRDefault="00900A52" w:rsidP="00900A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00A52" w:rsidRPr="005F371A" w:rsidTr="009E7EFB">
        <w:tc>
          <w:tcPr>
            <w:tcW w:w="567" w:type="dxa"/>
          </w:tcPr>
          <w:p w:rsidR="00900A52" w:rsidRPr="005F371A" w:rsidRDefault="00900A52" w:rsidP="00900A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00A52" w:rsidRDefault="00900A52" w:rsidP="00900A52">
            <w:pPr>
              <w:rPr>
                <w:b/>
                <w:bCs/>
                <w:sz w:val="23"/>
                <w:szCs w:val="23"/>
              </w:rPr>
            </w:pPr>
            <w:r w:rsidRPr="007656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 w:rsidRPr="007656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00A52" w:rsidRDefault="00900A52" w:rsidP="00900A52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Utskottet justerade protokoll 2017/18:27.</w:t>
            </w:r>
          </w:p>
          <w:p w:rsidR="00900A52" w:rsidRPr="00A91DC2" w:rsidRDefault="00900A52" w:rsidP="00900A52">
            <w:pPr>
              <w:rPr>
                <w:bCs/>
                <w:sz w:val="23"/>
                <w:szCs w:val="23"/>
              </w:rPr>
            </w:pPr>
          </w:p>
        </w:tc>
      </w:tr>
      <w:tr w:rsidR="00900A52" w:rsidRPr="005F371A" w:rsidTr="009E7EFB">
        <w:tc>
          <w:tcPr>
            <w:tcW w:w="567" w:type="dxa"/>
          </w:tcPr>
          <w:p w:rsidR="00900A52" w:rsidRDefault="00900A52" w:rsidP="00900A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900A52" w:rsidRDefault="00900A52" w:rsidP="00900A5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Begäran om att ta del av vissa handlingar</w:t>
            </w:r>
          </w:p>
          <w:p w:rsidR="00900A52" w:rsidRDefault="00900A52" w:rsidP="00900A5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00A52" w:rsidRDefault="00900A52" w:rsidP="00900A52">
            <w:pPr>
              <w:rPr>
                <w:color w:val="1F497D"/>
              </w:rPr>
            </w:pPr>
            <w:r>
              <w:t>Utrikesutskottet beslutade att begära att myndigheten prövar frågan om utlämnande av den fullständiga versionen av UD:s interna utvärderingsrapport om arbetet med kandidaturen till FN:s säkerhetsråd (2 kap. 15 § tryckfrihetsförordningen). Enligt information, som har kommit utskottet till del och som även bekräftats av utvärderaren själv i media, ska den fullständiga versionen av UD:s interna utvärdering bestå av 44 sidor och bilagor</w:t>
            </w:r>
            <w:r w:rsidRPr="00B7037E">
              <w:rPr>
                <w:color w:val="1F497D"/>
              </w:rPr>
              <w:t>.</w:t>
            </w:r>
          </w:p>
          <w:p w:rsidR="00900A52" w:rsidRDefault="00900A52" w:rsidP="00900A52">
            <w:pPr>
              <w:rPr>
                <w:color w:val="1F497D"/>
              </w:rPr>
            </w:pPr>
          </w:p>
          <w:p w:rsidR="00900A52" w:rsidRPr="00B7037E" w:rsidRDefault="00900A52" w:rsidP="00900A5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Denna paragraf förklarades omedelbart justerad.</w:t>
            </w:r>
          </w:p>
          <w:p w:rsidR="00900A52" w:rsidRPr="007656D4" w:rsidRDefault="00900A52" w:rsidP="00900A5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A908C8" w:rsidRDefault="00A908C8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24899" w:rsidRPr="005F371A" w:rsidTr="009E7EFB">
        <w:tc>
          <w:tcPr>
            <w:tcW w:w="567" w:type="dxa"/>
          </w:tcPr>
          <w:p w:rsidR="00624899" w:rsidRDefault="00624899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624899" w:rsidRDefault="00624899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Säkerhetspolitik (UU11)</w:t>
            </w:r>
          </w:p>
          <w:p w:rsidR="00624899" w:rsidRDefault="00624899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65C2D" w:rsidRDefault="00665C2D" w:rsidP="00665C2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665C2D" w:rsidRDefault="00665C2D" w:rsidP="00665C2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665C2D" w:rsidRDefault="00665C2D" w:rsidP="00665C2D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</w:t>
            </w:r>
            <w:r w:rsidR="000F093D">
              <w:rPr>
                <w:rFonts w:eastAsia="Calibri"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1.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24899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M- SD- C- V- L- och KD-ledamöterna anmälde reservationer.</w:t>
            </w:r>
          </w:p>
          <w:p w:rsidR="00665C2D" w:rsidRPr="00624899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24899" w:rsidRPr="005F371A" w:rsidTr="009E7EFB">
        <w:tc>
          <w:tcPr>
            <w:tcW w:w="567" w:type="dxa"/>
          </w:tcPr>
          <w:p w:rsidR="00624899" w:rsidRDefault="00665C2D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624899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Interparlamentariska unionen (IPU) (UU16)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 av redogörelse 2017/18:RS3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2017/18:UU16.</w:t>
            </w:r>
          </w:p>
          <w:p w:rsidR="00665C2D" w:rsidRP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820E0" w:rsidRPr="005F371A" w:rsidTr="009E7EFB">
        <w:tc>
          <w:tcPr>
            <w:tcW w:w="567" w:type="dxa"/>
          </w:tcPr>
          <w:p w:rsidR="007820E0" w:rsidRDefault="007820E0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5C2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52A3F" w:rsidRDefault="00152A3F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656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Den parlamentariska församlingen för Unionen för medelhavet</w:t>
            </w:r>
            <w:r w:rsidRPr="007656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  <w:t>(PA-UfM)</w:t>
            </w:r>
            <w:r w:rsidRPr="007656D4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Pr="007656D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(UU17)</w:t>
            </w:r>
          </w:p>
          <w:p w:rsidR="00152A3F" w:rsidRDefault="00152A3F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52A3F" w:rsidRDefault="00152A3F" w:rsidP="00152A3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redogörelse 2017/18:RS2.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908C8" w:rsidRDefault="00A908C8" w:rsidP="00A908C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2017/18:UU17.</w:t>
            </w:r>
          </w:p>
          <w:p w:rsidR="00A908C8" w:rsidRDefault="00A908C8" w:rsidP="00A908C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A908C8" w:rsidRDefault="00A908C8" w:rsidP="00A908C8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SD- </w:t>
            </w:r>
            <w:r w:rsidR="00624899">
              <w:rPr>
                <w:rFonts w:eastAsia="Calibri"/>
                <w:bCs/>
                <w:color w:val="000000"/>
                <w:szCs w:val="24"/>
                <w:lang w:eastAsia="en-US"/>
              </w:rPr>
              <w:t>ledamöterna</w:t>
            </w:r>
            <w:r w:rsidR="00F921A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anmälde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särskilt yttrande.</w:t>
            </w:r>
          </w:p>
          <w:p w:rsidR="00AA47FD" w:rsidRPr="00AA47FD" w:rsidRDefault="00AA47FD" w:rsidP="005B1C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65C2D" w:rsidRPr="005F371A" w:rsidTr="009E7EFB">
        <w:tc>
          <w:tcPr>
            <w:tcW w:w="567" w:type="dxa"/>
          </w:tcPr>
          <w:p w:rsidR="00665C2D" w:rsidRDefault="00665C2D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Makroekonomiskt stöd till Ukraina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66B3A" w:rsidRDefault="00A66B3A" w:rsidP="00A66B3A">
            <w:pPr>
              <w:widowControl/>
              <w:spacing w:line="280" w:lineRule="atLeas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inledde subsidiaritetsprövning av KOM(2018) 127.</w:t>
            </w:r>
          </w:p>
          <w:p w:rsidR="00A66B3A" w:rsidRDefault="00A66B3A" w:rsidP="00A66B3A">
            <w:pPr>
              <w:widowControl/>
              <w:spacing w:line="280" w:lineRule="atLeast"/>
              <w:rPr>
                <w:bCs/>
                <w:color w:val="000000"/>
                <w:szCs w:val="24"/>
              </w:rPr>
            </w:pPr>
          </w:p>
          <w:p w:rsidR="00A66B3A" w:rsidRDefault="00A66B3A" w:rsidP="00A66B3A">
            <w:pPr>
              <w:widowControl/>
              <w:spacing w:line="280" w:lineRule="atLeas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ansåg att förslaget inte strider mot subsidiaritetsprincipen.</w:t>
            </w:r>
          </w:p>
          <w:p w:rsidR="00A66B3A" w:rsidRDefault="00A66B3A" w:rsidP="00A66B3A">
            <w:pPr>
              <w:widowControl/>
              <w:spacing w:line="280" w:lineRule="atLeast"/>
              <w:rPr>
                <w:bCs/>
                <w:color w:val="000000"/>
                <w:szCs w:val="24"/>
              </w:rPr>
            </w:pPr>
          </w:p>
          <w:p w:rsidR="00A66B3A" w:rsidRPr="00166E3C" w:rsidRDefault="00A66B3A" w:rsidP="00A66B3A">
            <w:pPr>
              <w:widowControl/>
              <w:spacing w:line="280" w:lineRule="atLeas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0719E3" w:rsidRPr="007656D4" w:rsidRDefault="000719E3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65C2D" w:rsidRPr="005F371A" w:rsidTr="00EF66C6">
        <w:trPr>
          <w:trHeight w:val="2750"/>
        </w:trPr>
        <w:tc>
          <w:tcPr>
            <w:tcW w:w="567" w:type="dxa"/>
          </w:tcPr>
          <w:p w:rsidR="00665C2D" w:rsidRDefault="00665C2D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0719E3" w:rsidRPr="00B40FCA" w:rsidTr="00B13156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0719E3" w:rsidRPr="00B40FCA" w:rsidRDefault="000719E3" w:rsidP="000719E3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0719E3" w:rsidRPr="00B40FCA" w:rsidRDefault="000719E3" w:rsidP="000719E3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0719E3" w:rsidRPr="00B40FCA" w:rsidTr="00B13156">
              <w:tc>
                <w:tcPr>
                  <w:tcW w:w="3168" w:type="dxa"/>
                  <w:shd w:val="clear" w:color="auto" w:fill="auto"/>
                </w:tcPr>
                <w:p w:rsidR="000719E3" w:rsidRDefault="000719E3" w:rsidP="000719E3">
                  <w:pPr>
                    <w:autoSpaceDE w:val="0"/>
                    <w:autoSpaceDN w:val="0"/>
                    <w:adjustRightInd w:val="0"/>
                  </w:pPr>
                  <w:r>
                    <w:t>KOM(2018) 65</w:t>
                  </w:r>
                </w:p>
                <w:p w:rsidR="000719E3" w:rsidRDefault="000719E3" w:rsidP="000719E3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0719E3" w:rsidRDefault="000719E3" w:rsidP="000719E3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  <w:p w:rsidR="000719E3" w:rsidRPr="00B40FCA" w:rsidRDefault="000719E3" w:rsidP="000719E3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0719E3" w:rsidRPr="00B40FCA" w:rsidTr="00B13156">
              <w:tc>
                <w:tcPr>
                  <w:tcW w:w="3168" w:type="dxa"/>
                  <w:shd w:val="clear" w:color="auto" w:fill="auto"/>
                </w:tcPr>
                <w:p w:rsidR="000719E3" w:rsidRDefault="00EF66C6" w:rsidP="00EF66C6">
                  <w:pPr>
                    <w:autoSpaceDE w:val="0"/>
                    <w:autoSpaceDN w:val="0"/>
                    <w:adjustRightInd w:val="0"/>
                  </w:pPr>
                  <w:r>
                    <w:t>KOM(2018) 687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0719E3" w:rsidRDefault="000719E3" w:rsidP="000719E3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  <w:p w:rsidR="000719E3" w:rsidRDefault="000719E3" w:rsidP="000719E3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0719E3" w:rsidRPr="00B40FCA" w:rsidTr="00B13156">
              <w:tc>
                <w:tcPr>
                  <w:tcW w:w="3168" w:type="dxa"/>
                  <w:shd w:val="clear" w:color="auto" w:fill="auto"/>
                </w:tcPr>
                <w:p w:rsidR="000719E3" w:rsidRDefault="000719E3" w:rsidP="00EF66C6">
                  <w:pPr>
                    <w:autoSpaceDE w:val="0"/>
                    <w:autoSpaceDN w:val="0"/>
                    <w:adjustRightInd w:val="0"/>
                  </w:pPr>
                  <w:r>
                    <w:t xml:space="preserve">KOM(2017) </w:t>
                  </w:r>
                  <w:r w:rsidR="00EF66C6">
                    <w:t>1054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0719E3" w:rsidRDefault="000719E3" w:rsidP="000719E3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  <w:p w:rsidR="000719E3" w:rsidRDefault="000719E3" w:rsidP="000719E3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</w:tbl>
          <w:p w:rsidR="000719E3" w:rsidRPr="007656D4" w:rsidRDefault="000719E3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65C2D" w:rsidRPr="005F371A" w:rsidTr="009E7EFB">
        <w:tc>
          <w:tcPr>
            <w:tcW w:w="567" w:type="dxa"/>
          </w:tcPr>
          <w:p w:rsidR="00665C2D" w:rsidRDefault="00665C2D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665C2D" w:rsidRDefault="00665C2D" w:rsidP="00152A3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40E0A" w:rsidRDefault="00A40E0A" w:rsidP="00A40E0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 att:</w:t>
            </w:r>
          </w:p>
          <w:p w:rsidR="00A40E0A" w:rsidRDefault="00A40E0A" w:rsidP="00A40E0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– debattlistorna för betänkande</w:t>
            </w:r>
            <w:r w:rsidR="000F093D">
              <w:rPr>
                <w:rFonts w:eastAsiaTheme="minorHAnsi"/>
                <w:bCs/>
                <w:color w:val="000000"/>
                <w:szCs w:val="24"/>
                <w:lang w:eastAsia="en-US"/>
              </w:rPr>
              <w:t>n</w:t>
            </w:r>
            <w:r w:rsidR="00407906"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bookmarkStart w:id="0" w:name="_GoBack"/>
            <w:bookmarkEnd w:id="0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2017/18:UU11, 2017/18:UU16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   2017/18:UU17 cirkulerades på bordet.</w:t>
            </w:r>
          </w:p>
          <w:p w:rsidR="00F05E92" w:rsidRDefault="00A40E0A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– </w:t>
            </w:r>
            <w:r w:rsidRPr="00A40E0A">
              <w:rPr>
                <w:rFonts w:eastAsiaTheme="minorHAnsi"/>
                <w:bCs/>
                <w:color w:val="000000"/>
                <w:szCs w:val="24"/>
                <w:lang w:eastAsia="en-US"/>
              </w:rPr>
              <w:t>besöket från Ukrainas vice utrikesminister Mr. Sergiy Kyslytsya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   tisdagen den 17 april kl. 10:15-11:00</w:t>
            </w:r>
            <w:r w:rsidRPr="00A40E0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har blivit inställt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40E0A" w:rsidRPr="00F05E92" w:rsidRDefault="00A40E0A" w:rsidP="00152A3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24899" w:rsidRPr="005F371A" w:rsidTr="008E4086">
        <w:tc>
          <w:tcPr>
            <w:tcW w:w="567" w:type="dxa"/>
          </w:tcPr>
          <w:p w:rsidR="00624899" w:rsidRPr="005F371A" w:rsidRDefault="00624899" w:rsidP="00665C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5C2D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624899" w:rsidRDefault="00624899" w:rsidP="006248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624899" w:rsidRDefault="00624899" w:rsidP="006248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24899" w:rsidRDefault="00624899" w:rsidP="006248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nästa sammanträde ska äga rum torsdagen den 12 april 2018 kl. 08:00.</w:t>
            </w:r>
          </w:p>
          <w:p w:rsidR="00624899" w:rsidRDefault="00624899" w:rsidP="006248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B649E1" w:rsidRDefault="004569A3">
      <w:r>
        <w:br w:type="page"/>
      </w:r>
    </w:p>
    <w:tbl>
      <w:tblPr>
        <w:tblpPr w:leftFromText="141" w:rightFromText="141" w:vertAnchor="text" w:horzAnchor="margin" w:tblpXSpec="right" w:tblpY="8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B649E1" w:rsidTr="00B649E1">
        <w:tc>
          <w:tcPr>
            <w:tcW w:w="7156" w:type="dxa"/>
          </w:tcPr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  <w:r>
              <w:t>Vid protokollet</w:t>
            </w: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  <w:r>
              <w:t>Marlene Quinones</w:t>
            </w: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  <w:r>
              <w:t xml:space="preserve">Justeras den </w:t>
            </w:r>
            <w:r w:rsidR="00B7037E">
              <w:t>12 april</w:t>
            </w:r>
            <w:r>
              <w:t xml:space="preserve"> 2018</w:t>
            </w: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Default="00B649E1" w:rsidP="00B649E1">
            <w:pPr>
              <w:tabs>
                <w:tab w:val="left" w:pos="1701"/>
              </w:tabs>
            </w:pPr>
            <w:r>
              <w:t>Kenneth G Forslund</w:t>
            </w:r>
          </w:p>
          <w:p w:rsidR="00B649E1" w:rsidRDefault="00B649E1" w:rsidP="00B649E1">
            <w:pPr>
              <w:tabs>
                <w:tab w:val="left" w:pos="1701"/>
              </w:tabs>
            </w:pPr>
          </w:p>
          <w:p w:rsidR="00B649E1" w:rsidRPr="006D52CB" w:rsidRDefault="00B649E1" w:rsidP="00B649E1">
            <w:pPr>
              <w:tabs>
                <w:tab w:val="left" w:pos="1701"/>
              </w:tabs>
            </w:pPr>
          </w:p>
        </w:tc>
      </w:tr>
    </w:tbl>
    <w:p w:rsidR="00B649E1" w:rsidRDefault="00B649E1">
      <w:r>
        <w:br/>
      </w:r>
    </w:p>
    <w:p w:rsidR="00B649E1" w:rsidRDefault="00B649E1"/>
    <w:p w:rsidR="00B649E1" w:rsidRDefault="00B649E1"/>
    <w:p w:rsidR="00B649E1" w:rsidRDefault="00B649E1"/>
    <w:p w:rsidR="00B649E1" w:rsidRDefault="00B649E1"/>
    <w:tbl>
      <w:tblPr>
        <w:tblpPr w:leftFromText="141" w:rightFromText="141" w:vertAnchor="page" w:horzAnchor="page" w:tblpX="2831" w:tblpY="67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B649E1" w:rsidRPr="005F371A" w:rsidTr="00FF63A3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B649E1" w:rsidRPr="005F371A" w:rsidRDefault="00B649E1" w:rsidP="00FF63A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B649E1" w:rsidRPr="005F371A" w:rsidRDefault="00B649E1" w:rsidP="00FF63A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B7037E">
              <w:rPr>
                <w:sz w:val="20"/>
              </w:rPr>
              <w:t>9</w:t>
            </w: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B703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183F72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0AA5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0AA5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Default="00B649E1" w:rsidP="00FF63A3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0AA5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70350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Jeff Ahl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F71984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0AA5" w:rsidP="00FF63A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0AA5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D02A38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455F69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864FD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CF5657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A95748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 w:rsidRPr="005F371A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Marie-Louise Rönnmark</w:t>
            </w:r>
            <w:r w:rsidRPr="005F371A">
              <w:rPr>
                <w:sz w:val="20"/>
                <w:lang w:val="en-US"/>
              </w:rPr>
              <w:t xml:space="preserve"> (S)</w:t>
            </w:r>
            <w:r w:rsidRPr="005F371A">
              <w:rPr>
                <w:b/>
                <w:i/>
                <w:sz w:val="20"/>
                <w:lang w:val="en-US"/>
              </w:rPr>
              <w:t xml:space="preserve"> </w:t>
            </w:r>
            <w:r w:rsidRPr="00F70023">
              <w:rPr>
                <w:b/>
                <w:i/>
                <w:sz w:val="14"/>
                <w:lang w:val="en-US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C51CAB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C51CAB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C51CAB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C51CAB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B030DE" w:rsidRDefault="00B649E1" w:rsidP="00FF63A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B649E1" w:rsidRPr="005F371A" w:rsidTr="00FF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B649E1" w:rsidRPr="005F371A" w:rsidRDefault="00B649E1" w:rsidP="00FF6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4569A3" w:rsidRDefault="004569A3"/>
    <w:p w:rsidR="00391C70" w:rsidRDefault="00391C70" w:rsidP="00391C70"/>
    <w:p w:rsidR="001D6136" w:rsidRDefault="001D6136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391C70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391C70" w:rsidRDefault="00391C70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020228" w:rsidP="00C72359"/>
    <w:p w:rsidR="00020228" w:rsidRDefault="004D5801" w:rsidP="00C72359">
      <w:r>
        <w:t xml:space="preserve"> </w:t>
      </w:r>
    </w:p>
    <w:p w:rsidR="00020228" w:rsidRDefault="00020228" w:rsidP="00C72359"/>
    <w:p w:rsidR="00020228" w:rsidRDefault="00020228" w:rsidP="00C72359"/>
    <w:p w:rsidR="00020228" w:rsidRDefault="00020228" w:rsidP="00C72359"/>
    <w:p w:rsidR="00020228" w:rsidRPr="00BE6EEA" w:rsidRDefault="00020228" w:rsidP="00020228">
      <w:pPr>
        <w:pStyle w:val="Rubrik2"/>
      </w:pPr>
      <w:bookmarkStart w:id="1" w:name="Start"/>
      <w:bookmarkEnd w:id="1"/>
    </w:p>
    <w:p w:rsidR="00020228" w:rsidRPr="001C221E" w:rsidRDefault="00020228" w:rsidP="00C72359"/>
    <w:sectPr w:rsidR="00020228" w:rsidRPr="001C221E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B2E" w:rsidRDefault="00660B2E" w:rsidP="009255E3">
      <w:r>
        <w:separator/>
      </w:r>
    </w:p>
  </w:endnote>
  <w:endnote w:type="continuationSeparator" w:id="0">
    <w:p w:rsidR="00660B2E" w:rsidRDefault="00660B2E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B2E" w:rsidRDefault="00660B2E" w:rsidP="009255E3">
      <w:r>
        <w:separator/>
      </w:r>
    </w:p>
  </w:footnote>
  <w:footnote w:type="continuationSeparator" w:id="0">
    <w:p w:rsidR="00660B2E" w:rsidRDefault="00660B2E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2757"/>
    <w:multiLevelType w:val="hybridMultilevel"/>
    <w:tmpl w:val="DF44C4DC"/>
    <w:lvl w:ilvl="0" w:tplc="13A284F2">
      <w:numFmt w:val="bullet"/>
      <w:lvlText w:val="-"/>
      <w:lvlJc w:val="left"/>
      <w:pPr>
        <w:ind w:left="166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63277"/>
    <w:rsid w:val="00063C39"/>
    <w:rsid w:val="00064E57"/>
    <w:rsid w:val="00067CDA"/>
    <w:rsid w:val="00071333"/>
    <w:rsid w:val="000719E3"/>
    <w:rsid w:val="00074225"/>
    <w:rsid w:val="000752C8"/>
    <w:rsid w:val="000810E5"/>
    <w:rsid w:val="00081328"/>
    <w:rsid w:val="000836E8"/>
    <w:rsid w:val="000863C6"/>
    <w:rsid w:val="0009166B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42CF"/>
    <w:rsid w:val="000C1702"/>
    <w:rsid w:val="000D30B9"/>
    <w:rsid w:val="000D56B5"/>
    <w:rsid w:val="000D5711"/>
    <w:rsid w:val="000D5EEA"/>
    <w:rsid w:val="000D7AC7"/>
    <w:rsid w:val="000E0F8A"/>
    <w:rsid w:val="000E47A7"/>
    <w:rsid w:val="000E5F88"/>
    <w:rsid w:val="000F093D"/>
    <w:rsid w:val="000F0AD1"/>
    <w:rsid w:val="000F3970"/>
    <w:rsid w:val="000F5430"/>
    <w:rsid w:val="00100DC3"/>
    <w:rsid w:val="00102566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2A3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86432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37DE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6136"/>
    <w:rsid w:val="001D72A0"/>
    <w:rsid w:val="001E05F0"/>
    <w:rsid w:val="001E0B9F"/>
    <w:rsid w:val="001E1974"/>
    <w:rsid w:val="001E2F12"/>
    <w:rsid w:val="001E3664"/>
    <w:rsid w:val="001E68DB"/>
    <w:rsid w:val="001F0B52"/>
    <w:rsid w:val="001F15B8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5357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6D10"/>
    <w:rsid w:val="002A53C5"/>
    <w:rsid w:val="002A6893"/>
    <w:rsid w:val="002B0251"/>
    <w:rsid w:val="002B2FA4"/>
    <w:rsid w:val="002B6AA0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434F"/>
    <w:rsid w:val="003E79CA"/>
    <w:rsid w:val="003F0F04"/>
    <w:rsid w:val="003F1BCE"/>
    <w:rsid w:val="003F2435"/>
    <w:rsid w:val="003F3EE3"/>
    <w:rsid w:val="003F4728"/>
    <w:rsid w:val="003F58C6"/>
    <w:rsid w:val="003F657A"/>
    <w:rsid w:val="00403311"/>
    <w:rsid w:val="00404EDC"/>
    <w:rsid w:val="00406D21"/>
    <w:rsid w:val="00407906"/>
    <w:rsid w:val="00411D51"/>
    <w:rsid w:val="0041580F"/>
    <w:rsid w:val="004259E7"/>
    <w:rsid w:val="004261E6"/>
    <w:rsid w:val="00427D42"/>
    <w:rsid w:val="00430482"/>
    <w:rsid w:val="004328D2"/>
    <w:rsid w:val="00433789"/>
    <w:rsid w:val="004369B0"/>
    <w:rsid w:val="0044080D"/>
    <w:rsid w:val="004416AC"/>
    <w:rsid w:val="0044438B"/>
    <w:rsid w:val="00444E32"/>
    <w:rsid w:val="004461D0"/>
    <w:rsid w:val="00447D8F"/>
    <w:rsid w:val="00450F45"/>
    <w:rsid w:val="00451BDA"/>
    <w:rsid w:val="004569A3"/>
    <w:rsid w:val="00461B0D"/>
    <w:rsid w:val="004655E6"/>
    <w:rsid w:val="00467B9B"/>
    <w:rsid w:val="00473632"/>
    <w:rsid w:val="00473B64"/>
    <w:rsid w:val="00473E2D"/>
    <w:rsid w:val="004757B5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7D0"/>
    <w:rsid w:val="004C3FF5"/>
    <w:rsid w:val="004C4F01"/>
    <w:rsid w:val="004D39F7"/>
    <w:rsid w:val="004D3C57"/>
    <w:rsid w:val="004D4516"/>
    <w:rsid w:val="004D4F89"/>
    <w:rsid w:val="004D5801"/>
    <w:rsid w:val="004D7742"/>
    <w:rsid w:val="004E1438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67A02"/>
    <w:rsid w:val="0057083C"/>
    <w:rsid w:val="0057313D"/>
    <w:rsid w:val="00573E31"/>
    <w:rsid w:val="00574466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1C5E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0F79"/>
    <w:rsid w:val="005E18FE"/>
    <w:rsid w:val="005E2104"/>
    <w:rsid w:val="005E28B9"/>
    <w:rsid w:val="005E439C"/>
    <w:rsid w:val="005E4836"/>
    <w:rsid w:val="005F085B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20AF3"/>
    <w:rsid w:val="006222B1"/>
    <w:rsid w:val="00624899"/>
    <w:rsid w:val="00625EF8"/>
    <w:rsid w:val="00625F79"/>
    <w:rsid w:val="00626678"/>
    <w:rsid w:val="00626C1B"/>
    <w:rsid w:val="006273E0"/>
    <w:rsid w:val="00631F07"/>
    <w:rsid w:val="00635E59"/>
    <w:rsid w:val="0064011F"/>
    <w:rsid w:val="00643F85"/>
    <w:rsid w:val="006518AB"/>
    <w:rsid w:val="00651CB8"/>
    <w:rsid w:val="00652D37"/>
    <w:rsid w:val="00654375"/>
    <w:rsid w:val="00660B2E"/>
    <w:rsid w:val="006625E6"/>
    <w:rsid w:val="00665C2D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6C49"/>
    <w:rsid w:val="00696F87"/>
    <w:rsid w:val="006A1EE7"/>
    <w:rsid w:val="006B02C9"/>
    <w:rsid w:val="006B0841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E5403"/>
    <w:rsid w:val="006E5D0A"/>
    <w:rsid w:val="006E5DAA"/>
    <w:rsid w:val="006F3E80"/>
    <w:rsid w:val="006F4059"/>
    <w:rsid w:val="006F785A"/>
    <w:rsid w:val="006F7F51"/>
    <w:rsid w:val="00700084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21D50"/>
    <w:rsid w:val="00822068"/>
    <w:rsid w:val="008245D2"/>
    <w:rsid w:val="00825C38"/>
    <w:rsid w:val="00825D0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6CE5"/>
    <w:rsid w:val="008A6FE9"/>
    <w:rsid w:val="008B0D6A"/>
    <w:rsid w:val="008B67C1"/>
    <w:rsid w:val="008B6A28"/>
    <w:rsid w:val="008B7D05"/>
    <w:rsid w:val="008C152C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0A52"/>
    <w:rsid w:val="0090259E"/>
    <w:rsid w:val="009030AD"/>
    <w:rsid w:val="00903BE9"/>
    <w:rsid w:val="00904757"/>
    <w:rsid w:val="0090688F"/>
    <w:rsid w:val="00906C2D"/>
    <w:rsid w:val="00907F31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5B13"/>
    <w:rsid w:val="009570AB"/>
    <w:rsid w:val="00957917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A0BFF"/>
    <w:rsid w:val="009A2873"/>
    <w:rsid w:val="009A2D9F"/>
    <w:rsid w:val="009A487C"/>
    <w:rsid w:val="009A68FE"/>
    <w:rsid w:val="009B0A01"/>
    <w:rsid w:val="009B4B4A"/>
    <w:rsid w:val="009B4F1F"/>
    <w:rsid w:val="009C030D"/>
    <w:rsid w:val="009C3A82"/>
    <w:rsid w:val="009C4F7D"/>
    <w:rsid w:val="009C5AF1"/>
    <w:rsid w:val="009C5CBB"/>
    <w:rsid w:val="009D6DA2"/>
    <w:rsid w:val="009E2548"/>
    <w:rsid w:val="009E2ECE"/>
    <w:rsid w:val="009E68AC"/>
    <w:rsid w:val="009E7EFB"/>
    <w:rsid w:val="009F1229"/>
    <w:rsid w:val="009F1728"/>
    <w:rsid w:val="009F2F22"/>
    <w:rsid w:val="009F36D6"/>
    <w:rsid w:val="009F6367"/>
    <w:rsid w:val="009F65F2"/>
    <w:rsid w:val="00A054F2"/>
    <w:rsid w:val="00A104B0"/>
    <w:rsid w:val="00A139D8"/>
    <w:rsid w:val="00A155A0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0E0A"/>
    <w:rsid w:val="00A43021"/>
    <w:rsid w:val="00A44800"/>
    <w:rsid w:val="00A459D6"/>
    <w:rsid w:val="00A50D95"/>
    <w:rsid w:val="00A53531"/>
    <w:rsid w:val="00A544BE"/>
    <w:rsid w:val="00A601E4"/>
    <w:rsid w:val="00A64B00"/>
    <w:rsid w:val="00A65ED4"/>
    <w:rsid w:val="00A66B3A"/>
    <w:rsid w:val="00A70A4B"/>
    <w:rsid w:val="00A72464"/>
    <w:rsid w:val="00A73F9D"/>
    <w:rsid w:val="00A73FA5"/>
    <w:rsid w:val="00A744C3"/>
    <w:rsid w:val="00A75CB1"/>
    <w:rsid w:val="00A776AE"/>
    <w:rsid w:val="00A84F84"/>
    <w:rsid w:val="00A87DBA"/>
    <w:rsid w:val="00A903A1"/>
    <w:rsid w:val="00A908C8"/>
    <w:rsid w:val="00A91DC2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47FD"/>
    <w:rsid w:val="00AA5916"/>
    <w:rsid w:val="00AA6D51"/>
    <w:rsid w:val="00AA6F9D"/>
    <w:rsid w:val="00AB28D4"/>
    <w:rsid w:val="00AB5856"/>
    <w:rsid w:val="00AC0BDD"/>
    <w:rsid w:val="00AC1183"/>
    <w:rsid w:val="00AC1C9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534C"/>
    <w:rsid w:val="00AE7CFD"/>
    <w:rsid w:val="00AF1054"/>
    <w:rsid w:val="00AF1C59"/>
    <w:rsid w:val="00AF3B7C"/>
    <w:rsid w:val="00AF5868"/>
    <w:rsid w:val="00B00842"/>
    <w:rsid w:val="00B030DE"/>
    <w:rsid w:val="00B03CD9"/>
    <w:rsid w:val="00B10AD8"/>
    <w:rsid w:val="00B12E0D"/>
    <w:rsid w:val="00B21016"/>
    <w:rsid w:val="00B21134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C73"/>
    <w:rsid w:val="00B506A4"/>
    <w:rsid w:val="00B53A39"/>
    <w:rsid w:val="00B53A9E"/>
    <w:rsid w:val="00B60291"/>
    <w:rsid w:val="00B60AA5"/>
    <w:rsid w:val="00B62497"/>
    <w:rsid w:val="00B649E1"/>
    <w:rsid w:val="00B7037E"/>
    <w:rsid w:val="00B71273"/>
    <w:rsid w:val="00B73BF6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F1171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249A"/>
    <w:rsid w:val="00C83B65"/>
    <w:rsid w:val="00C8491D"/>
    <w:rsid w:val="00C910E7"/>
    <w:rsid w:val="00C91C8C"/>
    <w:rsid w:val="00C93183"/>
    <w:rsid w:val="00C93236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58C7"/>
    <w:rsid w:val="00CC7350"/>
    <w:rsid w:val="00CD15A8"/>
    <w:rsid w:val="00CD165B"/>
    <w:rsid w:val="00CD1D13"/>
    <w:rsid w:val="00CD214E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F73"/>
    <w:rsid w:val="00D14AB9"/>
    <w:rsid w:val="00D23251"/>
    <w:rsid w:val="00D25792"/>
    <w:rsid w:val="00D25C68"/>
    <w:rsid w:val="00D37756"/>
    <w:rsid w:val="00D37930"/>
    <w:rsid w:val="00D40200"/>
    <w:rsid w:val="00D40269"/>
    <w:rsid w:val="00D40333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575FA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7A9C"/>
    <w:rsid w:val="00E11746"/>
    <w:rsid w:val="00E173C3"/>
    <w:rsid w:val="00E23A03"/>
    <w:rsid w:val="00E24036"/>
    <w:rsid w:val="00E26735"/>
    <w:rsid w:val="00E27E86"/>
    <w:rsid w:val="00E27FEA"/>
    <w:rsid w:val="00E30AAF"/>
    <w:rsid w:val="00E31F04"/>
    <w:rsid w:val="00E324E9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4ED5"/>
    <w:rsid w:val="00EA485E"/>
    <w:rsid w:val="00EA491E"/>
    <w:rsid w:val="00EA68D6"/>
    <w:rsid w:val="00EA75DF"/>
    <w:rsid w:val="00EA7818"/>
    <w:rsid w:val="00EB3D1B"/>
    <w:rsid w:val="00EC0A00"/>
    <w:rsid w:val="00EC2DBB"/>
    <w:rsid w:val="00ED0F7D"/>
    <w:rsid w:val="00ED7F02"/>
    <w:rsid w:val="00EE032C"/>
    <w:rsid w:val="00EE07C5"/>
    <w:rsid w:val="00EE0FD6"/>
    <w:rsid w:val="00EE127A"/>
    <w:rsid w:val="00EE22CF"/>
    <w:rsid w:val="00EE555C"/>
    <w:rsid w:val="00EE7485"/>
    <w:rsid w:val="00EF66C6"/>
    <w:rsid w:val="00EF7530"/>
    <w:rsid w:val="00EF7676"/>
    <w:rsid w:val="00EF784D"/>
    <w:rsid w:val="00F01DF7"/>
    <w:rsid w:val="00F03332"/>
    <w:rsid w:val="00F04961"/>
    <w:rsid w:val="00F05E92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7E41"/>
    <w:rsid w:val="00F8508A"/>
    <w:rsid w:val="00F86AC0"/>
    <w:rsid w:val="00F86E52"/>
    <w:rsid w:val="00F87D2D"/>
    <w:rsid w:val="00F91C26"/>
    <w:rsid w:val="00F921AB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573A2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9A8C-D2D2-402F-81AA-EB0E56E0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2177</TotalTime>
  <Pages>4</Pages>
  <Words>621</Words>
  <Characters>4773</Characters>
  <Application>Microsoft Office Word</Application>
  <DocSecurity>0</DocSecurity>
  <Lines>433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147</cp:revision>
  <cp:lastPrinted>2018-03-22T15:21:00Z</cp:lastPrinted>
  <dcterms:created xsi:type="dcterms:W3CDTF">2017-05-23T13:45:00Z</dcterms:created>
  <dcterms:modified xsi:type="dcterms:W3CDTF">2018-04-10T13:52:00Z</dcterms:modified>
</cp:coreProperties>
</file>