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665578B1"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3F6C58">
              <w:rPr>
                <w:b/>
                <w:sz w:val="22"/>
                <w:szCs w:val="22"/>
              </w:rPr>
              <w:t>37</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2638658C" w:rsidR="00177FF8" w:rsidRPr="00885BCB" w:rsidRDefault="00626575" w:rsidP="00FB0559">
            <w:pPr>
              <w:rPr>
                <w:sz w:val="22"/>
                <w:szCs w:val="22"/>
              </w:rPr>
            </w:pPr>
            <w:r w:rsidRPr="00885BCB">
              <w:rPr>
                <w:sz w:val="22"/>
                <w:szCs w:val="22"/>
              </w:rPr>
              <w:t>20</w:t>
            </w:r>
            <w:r w:rsidR="00CB71B9" w:rsidRPr="00885BCB">
              <w:rPr>
                <w:sz w:val="22"/>
                <w:szCs w:val="22"/>
              </w:rPr>
              <w:t>2</w:t>
            </w:r>
            <w:r w:rsidR="003D6448">
              <w:rPr>
                <w:sz w:val="22"/>
                <w:szCs w:val="22"/>
              </w:rPr>
              <w:t>6</w:t>
            </w:r>
            <w:r w:rsidR="008C2D5B" w:rsidRPr="00885BCB">
              <w:rPr>
                <w:sz w:val="22"/>
                <w:szCs w:val="22"/>
              </w:rPr>
              <w:t>-</w:t>
            </w:r>
            <w:r w:rsidR="003D6448">
              <w:rPr>
                <w:sz w:val="22"/>
                <w:szCs w:val="22"/>
              </w:rPr>
              <w:t>0</w:t>
            </w:r>
            <w:r w:rsidR="0005329B">
              <w:rPr>
                <w:sz w:val="22"/>
                <w:szCs w:val="22"/>
              </w:rPr>
              <w:t>3</w:t>
            </w:r>
            <w:r w:rsidR="00C26F83" w:rsidRPr="00885BCB">
              <w:rPr>
                <w:sz w:val="22"/>
                <w:szCs w:val="22"/>
              </w:rPr>
              <w:t>-</w:t>
            </w:r>
            <w:r w:rsidR="00430F4B">
              <w:rPr>
                <w:sz w:val="22"/>
                <w:szCs w:val="22"/>
              </w:rPr>
              <w:t>24</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364E914B" w:rsidR="00177FF8" w:rsidRPr="00885BCB" w:rsidRDefault="0091283E" w:rsidP="00231475">
            <w:pPr>
              <w:rPr>
                <w:sz w:val="22"/>
                <w:szCs w:val="22"/>
              </w:rPr>
            </w:pPr>
            <w:r>
              <w:rPr>
                <w:sz w:val="22"/>
                <w:szCs w:val="22"/>
              </w:rPr>
              <w:t>11</w:t>
            </w:r>
            <w:r w:rsidR="00B54A57" w:rsidRPr="00885BCB">
              <w:rPr>
                <w:sz w:val="22"/>
                <w:szCs w:val="22"/>
              </w:rPr>
              <w:t>.</w:t>
            </w:r>
            <w:r w:rsidR="006C66B9" w:rsidRPr="00885BCB">
              <w:rPr>
                <w:sz w:val="22"/>
                <w:szCs w:val="22"/>
              </w:rPr>
              <w:t>0</w:t>
            </w:r>
            <w:r w:rsidR="00B5691D" w:rsidRPr="00885BCB">
              <w:rPr>
                <w:sz w:val="22"/>
                <w:szCs w:val="22"/>
              </w:rPr>
              <w:t>0</w:t>
            </w:r>
            <w:r w:rsidR="00762508" w:rsidRPr="00885BCB">
              <w:rPr>
                <w:sz w:val="22"/>
                <w:szCs w:val="22"/>
              </w:rPr>
              <w:t xml:space="preserve"> </w:t>
            </w:r>
            <w:r w:rsidR="00DA2753" w:rsidRPr="00885BCB">
              <w:rPr>
                <w:sz w:val="22"/>
                <w:szCs w:val="22"/>
              </w:rPr>
              <w:t xml:space="preserve">– </w:t>
            </w:r>
            <w:r w:rsidR="00EC1B9A">
              <w:rPr>
                <w:sz w:val="22"/>
                <w:szCs w:val="22"/>
              </w:rPr>
              <w:t>12.10</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885BCB"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885BCB" w14:paraId="376DFF00" w14:textId="77777777" w:rsidTr="00165402">
        <w:tc>
          <w:tcPr>
            <w:tcW w:w="567" w:type="dxa"/>
          </w:tcPr>
          <w:p w14:paraId="46A66E6E" w14:textId="7435709A" w:rsidR="00987069" w:rsidRPr="00885BCB" w:rsidRDefault="00B16183" w:rsidP="00C5706E">
            <w:pPr>
              <w:tabs>
                <w:tab w:val="left" w:pos="1701"/>
              </w:tabs>
              <w:rPr>
                <w:b/>
                <w:snapToGrid w:val="0"/>
                <w:sz w:val="22"/>
                <w:szCs w:val="22"/>
              </w:rPr>
            </w:pPr>
            <w:r w:rsidRPr="00885BCB">
              <w:rPr>
                <w:b/>
                <w:snapToGrid w:val="0"/>
                <w:sz w:val="22"/>
                <w:szCs w:val="22"/>
              </w:rPr>
              <w:t xml:space="preserve">§ </w:t>
            </w:r>
            <w:r w:rsidR="0091283E">
              <w:rPr>
                <w:b/>
                <w:snapToGrid w:val="0"/>
                <w:sz w:val="22"/>
                <w:szCs w:val="22"/>
              </w:rPr>
              <w:t>1</w:t>
            </w:r>
          </w:p>
        </w:tc>
        <w:tc>
          <w:tcPr>
            <w:tcW w:w="6946" w:type="dxa"/>
            <w:gridSpan w:val="2"/>
          </w:tcPr>
          <w:p w14:paraId="45611182" w14:textId="0F2643DB" w:rsidR="0091377F" w:rsidRDefault="00430F4B" w:rsidP="0091377F">
            <w:pPr>
              <w:tabs>
                <w:tab w:val="left" w:pos="1701"/>
              </w:tabs>
              <w:rPr>
                <w:b/>
                <w:snapToGrid w:val="0"/>
                <w:sz w:val="22"/>
                <w:szCs w:val="22"/>
              </w:rPr>
            </w:pPr>
            <w:r w:rsidRPr="00430F4B">
              <w:rPr>
                <w:b/>
                <w:snapToGrid w:val="0"/>
                <w:sz w:val="22"/>
                <w:szCs w:val="22"/>
              </w:rPr>
              <w:t>Förslag till Europaparlamentets och rådets förordning om rena företagsfordon</w:t>
            </w:r>
          </w:p>
          <w:p w14:paraId="4A5FE17E" w14:textId="77777777" w:rsidR="0008187D" w:rsidRDefault="0008187D" w:rsidP="0091377F">
            <w:pPr>
              <w:tabs>
                <w:tab w:val="left" w:pos="1701"/>
              </w:tabs>
              <w:rPr>
                <w:b/>
                <w:snapToGrid w:val="0"/>
                <w:sz w:val="22"/>
                <w:szCs w:val="22"/>
              </w:rPr>
            </w:pPr>
          </w:p>
          <w:p w14:paraId="4048BD34" w14:textId="77777777" w:rsidR="00CC6057" w:rsidRPr="00FF2E84" w:rsidRDefault="00CC6057" w:rsidP="00CC6057">
            <w:pPr>
              <w:rPr>
                <w:rFonts w:eastAsiaTheme="minorHAnsi"/>
                <w:color w:val="000000"/>
                <w:sz w:val="22"/>
                <w:szCs w:val="22"/>
                <w:lang w:eastAsia="en-US"/>
              </w:rPr>
            </w:pPr>
            <w:r w:rsidRPr="00FF2E84">
              <w:rPr>
                <w:snapToGrid w:val="0"/>
                <w:sz w:val="22"/>
                <w:szCs w:val="22"/>
              </w:rPr>
              <w:t>Utskottet överlade med statssekreterare Johan Davidsson, biträdd</w:t>
            </w:r>
            <w:r w:rsidRPr="00FF2E84">
              <w:rPr>
                <w:rFonts w:eastAsiaTheme="minorHAnsi"/>
                <w:color w:val="000000"/>
                <w:sz w:val="22"/>
                <w:szCs w:val="22"/>
                <w:lang w:eastAsia="en-US"/>
              </w:rPr>
              <w:t xml:space="preserve"> av medarbetare från Landsbygds- och infrastrukturdepartementet.</w:t>
            </w:r>
          </w:p>
          <w:p w14:paraId="418F4F87" w14:textId="77777777" w:rsidR="00CC6057" w:rsidRPr="00FF2E84" w:rsidRDefault="00CC6057" w:rsidP="00CC6057">
            <w:pPr>
              <w:rPr>
                <w:rFonts w:eastAsiaTheme="minorHAnsi"/>
                <w:b/>
                <w:bCs/>
                <w:color w:val="000000"/>
                <w:sz w:val="22"/>
                <w:szCs w:val="22"/>
                <w:lang w:eastAsia="en-US"/>
              </w:rPr>
            </w:pPr>
            <w:r w:rsidRPr="00FF2E84">
              <w:rPr>
                <w:bCs/>
                <w:color w:val="000000"/>
                <w:sz w:val="22"/>
                <w:szCs w:val="22"/>
              </w:rPr>
              <w:t xml:space="preserve">  </w:t>
            </w:r>
          </w:p>
          <w:p w14:paraId="31EACD81" w14:textId="77777777" w:rsidR="00CC6057" w:rsidRPr="00FF2E84" w:rsidRDefault="00CC6057" w:rsidP="00CC6057">
            <w:pPr>
              <w:widowControl/>
              <w:tabs>
                <w:tab w:val="left" w:pos="284"/>
              </w:tabs>
              <w:rPr>
                <w:bCs/>
                <w:color w:val="000000"/>
                <w:sz w:val="22"/>
                <w:szCs w:val="22"/>
              </w:rPr>
            </w:pPr>
            <w:r w:rsidRPr="00FF2E84">
              <w:rPr>
                <w:bCs/>
                <w:color w:val="000000"/>
                <w:sz w:val="22"/>
                <w:szCs w:val="22"/>
              </w:rPr>
              <w:t xml:space="preserve">Underlaget utgjordes av </w:t>
            </w:r>
            <w:r w:rsidRPr="00FF2E84">
              <w:rPr>
                <w:snapToGrid w:val="0"/>
                <w:sz w:val="22"/>
                <w:szCs w:val="22"/>
              </w:rPr>
              <w:t xml:space="preserve">COM(2025) 994 och regeringens överläggnings-promemoria </w:t>
            </w:r>
            <w:r w:rsidRPr="00FF2E84">
              <w:rPr>
                <w:bCs/>
                <w:color w:val="000000"/>
                <w:sz w:val="22"/>
                <w:szCs w:val="22"/>
              </w:rPr>
              <w:t>(</w:t>
            </w:r>
            <w:bookmarkStart w:id="0" w:name="_Hlk200623117"/>
            <w:bookmarkStart w:id="1" w:name="_Hlk215736505"/>
            <w:r w:rsidRPr="00FF2E84">
              <w:rPr>
                <w:bCs/>
                <w:color w:val="000000"/>
                <w:sz w:val="22"/>
                <w:szCs w:val="22"/>
              </w:rPr>
              <w:t>dnr 1013–2025/2</w:t>
            </w:r>
            <w:bookmarkEnd w:id="0"/>
            <w:r w:rsidRPr="00FF2E84">
              <w:rPr>
                <w:bCs/>
                <w:color w:val="000000"/>
                <w:sz w:val="22"/>
                <w:szCs w:val="22"/>
              </w:rPr>
              <w:t>6</w:t>
            </w:r>
            <w:bookmarkEnd w:id="1"/>
            <w:r w:rsidRPr="00FF2E84">
              <w:rPr>
                <w:bCs/>
                <w:color w:val="000000"/>
                <w:sz w:val="22"/>
                <w:szCs w:val="22"/>
              </w:rPr>
              <w:t xml:space="preserve">). </w:t>
            </w:r>
          </w:p>
          <w:p w14:paraId="17DA9114" w14:textId="77777777" w:rsidR="00CC6057" w:rsidRPr="00FF2E84" w:rsidRDefault="00CC6057" w:rsidP="00CC6057">
            <w:pPr>
              <w:widowControl/>
              <w:tabs>
                <w:tab w:val="left" w:pos="284"/>
              </w:tabs>
              <w:rPr>
                <w:bCs/>
                <w:color w:val="000000"/>
                <w:sz w:val="22"/>
                <w:szCs w:val="22"/>
              </w:rPr>
            </w:pPr>
          </w:p>
          <w:p w14:paraId="36FC5D1F" w14:textId="77777777" w:rsidR="00CC6057" w:rsidRPr="00FF2E84" w:rsidRDefault="00CC6057" w:rsidP="00CC6057">
            <w:pPr>
              <w:widowControl/>
              <w:autoSpaceDE w:val="0"/>
              <w:autoSpaceDN w:val="0"/>
              <w:adjustRightInd w:val="0"/>
              <w:rPr>
                <w:bCs/>
                <w:color w:val="000000"/>
                <w:sz w:val="22"/>
                <w:szCs w:val="22"/>
              </w:rPr>
            </w:pPr>
            <w:r w:rsidRPr="00FF2E84">
              <w:rPr>
                <w:snapToGrid w:val="0"/>
                <w:sz w:val="22"/>
                <w:szCs w:val="22"/>
              </w:rPr>
              <w:t>Statssekreterare Johan Davidsson r</w:t>
            </w:r>
            <w:r w:rsidRPr="00FF2E84">
              <w:rPr>
                <w:bCs/>
                <w:color w:val="000000"/>
                <w:sz w:val="22"/>
                <w:szCs w:val="22"/>
              </w:rPr>
              <w:t>edogjorde för regeringens ståndpunkt (bilaga 2).</w:t>
            </w:r>
          </w:p>
          <w:p w14:paraId="0A8D323A" w14:textId="77777777" w:rsidR="00CC6057" w:rsidRPr="00FF2E84" w:rsidRDefault="00CC6057" w:rsidP="00CC6057">
            <w:pPr>
              <w:autoSpaceDE w:val="0"/>
              <w:autoSpaceDN w:val="0"/>
              <w:rPr>
                <w:snapToGrid w:val="0"/>
                <w:sz w:val="22"/>
                <w:szCs w:val="22"/>
              </w:rPr>
            </w:pPr>
          </w:p>
          <w:p w14:paraId="65CC84E1" w14:textId="77777777" w:rsidR="00CC6057" w:rsidRPr="00FF2E84" w:rsidRDefault="00CC6057" w:rsidP="00CC6057">
            <w:pPr>
              <w:rPr>
                <w:rStyle w:val="normaltextrun"/>
                <w:b/>
                <w:bCs/>
                <w:i/>
                <w:iCs/>
                <w:snapToGrid w:val="0"/>
                <w:sz w:val="22"/>
                <w:szCs w:val="22"/>
              </w:rPr>
            </w:pPr>
            <w:r w:rsidRPr="00FF2E84">
              <w:rPr>
                <w:snapToGrid w:val="0"/>
                <w:sz w:val="22"/>
                <w:szCs w:val="22"/>
              </w:rPr>
              <w:t>S-, V-</w:t>
            </w:r>
            <w:r>
              <w:rPr>
                <w:snapToGrid w:val="0"/>
                <w:sz w:val="22"/>
                <w:szCs w:val="22"/>
              </w:rPr>
              <w:t>, C-</w:t>
            </w:r>
            <w:r w:rsidRPr="00FF2E84">
              <w:rPr>
                <w:snapToGrid w:val="0"/>
                <w:sz w:val="22"/>
                <w:szCs w:val="22"/>
              </w:rPr>
              <w:t xml:space="preserve"> och MP-ledamöterna anmälde de avvikande ståndpunkter som framgår av bilaga 3</w:t>
            </w:r>
            <w:r w:rsidRPr="00FF2E84">
              <w:rPr>
                <w:b/>
                <w:bCs/>
                <w:snapToGrid w:val="0"/>
                <w:sz w:val="22"/>
                <w:szCs w:val="22"/>
              </w:rPr>
              <w:t>.</w:t>
            </w:r>
          </w:p>
          <w:p w14:paraId="72129336" w14:textId="77777777" w:rsidR="00CC6057" w:rsidRPr="00FF2E84" w:rsidRDefault="00CC6057" w:rsidP="00CC6057">
            <w:pPr>
              <w:autoSpaceDE w:val="0"/>
              <w:autoSpaceDN w:val="0"/>
              <w:rPr>
                <w:snapToGrid w:val="0"/>
                <w:sz w:val="22"/>
                <w:szCs w:val="22"/>
              </w:rPr>
            </w:pPr>
          </w:p>
          <w:p w14:paraId="36DAE757" w14:textId="187BCEAC" w:rsidR="0008187D" w:rsidRPr="00CC6057" w:rsidRDefault="00CC6057" w:rsidP="00CC6057">
            <w:pPr>
              <w:autoSpaceDE w:val="0"/>
              <w:autoSpaceDN w:val="0"/>
              <w:rPr>
                <w:snapToGrid w:val="0"/>
                <w:sz w:val="22"/>
                <w:szCs w:val="22"/>
              </w:rPr>
            </w:pPr>
            <w:r w:rsidRPr="00FF2E84">
              <w:rPr>
                <w:snapToGrid w:val="0"/>
                <w:sz w:val="22"/>
                <w:szCs w:val="22"/>
              </w:rPr>
              <w:t>Ordförande konstaterade att det fanns stöd för regeringens ståndpunkt.</w:t>
            </w:r>
            <w:r w:rsidRPr="00FF2E84">
              <w:rPr>
                <w:snapToGrid w:val="0"/>
                <w:sz w:val="22"/>
                <w:szCs w:val="22"/>
              </w:rPr>
              <w:br/>
            </w:r>
            <w:r w:rsidRPr="00FF2E84">
              <w:rPr>
                <w:snapToGrid w:val="0"/>
                <w:sz w:val="22"/>
                <w:szCs w:val="22"/>
              </w:rPr>
              <w:br/>
              <w:t>Denna paragraf förklarades omedelbart justerad.</w:t>
            </w:r>
          </w:p>
          <w:p w14:paraId="79E73F22" w14:textId="45BC2723" w:rsidR="00075001" w:rsidRPr="00885BCB" w:rsidRDefault="00075001" w:rsidP="009334A9">
            <w:pPr>
              <w:tabs>
                <w:tab w:val="left" w:pos="1701"/>
              </w:tabs>
              <w:rPr>
                <w:bCs/>
                <w:sz w:val="22"/>
                <w:szCs w:val="22"/>
              </w:rPr>
            </w:pPr>
          </w:p>
        </w:tc>
      </w:tr>
      <w:tr w:rsidR="00430F4B" w:rsidRPr="00885BCB" w14:paraId="56E624B9" w14:textId="77777777" w:rsidTr="00165402">
        <w:tc>
          <w:tcPr>
            <w:tcW w:w="567" w:type="dxa"/>
          </w:tcPr>
          <w:p w14:paraId="33FFE633" w14:textId="0E376483" w:rsidR="00430F4B" w:rsidRPr="00885BCB" w:rsidRDefault="00430F4B" w:rsidP="00C5706E">
            <w:pPr>
              <w:tabs>
                <w:tab w:val="left" w:pos="1701"/>
              </w:tabs>
              <w:rPr>
                <w:b/>
                <w:snapToGrid w:val="0"/>
                <w:sz w:val="22"/>
                <w:szCs w:val="22"/>
              </w:rPr>
            </w:pPr>
            <w:r>
              <w:rPr>
                <w:b/>
                <w:snapToGrid w:val="0"/>
                <w:sz w:val="22"/>
                <w:szCs w:val="22"/>
              </w:rPr>
              <w:t>§ 2</w:t>
            </w:r>
          </w:p>
        </w:tc>
        <w:tc>
          <w:tcPr>
            <w:tcW w:w="6946" w:type="dxa"/>
            <w:gridSpan w:val="2"/>
          </w:tcPr>
          <w:p w14:paraId="0C537D01" w14:textId="2F156D1A" w:rsidR="00430F4B" w:rsidRPr="00BE45AD" w:rsidRDefault="00430F4B" w:rsidP="00430F4B">
            <w:pPr>
              <w:tabs>
                <w:tab w:val="left" w:pos="1701"/>
              </w:tabs>
              <w:rPr>
                <w:b/>
                <w:snapToGrid w:val="0"/>
                <w:sz w:val="22"/>
                <w:szCs w:val="22"/>
              </w:rPr>
            </w:pPr>
            <w:r w:rsidRPr="00BE45AD">
              <w:rPr>
                <w:b/>
                <w:snapToGrid w:val="0"/>
                <w:sz w:val="22"/>
                <w:szCs w:val="22"/>
              </w:rPr>
              <w:t xml:space="preserve">Information från Klimatpolitiska rådet </w:t>
            </w:r>
          </w:p>
          <w:p w14:paraId="79EF3BF1" w14:textId="77777777" w:rsidR="00430F4B" w:rsidRPr="00BE45AD" w:rsidRDefault="00430F4B" w:rsidP="00430F4B">
            <w:pPr>
              <w:tabs>
                <w:tab w:val="left" w:pos="1701"/>
              </w:tabs>
              <w:rPr>
                <w:b/>
                <w:snapToGrid w:val="0"/>
                <w:sz w:val="22"/>
                <w:szCs w:val="22"/>
              </w:rPr>
            </w:pPr>
          </w:p>
          <w:p w14:paraId="69DB8FAC" w14:textId="36E57DA8" w:rsidR="00430F4B" w:rsidRPr="00BE45AD" w:rsidRDefault="00430F4B" w:rsidP="00430F4B">
            <w:pPr>
              <w:tabs>
                <w:tab w:val="left" w:pos="1701"/>
              </w:tabs>
              <w:rPr>
                <w:bCs/>
                <w:sz w:val="22"/>
                <w:szCs w:val="22"/>
              </w:rPr>
            </w:pPr>
            <w:r w:rsidRPr="00BE45AD">
              <w:rPr>
                <w:bCs/>
                <w:sz w:val="22"/>
                <w:szCs w:val="22"/>
              </w:rPr>
              <w:t xml:space="preserve">Klimatpolitiska rådet informerade, fysiskt och på distans, om sin </w:t>
            </w:r>
            <w:r w:rsidR="003E2D8F">
              <w:rPr>
                <w:bCs/>
                <w:sz w:val="22"/>
                <w:szCs w:val="22"/>
              </w:rPr>
              <w:t>års</w:t>
            </w:r>
            <w:r w:rsidRPr="00BE45AD">
              <w:rPr>
                <w:bCs/>
                <w:sz w:val="22"/>
                <w:szCs w:val="22"/>
              </w:rPr>
              <w:t>rapport</w:t>
            </w:r>
            <w:r w:rsidR="003E2D8F">
              <w:rPr>
                <w:bCs/>
                <w:sz w:val="22"/>
                <w:szCs w:val="22"/>
              </w:rPr>
              <w:t xml:space="preserve"> 2026</w:t>
            </w:r>
            <w:r w:rsidRPr="00151D3F">
              <w:rPr>
                <w:bCs/>
                <w:sz w:val="22"/>
                <w:szCs w:val="22"/>
              </w:rPr>
              <w:t>.</w:t>
            </w:r>
            <w:r w:rsidRPr="00BE45AD">
              <w:rPr>
                <w:bCs/>
                <w:sz w:val="22"/>
                <w:szCs w:val="22"/>
              </w:rPr>
              <w:t xml:space="preserve"> </w:t>
            </w:r>
          </w:p>
          <w:p w14:paraId="7B2F0BD7" w14:textId="2723B4E5" w:rsidR="00430F4B" w:rsidRPr="00430F4B" w:rsidRDefault="00430F4B" w:rsidP="0091377F">
            <w:pPr>
              <w:tabs>
                <w:tab w:val="left" w:pos="1701"/>
              </w:tabs>
              <w:rPr>
                <w:b/>
                <w:snapToGrid w:val="0"/>
                <w:sz w:val="22"/>
                <w:szCs w:val="22"/>
              </w:rPr>
            </w:pPr>
          </w:p>
        </w:tc>
      </w:tr>
      <w:tr w:rsidR="00151D3F" w:rsidRPr="00885BCB" w14:paraId="6F837EA8" w14:textId="77777777" w:rsidTr="00165402">
        <w:tc>
          <w:tcPr>
            <w:tcW w:w="567" w:type="dxa"/>
          </w:tcPr>
          <w:p w14:paraId="679C7408" w14:textId="33D3307F" w:rsidR="00151D3F" w:rsidRDefault="00151D3F" w:rsidP="00C5706E">
            <w:pPr>
              <w:tabs>
                <w:tab w:val="left" w:pos="1701"/>
              </w:tabs>
              <w:rPr>
                <w:b/>
                <w:snapToGrid w:val="0"/>
                <w:sz w:val="22"/>
                <w:szCs w:val="22"/>
              </w:rPr>
            </w:pPr>
            <w:r>
              <w:rPr>
                <w:b/>
                <w:snapToGrid w:val="0"/>
                <w:sz w:val="22"/>
                <w:szCs w:val="22"/>
              </w:rPr>
              <w:t>§ 3</w:t>
            </w:r>
          </w:p>
        </w:tc>
        <w:tc>
          <w:tcPr>
            <w:tcW w:w="6946" w:type="dxa"/>
            <w:gridSpan w:val="2"/>
          </w:tcPr>
          <w:p w14:paraId="781C44AC" w14:textId="6E506242" w:rsidR="00151D3F" w:rsidRPr="00B05E6F" w:rsidRDefault="00151D3F" w:rsidP="00B05E6F">
            <w:pPr>
              <w:widowControl/>
              <w:spacing w:after="200" w:line="280" w:lineRule="exact"/>
              <w:rPr>
                <w:rFonts w:eastAsiaTheme="minorHAnsi"/>
                <w:b/>
                <w:bCs/>
                <w:color w:val="000000"/>
                <w:sz w:val="22"/>
                <w:szCs w:val="22"/>
                <w:lang w:eastAsia="en-US"/>
              </w:rPr>
            </w:pPr>
            <w:r w:rsidRPr="00151D3F">
              <w:rPr>
                <w:rFonts w:eastAsiaTheme="minorHAnsi"/>
                <w:b/>
                <w:bCs/>
                <w:color w:val="000000"/>
                <w:sz w:val="22"/>
                <w:szCs w:val="22"/>
                <w:lang w:eastAsia="en-US"/>
              </w:rPr>
              <w:t>Utskottets avslutning</w:t>
            </w:r>
            <w:r w:rsidR="00B05E6F" w:rsidRPr="006B5D93">
              <w:rPr>
                <w:b/>
                <w:snapToGrid w:val="0"/>
                <w:sz w:val="22"/>
                <w:szCs w:val="22"/>
              </w:rPr>
              <w:br/>
            </w:r>
            <w:r w:rsidR="00FF3B97">
              <w:rPr>
                <w:b/>
                <w:snapToGrid w:val="0"/>
                <w:sz w:val="22"/>
                <w:szCs w:val="22"/>
              </w:rPr>
              <w:br/>
            </w:r>
            <w:r w:rsidR="00B05E6F" w:rsidRPr="006B5D93">
              <w:rPr>
                <w:snapToGrid w:val="0"/>
                <w:sz w:val="22"/>
                <w:szCs w:val="22"/>
              </w:rPr>
              <w:t>Utskottets avslutnings</w:t>
            </w:r>
            <w:r w:rsidR="00B05E6F">
              <w:rPr>
                <w:snapToGrid w:val="0"/>
                <w:sz w:val="22"/>
                <w:szCs w:val="22"/>
              </w:rPr>
              <w:t>middag</w:t>
            </w:r>
            <w:r w:rsidR="00B05E6F" w:rsidRPr="006B5D93">
              <w:rPr>
                <w:snapToGrid w:val="0"/>
                <w:sz w:val="22"/>
                <w:szCs w:val="22"/>
              </w:rPr>
              <w:t xml:space="preserve"> planeras till tisdagen den</w:t>
            </w:r>
            <w:r w:rsidR="00B05E6F">
              <w:rPr>
                <w:snapToGrid w:val="0"/>
                <w:sz w:val="22"/>
                <w:szCs w:val="22"/>
              </w:rPr>
              <w:t xml:space="preserve"> 2 juni</w:t>
            </w:r>
            <w:r w:rsidR="00B05E6F" w:rsidRPr="006B5D93">
              <w:rPr>
                <w:snapToGrid w:val="0"/>
                <w:sz w:val="22"/>
                <w:szCs w:val="22"/>
              </w:rPr>
              <w:t xml:space="preserve"> 202</w:t>
            </w:r>
            <w:r w:rsidR="00B05E6F">
              <w:rPr>
                <w:snapToGrid w:val="0"/>
                <w:sz w:val="22"/>
                <w:szCs w:val="22"/>
              </w:rPr>
              <w:t>6</w:t>
            </w:r>
            <w:r w:rsidR="00B05E6F" w:rsidRPr="006B5D93">
              <w:rPr>
                <w:snapToGrid w:val="0"/>
                <w:sz w:val="22"/>
                <w:szCs w:val="22"/>
              </w:rPr>
              <w:t xml:space="preserve">, direkt efter </w:t>
            </w:r>
            <w:r w:rsidR="00B05E6F">
              <w:rPr>
                <w:snapToGrid w:val="0"/>
                <w:sz w:val="22"/>
                <w:szCs w:val="22"/>
              </w:rPr>
              <w:t xml:space="preserve">avslutade gruppmöten, </w:t>
            </w:r>
            <w:r w:rsidR="0018420E">
              <w:rPr>
                <w:snapToGrid w:val="0"/>
                <w:sz w:val="22"/>
                <w:szCs w:val="22"/>
              </w:rPr>
              <w:t>kl.</w:t>
            </w:r>
            <w:r w:rsidR="00B05E6F">
              <w:rPr>
                <w:snapToGrid w:val="0"/>
                <w:sz w:val="22"/>
                <w:szCs w:val="22"/>
              </w:rPr>
              <w:t xml:space="preserve"> 18.</w:t>
            </w:r>
            <w:r w:rsidR="003E2D8F">
              <w:rPr>
                <w:snapToGrid w:val="0"/>
                <w:sz w:val="22"/>
                <w:szCs w:val="22"/>
              </w:rPr>
              <w:t>15</w:t>
            </w:r>
            <w:r w:rsidR="00B05E6F" w:rsidRPr="006B5D93">
              <w:rPr>
                <w:snapToGrid w:val="0"/>
                <w:sz w:val="22"/>
                <w:szCs w:val="22"/>
              </w:rPr>
              <w:t>.</w:t>
            </w:r>
          </w:p>
        </w:tc>
      </w:tr>
      <w:tr w:rsidR="006D415C" w:rsidRPr="00885BCB" w14:paraId="10939085" w14:textId="77777777" w:rsidTr="00165402">
        <w:tc>
          <w:tcPr>
            <w:tcW w:w="567" w:type="dxa"/>
          </w:tcPr>
          <w:p w14:paraId="2D58EA6B" w14:textId="49D1930A" w:rsidR="006D415C" w:rsidRDefault="006D415C" w:rsidP="00C5706E">
            <w:pPr>
              <w:tabs>
                <w:tab w:val="left" w:pos="1701"/>
              </w:tabs>
              <w:rPr>
                <w:b/>
                <w:snapToGrid w:val="0"/>
                <w:sz w:val="22"/>
                <w:szCs w:val="22"/>
              </w:rPr>
            </w:pPr>
            <w:r>
              <w:rPr>
                <w:b/>
                <w:snapToGrid w:val="0"/>
                <w:sz w:val="22"/>
                <w:szCs w:val="22"/>
              </w:rPr>
              <w:t>§ 4</w:t>
            </w:r>
          </w:p>
        </w:tc>
        <w:tc>
          <w:tcPr>
            <w:tcW w:w="6946" w:type="dxa"/>
            <w:gridSpan w:val="2"/>
          </w:tcPr>
          <w:p w14:paraId="1F125831" w14:textId="2E0659C3" w:rsidR="006D415C" w:rsidRDefault="006D415C" w:rsidP="006D415C">
            <w:pPr>
              <w:rPr>
                <w:rFonts w:eastAsiaTheme="minorHAnsi"/>
                <w:b/>
                <w:bCs/>
                <w:color w:val="000000"/>
                <w:sz w:val="22"/>
                <w:szCs w:val="22"/>
                <w:lang w:eastAsia="en-US"/>
              </w:rPr>
            </w:pPr>
            <w:r w:rsidRPr="00944C47">
              <w:rPr>
                <w:rFonts w:eastAsiaTheme="minorHAnsi"/>
                <w:b/>
                <w:bCs/>
                <w:color w:val="000000"/>
                <w:sz w:val="22"/>
                <w:szCs w:val="22"/>
                <w:lang w:eastAsia="en-US"/>
              </w:rPr>
              <w:t xml:space="preserve">Information om regeringens arbete med </w:t>
            </w:r>
            <w:r>
              <w:rPr>
                <w:rFonts w:eastAsiaTheme="minorHAnsi"/>
                <w:b/>
                <w:bCs/>
                <w:color w:val="000000"/>
                <w:sz w:val="22"/>
                <w:szCs w:val="22"/>
                <w:lang w:eastAsia="en-US"/>
              </w:rPr>
              <w:t>utsläppsrapporter</w:t>
            </w:r>
          </w:p>
          <w:p w14:paraId="1DCE09A6" w14:textId="77777777" w:rsidR="006D415C" w:rsidRDefault="006D415C" w:rsidP="006D415C">
            <w:pPr>
              <w:rPr>
                <w:rFonts w:eastAsiaTheme="minorHAnsi"/>
                <w:b/>
                <w:bCs/>
                <w:color w:val="000000"/>
                <w:sz w:val="22"/>
                <w:szCs w:val="22"/>
                <w:lang w:eastAsia="en-US"/>
              </w:rPr>
            </w:pPr>
          </w:p>
          <w:p w14:paraId="72CB1A84" w14:textId="6F4EA588" w:rsidR="00276D36" w:rsidRDefault="006D415C" w:rsidP="006D415C">
            <w:pPr>
              <w:rPr>
                <w:rFonts w:eastAsiaTheme="minorHAnsi"/>
                <w:color w:val="000000"/>
                <w:sz w:val="22"/>
                <w:szCs w:val="22"/>
                <w:lang w:eastAsia="en-US"/>
              </w:rPr>
            </w:pPr>
            <w:r>
              <w:rPr>
                <w:rFonts w:eastAsiaTheme="minorHAnsi"/>
                <w:color w:val="000000"/>
                <w:sz w:val="22"/>
                <w:szCs w:val="22"/>
                <w:lang w:eastAsia="en-US"/>
              </w:rPr>
              <w:t xml:space="preserve">På förslag från Rickard Nordin (C) beslutade utskottet att bjuda in vikarierande klimat- och miljöminister Johan Britz till utskottet för att </w:t>
            </w:r>
            <w:r w:rsidRPr="00BC13E7">
              <w:rPr>
                <w:rFonts w:eastAsiaTheme="minorHAnsi"/>
                <w:color w:val="000000"/>
                <w:sz w:val="22"/>
                <w:szCs w:val="22"/>
                <w:lang w:eastAsia="en-US"/>
              </w:rPr>
              <w:t xml:space="preserve">informera om </w:t>
            </w:r>
            <w:r w:rsidR="00276D36" w:rsidRPr="00BC13E7">
              <w:rPr>
                <w:rFonts w:eastAsiaTheme="minorHAnsi"/>
                <w:color w:val="000000"/>
                <w:sz w:val="22"/>
                <w:szCs w:val="22"/>
                <w:lang w:eastAsia="en-US"/>
              </w:rPr>
              <w:t>Regeringskansliets</w:t>
            </w:r>
            <w:r w:rsidR="00276D36" w:rsidRPr="00276D36">
              <w:rPr>
                <w:rFonts w:eastAsiaTheme="minorHAnsi"/>
                <w:color w:val="000000"/>
                <w:sz w:val="22"/>
                <w:szCs w:val="22"/>
                <w:lang w:eastAsia="en-US"/>
              </w:rPr>
              <w:t xml:space="preserve"> och Naturvårdsverkets dialog </w:t>
            </w:r>
            <w:r w:rsidR="003E2D8F">
              <w:rPr>
                <w:rFonts w:eastAsiaTheme="minorHAnsi"/>
                <w:color w:val="000000"/>
                <w:sz w:val="22"/>
                <w:szCs w:val="22"/>
                <w:lang w:eastAsia="en-US"/>
              </w:rPr>
              <w:t xml:space="preserve">i fråga </w:t>
            </w:r>
            <w:r w:rsidR="00276D36" w:rsidRPr="00276D36">
              <w:rPr>
                <w:rFonts w:eastAsiaTheme="minorHAnsi"/>
                <w:color w:val="000000"/>
                <w:sz w:val="22"/>
                <w:szCs w:val="22"/>
                <w:lang w:eastAsia="en-US"/>
              </w:rPr>
              <w:t>om ändrade redovisningsdatum enligt klimatrapporteringsförordningen (2014:1434) avseende utsläpp från tunga fordon.</w:t>
            </w:r>
          </w:p>
          <w:p w14:paraId="4725CF6E" w14:textId="167440D7" w:rsidR="006D415C" w:rsidRPr="006D415C" w:rsidRDefault="006D415C" w:rsidP="006D415C">
            <w:pPr>
              <w:rPr>
                <w:rFonts w:eastAsiaTheme="minorHAnsi"/>
                <w:color w:val="000000"/>
                <w:sz w:val="22"/>
                <w:szCs w:val="22"/>
                <w:lang w:eastAsia="en-US"/>
              </w:rPr>
            </w:pPr>
          </w:p>
        </w:tc>
      </w:tr>
      <w:tr w:rsidR="00D87D66" w:rsidRPr="00885BCB" w14:paraId="55FDDA9F" w14:textId="77777777" w:rsidTr="00C5706E">
        <w:tc>
          <w:tcPr>
            <w:tcW w:w="567" w:type="dxa"/>
          </w:tcPr>
          <w:p w14:paraId="6292CA22" w14:textId="34AC506A" w:rsidR="00D87D66" w:rsidRPr="00885BCB" w:rsidRDefault="00D87D66" w:rsidP="00C5706E">
            <w:pPr>
              <w:tabs>
                <w:tab w:val="left" w:pos="1701"/>
              </w:tabs>
              <w:rPr>
                <w:b/>
                <w:snapToGrid w:val="0"/>
                <w:sz w:val="22"/>
                <w:szCs w:val="22"/>
              </w:rPr>
            </w:pPr>
            <w:r w:rsidRPr="00885BCB">
              <w:rPr>
                <w:b/>
                <w:snapToGrid w:val="0"/>
                <w:sz w:val="22"/>
                <w:szCs w:val="22"/>
              </w:rPr>
              <w:t xml:space="preserve">§ </w:t>
            </w:r>
            <w:r w:rsidR="00151D3F">
              <w:rPr>
                <w:b/>
                <w:snapToGrid w:val="0"/>
                <w:sz w:val="22"/>
                <w:szCs w:val="22"/>
              </w:rPr>
              <w:t>5</w:t>
            </w:r>
          </w:p>
        </w:tc>
        <w:tc>
          <w:tcPr>
            <w:tcW w:w="6946" w:type="dxa"/>
            <w:gridSpan w:val="2"/>
          </w:tcPr>
          <w:p w14:paraId="34615E88" w14:textId="77777777" w:rsidR="00D87D66" w:rsidRPr="00885BCB" w:rsidRDefault="005957E5" w:rsidP="002A14AC">
            <w:pPr>
              <w:rPr>
                <w:rFonts w:eastAsiaTheme="minorHAnsi"/>
                <w:bCs/>
                <w:color w:val="000000"/>
                <w:sz w:val="22"/>
                <w:szCs w:val="22"/>
                <w:lang w:eastAsia="en-US"/>
              </w:rPr>
            </w:pPr>
            <w:r w:rsidRPr="00885BCB">
              <w:rPr>
                <w:b/>
                <w:bCs/>
                <w:color w:val="000000"/>
                <w:sz w:val="22"/>
                <w:szCs w:val="22"/>
              </w:rPr>
              <w:t>Nästa sammanträde</w:t>
            </w:r>
          </w:p>
          <w:p w14:paraId="16745BA1" w14:textId="77777777" w:rsidR="00D87D66" w:rsidRPr="00885BCB" w:rsidRDefault="00D87D66" w:rsidP="002A14AC">
            <w:pPr>
              <w:rPr>
                <w:rFonts w:eastAsiaTheme="minorHAnsi"/>
                <w:bCs/>
                <w:color w:val="000000"/>
                <w:sz w:val="22"/>
                <w:szCs w:val="22"/>
                <w:lang w:eastAsia="en-US"/>
              </w:rPr>
            </w:pPr>
          </w:p>
          <w:p w14:paraId="08EBE943" w14:textId="262E53FD" w:rsidR="005957E5" w:rsidRPr="00885BCB" w:rsidRDefault="005957E5" w:rsidP="002A14AC">
            <w:pPr>
              <w:rPr>
                <w:snapToGrid w:val="0"/>
                <w:sz w:val="22"/>
                <w:szCs w:val="22"/>
              </w:rPr>
            </w:pPr>
            <w:r w:rsidRPr="00885BCB">
              <w:rPr>
                <w:snapToGrid w:val="0"/>
                <w:sz w:val="22"/>
                <w:szCs w:val="22"/>
              </w:rPr>
              <w:t xml:space="preserve">Nästa sammanträde äger rum </w:t>
            </w:r>
            <w:r w:rsidR="009334A9" w:rsidRPr="00885BCB">
              <w:rPr>
                <w:snapToGrid w:val="0"/>
                <w:sz w:val="22"/>
                <w:szCs w:val="22"/>
              </w:rPr>
              <w:t>tors</w:t>
            </w:r>
            <w:r w:rsidRPr="00885BCB">
              <w:rPr>
                <w:snapToGrid w:val="0"/>
                <w:sz w:val="22"/>
                <w:szCs w:val="22"/>
              </w:rPr>
              <w:t>dagen den</w:t>
            </w:r>
            <w:r w:rsidR="008E6B40" w:rsidRPr="00885BCB">
              <w:rPr>
                <w:snapToGrid w:val="0"/>
                <w:sz w:val="22"/>
                <w:szCs w:val="22"/>
              </w:rPr>
              <w:t xml:space="preserve"> </w:t>
            </w:r>
            <w:r w:rsidR="0007265A">
              <w:rPr>
                <w:snapToGrid w:val="0"/>
                <w:sz w:val="22"/>
                <w:szCs w:val="22"/>
              </w:rPr>
              <w:t>26</w:t>
            </w:r>
            <w:r w:rsidR="009334A9" w:rsidRPr="00885BCB">
              <w:rPr>
                <w:snapToGrid w:val="0"/>
                <w:sz w:val="22"/>
                <w:szCs w:val="22"/>
              </w:rPr>
              <w:t xml:space="preserve"> </w:t>
            </w:r>
            <w:r w:rsidR="0005329B">
              <w:rPr>
                <w:snapToGrid w:val="0"/>
                <w:sz w:val="22"/>
                <w:szCs w:val="22"/>
              </w:rPr>
              <w:t>mars</w:t>
            </w:r>
            <w:r w:rsidR="003D6448">
              <w:rPr>
                <w:snapToGrid w:val="0"/>
                <w:sz w:val="22"/>
                <w:szCs w:val="22"/>
              </w:rPr>
              <w:t xml:space="preserve"> </w:t>
            </w:r>
            <w:r w:rsidR="00CB71B9" w:rsidRPr="00885BCB">
              <w:rPr>
                <w:snapToGrid w:val="0"/>
                <w:sz w:val="22"/>
                <w:szCs w:val="22"/>
              </w:rPr>
              <w:t>202</w:t>
            </w:r>
            <w:r w:rsidR="003D6448">
              <w:rPr>
                <w:snapToGrid w:val="0"/>
                <w:sz w:val="22"/>
                <w:szCs w:val="22"/>
              </w:rPr>
              <w:t>6</w:t>
            </w:r>
            <w:r w:rsidRPr="00885BCB">
              <w:rPr>
                <w:snapToGrid w:val="0"/>
                <w:sz w:val="22"/>
                <w:szCs w:val="22"/>
              </w:rPr>
              <w:t xml:space="preserve"> kl. </w:t>
            </w:r>
            <w:r w:rsidR="0007265A">
              <w:rPr>
                <w:snapToGrid w:val="0"/>
                <w:sz w:val="22"/>
                <w:szCs w:val="22"/>
              </w:rPr>
              <w:t>08</w:t>
            </w:r>
            <w:r w:rsidR="00B664F7" w:rsidRPr="00885BCB">
              <w:rPr>
                <w:snapToGrid w:val="0"/>
                <w:sz w:val="22"/>
                <w:szCs w:val="22"/>
              </w:rPr>
              <w:t>.00</w:t>
            </w:r>
            <w:r w:rsidR="00DA2753" w:rsidRPr="00885BCB">
              <w:rPr>
                <w:snapToGrid w:val="0"/>
                <w:sz w:val="22"/>
                <w:szCs w:val="22"/>
              </w:rPr>
              <w:t xml:space="preserve">. </w:t>
            </w:r>
          </w:p>
          <w:p w14:paraId="5D60648A" w14:textId="77777777" w:rsidR="005957E5" w:rsidRPr="00885BCB" w:rsidRDefault="005957E5" w:rsidP="002A14AC">
            <w:pPr>
              <w:rPr>
                <w:rFonts w:eastAsiaTheme="minorHAnsi"/>
                <w:bCs/>
                <w:color w:val="000000"/>
                <w:sz w:val="22"/>
                <w:szCs w:val="22"/>
                <w:lang w:eastAsia="en-US"/>
              </w:rPr>
            </w:pPr>
          </w:p>
        </w:tc>
      </w:tr>
      <w:tr w:rsidR="00D5250E" w:rsidRPr="00885BCB" w14:paraId="179CF623" w14:textId="77777777" w:rsidTr="002241EF">
        <w:trPr>
          <w:gridAfter w:val="1"/>
          <w:wAfter w:w="357" w:type="dxa"/>
        </w:trPr>
        <w:tc>
          <w:tcPr>
            <w:tcW w:w="7156" w:type="dxa"/>
            <w:gridSpan w:val="2"/>
          </w:tcPr>
          <w:p w14:paraId="06B8F376" w14:textId="77777777" w:rsidR="00D5250E" w:rsidRDefault="00D5250E" w:rsidP="00D5250E">
            <w:pPr>
              <w:tabs>
                <w:tab w:val="left" w:pos="1701"/>
              </w:tabs>
              <w:rPr>
                <w:sz w:val="22"/>
                <w:szCs w:val="22"/>
              </w:rPr>
            </w:pPr>
          </w:p>
          <w:p w14:paraId="7E06B3C1" w14:textId="77777777" w:rsidR="00EB5441" w:rsidRDefault="00EB5441" w:rsidP="00D5250E">
            <w:pPr>
              <w:tabs>
                <w:tab w:val="left" w:pos="1701"/>
              </w:tabs>
              <w:rPr>
                <w:sz w:val="22"/>
                <w:szCs w:val="22"/>
              </w:rPr>
            </w:pPr>
          </w:p>
          <w:p w14:paraId="23F6457C" w14:textId="77777777" w:rsidR="00EB5441" w:rsidRDefault="00EB5441" w:rsidP="00D5250E">
            <w:pPr>
              <w:tabs>
                <w:tab w:val="left" w:pos="1701"/>
              </w:tabs>
              <w:rPr>
                <w:sz w:val="22"/>
                <w:szCs w:val="22"/>
              </w:rPr>
            </w:pPr>
          </w:p>
          <w:p w14:paraId="27AE1F7A" w14:textId="77777777" w:rsidR="00EB5441" w:rsidRDefault="00EB5441" w:rsidP="00D5250E">
            <w:pPr>
              <w:tabs>
                <w:tab w:val="left" w:pos="1701"/>
              </w:tabs>
              <w:rPr>
                <w:sz w:val="22"/>
                <w:szCs w:val="22"/>
              </w:rPr>
            </w:pPr>
          </w:p>
          <w:p w14:paraId="65BAB919" w14:textId="77777777" w:rsidR="00EB5441" w:rsidRPr="00885BCB" w:rsidRDefault="00EB5441"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lastRenderedPageBreak/>
              <w:t>Vid protokollet</w:t>
            </w:r>
          </w:p>
          <w:p w14:paraId="16DA6BD1" w14:textId="77777777" w:rsidR="00D5250E" w:rsidRPr="00885BCB" w:rsidRDefault="00D5250E" w:rsidP="00D5250E">
            <w:pPr>
              <w:tabs>
                <w:tab w:val="left" w:pos="1701"/>
              </w:tabs>
              <w:rPr>
                <w:sz w:val="22"/>
                <w:szCs w:val="22"/>
              </w:rPr>
            </w:pPr>
          </w:p>
          <w:p w14:paraId="5466EF57" w14:textId="78C79EBA" w:rsidR="00FB0559" w:rsidRPr="00885BCB" w:rsidRDefault="00FB0559" w:rsidP="00D5250E">
            <w:pPr>
              <w:tabs>
                <w:tab w:val="left" w:pos="1701"/>
              </w:tabs>
              <w:rPr>
                <w:sz w:val="22"/>
                <w:szCs w:val="22"/>
              </w:rPr>
            </w:pPr>
          </w:p>
          <w:p w14:paraId="2266F29D" w14:textId="77777777" w:rsidR="0007265A" w:rsidRPr="00885BCB" w:rsidRDefault="0007265A" w:rsidP="00D5250E">
            <w:pPr>
              <w:tabs>
                <w:tab w:val="left" w:pos="1701"/>
              </w:tabs>
              <w:rPr>
                <w:sz w:val="22"/>
                <w:szCs w:val="22"/>
              </w:rPr>
            </w:pPr>
          </w:p>
          <w:p w14:paraId="4135DE1A" w14:textId="16B86F73"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07265A">
              <w:rPr>
                <w:sz w:val="22"/>
                <w:szCs w:val="22"/>
              </w:rPr>
              <w:t>31</w:t>
            </w:r>
            <w:r w:rsidR="009B45EF" w:rsidRPr="00885BCB">
              <w:rPr>
                <w:sz w:val="22"/>
                <w:szCs w:val="22"/>
              </w:rPr>
              <w:t xml:space="preserve"> </w:t>
            </w:r>
            <w:r w:rsidR="0005329B">
              <w:rPr>
                <w:snapToGrid w:val="0"/>
                <w:sz w:val="22"/>
                <w:szCs w:val="22"/>
              </w:rPr>
              <w:t>mars</w:t>
            </w:r>
            <w:r w:rsidR="003D6448">
              <w:rPr>
                <w:snapToGrid w:val="0"/>
                <w:sz w:val="22"/>
                <w:szCs w:val="22"/>
              </w:rPr>
              <w:t xml:space="preserve"> </w:t>
            </w:r>
            <w:r w:rsidR="003D6448" w:rsidRPr="00885BCB">
              <w:rPr>
                <w:snapToGrid w:val="0"/>
                <w:sz w:val="22"/>
                <w:szCs w:val="22"/>
              </w:rPr>
              <w:t>202</w:t>
            </w:r>
            <w:r w:rsidR="003D6448">
              <w:rPr>
                <w:snapToGrid w:val="0"/>
                <w:sz w:val="22"/>
                <w:szCs w:val="22"/>
              </w:rPr>
              <w:t>6</w:t>
            </w:r>
            <w:r w:rsidR="003D6448" w:rsidRPr="00885BCB">
              <w:rPr>
                <w:snapToGrid w:val="0"/>
                <w:sz w:val="22"/>
                <w:szCs w:val="22"/>
              </w:rPr>
              <w:t xml:space="preserve"> </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headerReference w:type="even" r:id="rId8"/>
          <w:headerReference w:type="default" r:id="rId9"/>
          <w:footerReference w:type="even" r:id="rId10"/>
          <w:footerReference w:type="default" r:id="rId11"/>
          <w:headerReference w:type="first" r:id="rId12"/>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lastRenderedPageBreak/>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6411CB6A"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07265A">
              <w:rPr>
                <w:sz w:val="22"/>
                <w:szCs w:val="22"/>
              </w:rPr>
              <w:t>37</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DE9F467"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A77913">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532DE2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A77913">
              <w:rPr>
                <w:sz w:val="22"/>
                <w:szCs w:val="22"/>
              </w:rPr>
              <w:t xml:space="preserve">§ </w:t>
            </w:r>
            <w:r w:rsidR="00784409">
              <w:rPr>
                <w:sz w:val="22"/>
                <w:szCs w:val="22"/>
              </w:rPr>
              <w:t>2–5</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0351D848"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6174A0C5"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EC1B9A"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5E2F2DB"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2488F5D"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1E8BBE50"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44B0CEE8"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B81D289" w:rsidR="00136BAF" w:rsidRPr="00885BCB" w:rsidRDefault="00CC11FC" w:rsidP="002B7AED">
            <w:pPr>
              <w:spacing w:line="256" w:lineRule="auto"/>
              <w:rPr>
                <w:sz w:val="22"/>
                <w:szCs w:val="22"/>
                <w:lang w:eastAsia="en-US"/>
              </w:rPr>
            </w:pPr>
            <w:r w:rsidRPr="001717D8">
              <w:rPr>
                <w:sz w:val="22"/>
                <w:szCs w:val="22"/>
                <w:lang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7210CC1D"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DFE783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9737890"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3657B3D2"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4A244E8E" w:rsidR="00136BAF" w:rsidRPr="00885BCB" w:rsidRDefault="00F06942" w:rsidP="002B7AED">
            <w:pPr>
              <w:spacing w:line="256" w:lineRule="auto"/>
              <w:rPr>
                <w:sz w:val="22"/>
                <w:szCs w:val="22"/>
                <w:lang w:eastAsia="en-US"/>
              </w:rPr>
            </w:pPr>
            <w:r w:rsidRPr="00885BCB">
              <w:rPr>
                <w:sz w:val="22"/>
                <w:szCs w:val="22"/>
              </w:rPr>
              <w:t xml:space="preserve">Sofia Skönnbrink </w:t>
            </w:r>
            <w:r w:rsidR="00136BAF" w:rsidRPr="00885BCB">
              <w:rPr>
                <w:sz w:val="22"/>
                <w:szCs w:val="22"/>
                <w:lang w:eastAsia="en-US"/>
              </w:rPr>
              <w:t>(S)</w:t>
            </w:r>
          </w:p>
        </w:tc>
        <w:tc>
          <w:tcPr>
            <w:tcW w:w="425" w:type="dxa"/>
            <w:tcBorders>
              <w:top w:val="single" w:sz="6" w:space="0" w:color="auto"/>
              <w:left w:val="single" w:sz="6" w:space="0" w:color="auto"/>
              <w:bottom w:val="single" w:sz="6" w:space="0" w:color="auto"/>
              <w:right w:val="single" w:sz="6" w:space="0" w:color="auto"/>
            </w:tcBorders>
          </w:tcPr>
          <w:p w14:paraId="6DA8648C" w14:textId="2DE4E1E3"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5D9A5C33"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40BA966F"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5CFF35D"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5129F96A"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5B7DA4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2523039"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93E998F"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610D6F2"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0195D7C6"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3F12CC65"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C836BB8"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4F38074C"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8C852C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3FAF92B6" w:rsidR="00136BAF" w:rsidRPr="0096516B" w:rsidRDefault="004A1D01" w:rsidP="0096516B">
            <w:pPr>
              <w:rPr>
                <w:sz w:val="22"/>
              </w:rPr>
            </w:pPr>
            <w:r>
              <w:rPr>
                <w:sz w:val="22"/>
                <w:szCs w:val="22"/>
                <w:lang w:val="en-US" w:eastAsia="en-US"/>
              </w:rPr>
              <w:t xml:space="preserve">Lars </w:t>
            </w:r>
            <w:r w:rsidR="0096516B" w:rsidRPr="00A50952">
              <w:rPr>
                <w:sz w:val="22"/>
                <w:szCs w:val="22"/>
              </w:rPr>
              <w:t>Johnsson</w:t>
            </w:r>
            <w:r w:rsidR="00BE4890" w:rsidRPr="00885BCB">
              <w:rPr>
                <w:sz w:val="22"/>
                <w:szCs w:val="22"/>
                <w:lang w:val="en-US" w:eastAsia="en-US"/>
              </w:rPr>
              <w:t xml:space="preserve">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37CC8D3"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081D6981"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53114CD"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6B6523F8"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6F7E79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221E472"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7F7D8EDB"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945ACE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EDE6E6F"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107CCD3"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1E0774FB" w:rsidR="00136BAF" w:rsidRPr="00885BCB" w:rsidRDefault="00374D2C" w:rsidP="002B7AED">
            <w:pPr>
              <w:spacing w:line="256" w:lineRule="auto"/>
              <w:rPr>
                <w:b/>
                <w:i/>
                <w:sz w:val="22"/>
                <w:szCs w:val="22"/>
                <w:lang w:eastAsia="en-US"/>
              </w:rPr>
            </w:pPr>
            <w:r>
              <w:rPr>
                <w:sz w:val="22"/>
                <w:szCs w:val="22"/>
                <w:lang w:val="en-US" w:eastAsia="en-US"/>
              </w:rPr>
              <w:t>Chris Dahlqvist</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063F4A01"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3349947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0AD2E68B"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4506CC40"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28D27772"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6EE896CF" w:rsidR="00136BAF" w:rsidRPr="00885BCB" w:rsidRDefault="00F06942" w:rsidP="002B7AED">
            <w:pPr>
              <w:spacing w:line="256" w:lineRule="auto"/>
              <w:rPr>
                <w:sz w:val="22"/>
                <w:szCs w:val="22"/>
              </w:rPr>
            </w:pPr>
            <w:r>
              <w:rPr>
                <w:sz w:val="22"/>
                <w:szCs w:val="22"/>
              </w:rPr>
              <w:t>Ai</w:t>
            </w:r>
            <w:r w:rsidR="004D031E">
              <w:rPr>
                <w:sz w:val="22"/>
                <w:szCs w:val="22"/>
              </w:rPr>
              <w:t>d</w:t>
            </w:r>
            <w:r>
              <w:rPr>
                <w:sz w:val="22"/>
                <w:szCs w:val="22"/>
              </w:rPr>
              <w:t>a B</w:t>
            </w:r>
            <w:r w:rsidRPr="00F06942">
              <w:rPr>
                <w:sz w:val="22"/>
                <w:szCs w:val="22"/>
              </w:rPr>
              <w:t>irinxhiku</w:t>
            </w:r>
            <w:r>
              <w:rPr>
                <w:sz w:val="22"/>
                <w:szCs w:val="22"/>
              </w:rPr>
              <w:t xml:space="preserve"> </w:t>
            </w:r>
            <w:r w:rsidR="00136BAF" w:rsidRPr="00885BCB">
              <w:rPr>
                <w:sz w:val="22"/>
                <w:szCs w:val="22"/>
              </w:rPr>
              <w:t>(S)</w:t>
            </w:r>
          </w:p>
        </w:tc>
        <w:tc>
          <w:tcPr>
            <w:tcW w:w="425" w:type="dxa"/>
            <w:tcBorders>
              <w:top w:val="single" w:sz="6" w:space="0" w:color="auto"/>
              <w:left w:val="single" w:sz="6" w:space="0" w:color="auto"/>
              <w:bottom w:val="single" w:sz="6" w:space="0" w:color="auto"/>
              <w:right w:val="single" w:sz="6" w:space="0" w:color="auto"/>
            </w:tcBorders>
          </w:tcPr>
          <w:p w14:paraId="70BAC42B" w14:textId="30D67C75"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2D3D29CE"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266B5215" w:rsidR="00136BAF" w:rsidRPr="00885BCB" w:rsidRDefault="00374D2C" w:rsidP="002B7AED">
            <w:pPr>
              <w:spacing w:line="256" w:lineRule="auto"/>
              <w:rPr>
                <w:sz w:val="22"/>
                <w:szCs w:val="22"/>
              </w:rPr>
            </w:pPr>
            <w:r>
              <w:rPr>
                <w:sz w:val="22"/>
                <w:szCs w:val="22"/>
              </w:rPr>
              <w:t xml:space="preserve">Runar Filper </w:t>
            </w:r>
            <w:r w:rsidR="00136BAF" w:rsidRPr="00885BCB">
              <w:rPr>
                <w:sz w:val="22"/>
                <w:szCs w:val="22"/>
              </w:rPr>
              <w:t>(SD)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5E4A9521" w:rsidR="00136BAF"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Patrik Jönsson </w:t>
            </w:r>
            <w:r w:rsidR="00136BAF" w:rsidRPr="00885BCB">
              <w:rPr>
                <w:sz w:val="22"/>
                <w:szCs w:val="22"/>
                <w:lang w:val="en-US" w:eastAsia="en-US"/>
              </w:rPr>
              <w:t>(SD)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BABD34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2F7159BD"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1E799210" w:rsidR="00136BAF"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0F88B59" w:rsidR="006A49EA" w:rsidRPr="00885BCB" w:rsidRDefault="00374D2C" w:rsidP="002B7AED">
            <w:pPr>
              <w:tabs>
                <w:tab w:val="left" w:pos="2268"/>
                <w:tab w:val="left" w:pos="2977"/>
                <w:tab w:val="left" w:pos="4536"/>
              </w:tabs>
              <w:spacing w:line="256" w:lineRule="auto"/>
              <w:rPr>
                <w:sz w:val="22"/>
                <w:szCs w:val="22"/>
                <w:lang w:eastAsia="en-US"/>
              </w:rPr>
            </w:pPr>
            <w:r>
              <w:rPr>
                <w:sz w:val="22"/>
                <w:szCs w:val="22"/>
                <w:lang w:eastAsia="en-US"/>
              </w:rPr>
              <w:t xml:space="preserve">Rashid </w:t>
            </w:r>
            <w:proofErr w:type="spellStart"/>
            <w:r>
              <w:rPr>
                <w:sz w:val="22"/>
                <w:szCs w:val="22"/>
                <w:lang w:eastAsia="en-US"/>
              </w:rPr>
              <w:t>Farivad</w:t>
            </w:r>
            <w:proofErr w:type="spellEnd"/>
            <w:r w:rsidRPr="00885BCB">
              <w:rPr>
                <w:sz w:val="22"/>
                <w:szCs w:val="22"/>
                <w:lang w:eastAsia="en-US"/>
              </w:rPr>
              <w:t xml:space="preserve"> </w:t>
            </w:r>
            <w:r w:rsidR="006A49EA" w:rsidRPr="00885BCB">
              <w:rPr>
                <w:sz w:val="22"/>
                <w:szCs w:val="22"/>
                <w:lang w:eastAsia="en-US"/>
              </w:rPr>
              <w:t>(SD)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2A0697F2" w:rsidR="006A49EA" w:rsidRPr="00885BCB" w:rsidRDefault="00374D2C" w:rsidP="002B7AED">
            <w:pPr>
              <w:tabs>
                <w:tab w:val="left" w:pos="2268"/>
                <w:tab w:val="left" w:pos="2977"/>
                <w:tab w:val="left" w:pos="4536"/>
              </w:tabs>
              <w:spacing w:line="256" w:lineRule="auto"/>
              <w:rPr>
                <w:sz w:val="22"/>
                <w:szCs w:val="22"/>
                <w:lang w:eastAsia="en-US"/>
              </w:rPr>
            </w:pPr>
            <w:r w:rsidRPr="00885BCB">
              <w:rPr>
                <w:sz w:val="22"/>
                <w:szCs w:val="22"/>
                <w:lang w:eastAsia="en-US"/>
              </w:rPr>
              <w:t xml:space="preserve">Josef Fransson </w:t>
            </w:r>
            <w:r w:rsidR="006A49EA"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57115499" w14:textId="2A8C7B35"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38E53B91"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6A5F6808"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4D2AF5A7"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198FB9DB" w:rsidR="006A49EA" w:rsidRPr="00885BCB" w:rsidRDefault="00374D2C" w:rsidP="002B7AED">
            <w:pPr>
              <w:tabs>
                <w:tab w:val="left" w:pos="2268"/>
                <w:tab w:val="left" w:pos="2977"/>
                <w:tab w:val="left" w:pos="4536"/>
              </w:tabs>
              <w:spacing w:line="256" w:lineRule="auto"/>
              <w:rPr>
                <w:sz w:val="22"/>
                <w:szCs w:val="22"/>
              </w:rPr>
            </w:pPr>
            <w:r w:rsidRPr="00374D2C">
              <w:rPr>
                <w:sz w:val="22"/>
                <w:szCs w:val="22"/>
                <w:lang w:eastAsia="en-US"/>
              </w:rPr>
              <w:t xml:space="preserve">Roland Utbult </w:t>
            </w:r>
            <w:r w:rsidR="006A49EA" w:rsidRPr="00885BCB">
              <w:rPr>
                <w:sz w:val="22"/>
                <w:szCs w:val="22"/>
              </w:rPr>
              <w:t>(KD)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9D9C9C5" w:rsidR="006A49EA" w:rsidRPr="00885BCB" w:rsidRDefault="00374D2C" w:rsidP="002B7AED">
            <w:pPr>
              <w:tabs>
                <w:tab w:val="left" w:pos="2268"/>
                <w:tab w:val="left" w:pos="2977"/>
                <w:tab w:val="left" w:pos="4536"/>
              </w:tabs>
              <w:spacing w:line="256" w:lineRule="auto"/>
              <w:rPr>
                <w:sz w:val="22"/>
                <w:szCs w:val="22"/>
                <w:lang w:val="en-US" w:eastAsia="en-US"/>
              </w:rPr>
            </w:pPr>
            <w:r w:rsidRPr="00885BCB">
              <w:rPr>
                <w:sz w:val="22"/>
                <w:szCs w:val="22"/>
              </w:rPr>
              <w:t xml:space="preserve">Cecilia Engström </w:t>
            </w:r>
            <w:r w:rsidR="006A49EA" w:rsidRPr="00885BCB">
              <w:rPr>
                <w:sz w:val="22"/>
                <w:szCs w:val="22"/>
                <w:lang w:val="en-US" w:eastAsia="en-US"/>
              </w:rPr>
              <w:t>(KD)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6926FB8E"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041EE88E" w:rsidR="006A49EA" w:rsidRPr="00885BCB" w:rsidRDefault="00A7791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F06942" w:rsidRPr="00885BCB" w14:paraId="4B6FF7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4B343B8" w14:textId="680F96B9" w:rsidR="00F06942" w:rsidRPr="00885BCB" w:rsidRDefault="00F06942" w:rsidP="002B7AED">
            <w:pPr>
              <w:tabs>
                <w:tab w:val="left" w:pos="2268"/>
                <w:tab w:val="left" w:pos="2977"/>
                <w:tab w:val="left" w:pos="4536"/>
              </w:tabs>
              <w:spacing w:line="256" w:lineRule="auto"/>
              <w:rPr>
                <w:sz w:val="22"/>
                <w:szCs w:val="22"/>
                <w:lang w:eastAsia="en-US"/>
              </w:rPr>
            </w:pPr>
            <w:r w:rsidRPr="00F06942">
              <w:rPr>
                <w:sz w:val="22"/>
                <w:szCs w:val="22"/>
                <w:lang w:eastAsia="en-US"/>
              </w:rPr>
              <w:t>Karin Sundin (S)</w:t>
            </w:r>
          </w:p>
        </w:tc>
        <w:tc>
          <w:tcPr>
            <w:tcW w:w="425" w:type="dxa"/>
            <w:tcBorders>
              <w:top w:val="single" w:sz="6" w:space="0" w:color="auto"/>
              <w:left w:val="single" w:sz="6" w:space="0" w:color="auto"/>
              <w:bottom w:val="single" w:sz="6" w:space="0" w:color="auto"/>
              <w:right w:val="single" w:sz="6" w:space="0" w:color="auto"/>
            </w:tcBorders>
          </w:tcPr>
          <w:p w14:paraId="3C39A2B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41B27"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32646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1ECC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264F36"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B9A343"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B8F04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7E56F7C"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F2D6A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12F50"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0F2D2"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02534" w14:textId="77777777" w:rsidR="00F06942" w:rsidRPr="00885BCB" w:rsidRDefault="00F0694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58FAF46B"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FF3B97">
              <w:rPr>
                <w:sz w:val="22"/>
                <w:szCs w:val="22"/>
              </w:rPr>
              <w:t>37</w:t>
            </w:r>
          </w:p>
        </w:tc>
      </w:tr>
    </w:tbl>
    <w:p w14:paraId="3E00EF4E" w14:textId="7845698B" w:rsidR="00987069" w:rsidRPr="00885BCB" w:rsidRDefault="00987069" w:rsidP="00987069">
      <w:pPr>
        <w:widowControl/>
        <w:rPr>
          <w:sz w:val="22"/>
          <w:szCs w:val="22"/>
        </w:rPr>
      </w:pPr>
    </w:p>
    <w:p w14:paraId="0BDCA0D8" w14:textId="77777777" w:rsidR="00FF3B97" w:rsidRDefault="00FF3B97" w:rsidP="00FF3B97">
      <w:pPr>
        <w:tabs>
          <w:tab w:val="left" w:pos="1701"/>
        </w:tabs>
        <w:rPr>
          <w:b/>
          <w:sz w:val="22"/>
          <w:szCs w:val="22"/>
        </w:rPr>
      </w:pPr>
      <w:bookmarkStart w:id="2" w:name="_Hlk215733820"/>
      <w:bookmarkStart w:id="3" w:name="_Hlk219965668"/>
      <w:r w:rsidRPr="00F01A93">
        <w:rPr>
          <w:b/>
          <w:sz w:val="22"/>
          <w:szCs w:val="22"/>
        </w:rPr>
        <w:t xml:space="preserve">Överläggning den </w:t>
      </w:r>
      <w:r>
        <w:rPr>
          <w:b/>
          <w:sz w:val="22"/>
          <w:szCs w:val="22"/>
        </w:rPr>
        <w:t>24 mars 2026</w:t>
      </w:r>
      <w:r w:rsidRPr="00F01A93">
        <w:rPr>
          <w:b/>
          <w:sz w:val="22"/>
          <w:szCs w:val="22"/>
        </w:rPr>
        <w:t xml:space="preserve"> om </w:t>
      </w:r>
      <w:r>
        <w:rPr>
          <w:b/>
          <w:sz w:val="22"/>
          <w:szCs w:val="22"/>
        </w:rPr>
        <w:t>f</w:t>
      </w:r>
      <w:r w:rsidRPr="001970ED">
        <w:rPr>
          <w:b/>
          <w:sz w:val="22"/>
          <w:szCs w:val="22"/>
        </w:rPr>
        <w:t>örslag till Europaparlamentets och rådets förordning om rena företagsfordon</w:t>
      </w:r>
    </w:p>
    <w:p w14:paraId="2A133DB6" w14:textId="77777777" w:rsidR="00FF3B97" w:rsidRDefault="00FF3B97" w:rsidP="00FF3B97">
      <w:pPr>
        <w:tabs>
          <w:tab w:val="left" w:pos="1701"/>
        </w:tabs>
        <w:rPr>
          <w:b/>
          <w:sz w:val="22"/>
          <w:szCs w:val="22"/>
        </w:rPr>
      </w:pPr>
    </w:p>
    <w:p w14:paraId="3F332E48" w14:textId="77777777" w:rsidR="00FF3B97" w:rsidRDefault="00FF3B97" w:rsidP="00FF3B97">
      <w:pPr>
        <w:rPr>
          <w:sz w:val="22"/>
          <w:szCs w:val="22"/>
        </w:rPr>
      </w:pPr>
      <w:r w:rsidRPr="00D84EDD">
        <w:rPr>
          <w:b/>
          <w:bCs/>
          <w:sz w:val="22"/>
          <w:szCs w:val="22"/>
        </w:rPr>
        <w:t>Preliminär svensk ståndpunkt:</w:t>
      </w:r>
      <w:r>
        <w:rPr>
          <w:b/>
          <w:bCs/>
          <w:sz w:val="22"/>
          <w:szCs w:val="22"/>
        </w:rPr>
        <w:br/>
      </w:r>
      <w:r w:rsidRPr="00D84EDD">
        <w:rPr>
          <w:sz w:val="22"/>
          <w:szCs w:val="22"/>
        </w:rPr>
        <w:t xml:space="preserve">Regeringen delar kommissionens slutsats att marknadsetableringen av nollutsläppsfordon går för långsamt i delar av EU och att omställningen av EU:s transportsektor behöver påskyndas. Regeringen ser emellertid stora svårigheter med förslaget. </w:t>
      </w:r>
    </w:p>
    <w:p w14:paraId="29835EB8" w14:textId="77777777" w:rsidR="00FF3B97" w:rsidRDefault="00FF3B97" w:rsidP="00FF3B97">
      <w:pPr>
        <w:rPr>
          <w:sz w:val="22"/>
          <w:szCs w:val="22"/>
        </w:rPr>
      </w:pPr>
    </w:p>
    <w:p w14:paraId="2FD5752A" w14:textId="77777777" w:rsidR="00FF3B97" w:rsidRDefault="00FF3B97" w:rsidP="00FF3B97">
      <w:pPr>
        <w:rPr>
          <w:sz w:val="22"/>
          <w:szCs w:val="22"/>
        </w:rPr>
      </w:pPr>
      <w:r w:rsidRPr="00D84EDD">
        <w:rPr>
          <w:sz w:val="22"/>
          <w:szCs w:val="22"/>
        </w:rPr>
        <w:t xml:space="preserve">Regeringen konstaterar att det finns flera styrmedel och mål på EU-nivå som syftar till att minska EU:s utsläpp av växthusgaser, inklusive från vägtrafiken. </w:t>
      </w:r>
    </w:p>
    <w:p w14:paraId="2AFC8834" w14:textId="77777777" w:rsidR="00FF3B97" w:rsidRDefault="00FF3B97" w:rsidP="00FF3B97">
      <w:pPr>
        <w:rPr>
          <w:sz w:val="22"/>
          <w:szCs w:val="22"/>
        </w:rPr>
      </w:pPr>
    </w:p>
    <w:p w14:paraId="3501F25B" w14:textId="77777777" w:rsidR="00FF3B97" w:rsidRDefault="00FF3B97" w:rsidP="00FF3B97">
      <w:pPr>
        <w:rPr>
          <w:sz w:val="22"/>
          <w:szCs w:val="22"/>
        </w:rPr>
      </w:pPr>
      <w:r w:rsidRPr="00D84EDD">
        <w:rPr>
          <w:sz w:val="22"/>
          <w:szCs w:val="22"/>
        </w:rPr>
        <w:t xml:space="preserve">Regeringen ifrågasätter ytterligare bindande nationella mål om andelen nyregistrerade utsläppsfria och utsläppssnåla fordon, då dessa riskerar att öka kostnaderna för att nå EU:s klimatmål och missgynna länder som har gått före i omställningen. </w:t>
      </w:r>
    </w:p>
    <w:p w14:paraId="26BB6121" w14:textId="77777777" w:rsidR="00FF3B97" w:rsidRDefault="00FF3B97" w:rsidP="00FF3B97">
      <w:pPr>
        <w:rPr>
          <w:sz w:val="22"/>
          <w:szCs w:val="22"/>
        </w:rPr>
      </w:pPr>
    </w:p>
    <w:p w14:paraId="7D8A012E" w14:textId="77777777" w:rsidR="00FF3B97" w:rsidRDefault="00FF3B97" w:rsidP="00FF3B97">
      <w:pPr>
        <w:rPr>
          <w:sz w:val="22"/>
          <w:szCs w:val="22"/>
        </w:rPr>
      </w:pPr>
      <w:r w:rsidRPr="00D84EDD">
        <w:rPr>
          <w:sz w:val="22"/>
          <w:szCs w:val="22"/>
        </w:rPr>
        <w:t xml:space="preserve">Vad gäller införande av incitament med krav på EU-tillverkning är regeringens övergripande inställning att detta bör tillämpas som en åtgärd först efter att andra visat sig otillräckliga och då vara tidsbegränsade. De bör gälla inom noggrant definierade områden där EU har ett strategiskt högriskberoende och utformas på ett sätt som inte snedvrider konkurrensen på den inre marknaden, försämrar handelsrelationer med likasinnade partners eller leder till en administrativ börda. Vidare är det viktigt att incitament som införs utformas så att det gynnar föregångare i omställningen och gynnar svensk industris konkurrenskraft liksom gör det möjligt att ligga i framkant i omställningen till utsläppsfria och utsläppssnåla fordon. </w:t>
      </w:r>
    </w:p>
    <w:p w14:paraId="325C4BE1" w14:textId="77777777" w:rsidR="00FF3B97" w:rsidRDefault="00FF3B97" w:rsidP="00FF3B97">
      <w:pPr>
        <w:rPr>
          <w:sz w:val="22"/>
          <w:szCs w:val="22"/>
        </w:rPr>
      </w:pPr>
    </w:p>
    <w:p w14:paraId="19D7CE7B" w14:textId="77777777" w:rsidR="00FF3B97" w:rsidRDefault="00FF3B97" w:rsidP="00FF3B97">
      <w:pPr>
        <w:rPr>
          <w:sz w:val="22"/>
          <w:szCs w:val="22"/>
        </w:rPr>
      </w:pPr>
      <w:r w:rsidRPr="00D84EDD">
        <w:rPr>
          <w:sz w:val="22"/>
          <w:szCs w:val="22"/>
        </w:rPr>
        <w:t xml:space="preserve">Regeringen konstaterar att förslagets konsekvensanalys saknar bland annat beräkningar på effekter på olika delar av transportmarknaden, exempelvis för transportköpare och fordonsindustri. Vidare att det är nödvändigt med klargöranden i en rad frågor i förslaget. </w:t>
      </w:r>
    </w:p>
    <w:p w14:paraId="07191310" w14:textId="77777777" w:rsidR="00FF3B97" w:rsidRDefault="00FF3B97" w:rsidP="00FF3B97">
      <w:pPr>
        <w:rPr>
          <w:sz w:val="22"/>
          <w:szCs w:val="22"/>
        </w:rPr>
      </w:pPr>
    </w:p>
    <w:p w14:paraId="67FD0023" w14:textId="77777777" w:rsidR="00FF3B97" w:rsidRDefault="00FF3B97" w:rsidP="00FF3B97">
      <w:pPr>
        <w:rPr>
          <w:sz w:val="22"/>
          <w:szCs w:val="22"/>
        </w:rPr>
      </w:pPr>
      <w:r w:rsidRPr="00D84EDD">
        <w:rPr>
          <w:sz w:val="22"/>
          <w:szCs w:val="22"/>
        </w:rPr>
        <w:t xml:space="preserve">Det är en prioritering för regeringen att företagens regelbörda ska minska. Nya eller ändrade regler bör vara tydliga både för att de ska vara enkla för företagen att följa och för myndigheterna att tillämpa och följa upp. Överreglering och onödiga krav på företag bör undvikas i enlighet med regeringens förenklingsagenda. </w:t>
      </w:r>
    </w:p>
    <w:p w14:paraId="6FFB28D0" w14:textId="77777777" w:rsidR="00FF3B97" w:rsidRDefault="00FF3B97" w:rsidP="00FF3B97">
      <w:pPr>
        <w:rPr>
          <w:sz w:val="22"/>
          <w:szCs w:val="22"/>
        </w:rPr>
      </w:pPr>
    </w:p>
    <w:p w14:paraId="11599532" w14:textId="77777777" w:rsidR="00FF3B97" w:rsidRDefault="00FF3B97" w:rsidP="00FF3B97">
      <w:pPr>
        <w:rPr>
          <w:sz w:val="22"/>
          <w:szCs w:val="22"/>
        </w:rPr>
      </w:pPr>
      <w:r w:rsidRPr="00D84EDD">
        <w:rPr>
          <w:sz w:val="22"/>
          <w:szCs w:val="22"/>
        </w:rPr>
        <w:t xml:space="preserve">Vidare avser regeringen att efterlysa klargöranden kring hur förordningens bestämmelse om ekonomiskt stöd till företagsfordon förhåller sig till skatteområdet, bland annat vad gäller rättslig grund. Regeringen är principiellt emot ökad harmonisering av skatter på EU-nivå, det gäller i synnerhet på området för direkt skatt. Nyttan av att ha harmoniserade regler måste i varje enskilt fall vägas mot bl.a. den inskränkning av medlemsstaternas möjligheter att införa och utforma egna nationella skatteregler som en harmonisering medför. </w:t>
      </w:r>
    </w:p>
    <w:p w14:paraId="34BD6CB7" w14:textId="77777777" w:rsidR="00FF3B97" w:rsidRDefault="00FF3B97" w:rsidP="00FF3B97">
      <w:pPr>
        <w:rPr>
          <w:sz w:val="22"/>
          <w:szCs w:val="22"/>
        </w:rPr>
      </w:pPr>
    </w:p>
    <w:p w14:paraId="6200823E" w14:textId="77777777" w:rsidR="00FF3B97" w:rsidRPr="00D84EDD" w:rsidRDefault="00FF3B97" w:rsidP="00FF3B97">
      <w:pPr>
        <w:rPr>
          <w:sz w:val="22"/>
          <w:szCs w:val="22"/>
        </w:rPr>
      </w:pPr>
      <w:r w:rsidRPr="00D84EDD">
        <w:rPr>
          <w:sz w:val="22"/>
          <w:szCs w:val="22"/>
        </w:rPr>
        <w:t xml:space="preserve">Regeringen avser att verka för ett </w:t>
      </w:r>
      <w:proofErr w:type="spellStart"/>
      <w:r w:rsidRPr="00D84EDD">
        <w:rPr>
          <w:sz w:val="22"/>
          <w:szCs w:val="22"/>
        </w:rPr>
        <w:t>EU-regelverk</w:t>
      </w:r>
      <w:proofErr w:type="spellEnd"/>
      <w:r w:rsidRPr="00D84EDD">
        <w:rPr>
          <w:sz w:val="22"/>
          <w:szCs w:val="22"/>
        </w:rPr>
        <w:t xml:space="preserve"> som bidrar till industrins konkurrenskraft, samhällsekonomisk effektivitet, flexibilitet och teknikneutralitet. Regler bör vara träffsäkra och inte medföra onödiga administrativa bördor för företag och myndigheter. Utifrån ett offentligt finansiellt perspektiv ska effekterna vara noga balanserade och hållbara även på sikt. Regeringen kan inte se att förslaget i dess nuvarande utformning sammantaget lever upp till dessa kriterier.</w:t>
      </w:r>
    </w:p>
    <w:bookmarkEnd w:id="2"/>
    <w:p w14:paraId="48917597" w14:textId="77777777" w:rsidR="00FF3B97" w:rsidRPr="00D84EDD" w:rsidRDefault="00FF3B97" w:rsidP="00FF3B97">
      <w:pPr>
        <w:pStyle w:val="Brdtext"/>
      </w:pPr>
    </w:p>
    <w:bookmarkEnd w:id="3"/>
    <w:p w14:paraId="19EEDF1A" w14:textId="7BF1A79B" w:rsidR="00987069" w:rsidRPr="00885BCB" w:rsidRDefault="00987069" w:rsidP="00987069">
      <w:pPr>
        <w:widowControl/>
        <w:rPr>
          <w:sz w:val="22"/>
          <w:szCs w:val="22"/>
        </w:rPr>
      </w:pPr>
    </w:p>
    <w:p w14:paraId="00B7EA3C" w14:textId="2AA1BC44" w:rsidR="00987069" w:rsidRPr="00885BCB" w:rsidRDefault="00987069" w:rsidP="00987069">
      <w:pPr>
        <w:widowControl/>
        <w:rPr>
          <w:sz w:val="22"/>
          <w:szCs w:val="22"/>
        </w:rPr>
      </w:pP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D2CA245" w14:textId="77777777" w:rsidR="00987069" w:rsidRPr="00885BCB" w:rsidRDefault="00987069" w:rsidP="00987069">
      <w:pPr>
        <w:widowControl/>
        <w:rPr>
          <w:sz w:val="22"/>
          <w:szCs w:val="22"/>
        </w:rPr>
      </w:pPr>
    </w:p>
    <w:p w14:paraId="1FC97F97" w14:textId="77777777" w:rsidR="00987069" w:rsidRPr="00885BCB"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2D52F455" w14:textId="77777777" w:rsidTr="00DC7DFD">
        <w:tc>
          <w:tcPr>
            <w:tcW w:w="6532" w:type="dxa"/>
          </w:tcPr>
          <w:p w14:paraId="103086D8"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30B1CEC8" w14:textId="77777777" w:rsidR="00987069" w:rsidRPr="00885BCB" w:rsidRDefault="00987069" w:rsidP="00DC7DFD">
            <w:pPr>
              <w:tabs>
                <w:tab w:val="left" w:pos="1276"/>
              </w:tabs>
              <w:rPr>
                <w:sz w:val="22"/>
                <w:szCs w:val="22"/>
              </w:rPr>
            </w:pPr>
          </w:p>
        </w:tc>
        <w:tc>
          <w:tcPr>
            <w:tcW w:w="2036" w:type="dxa"/>
          </w:tcPr>
          <w:p w14:paraId="30569EFB" w14:textId="3B6A2E96" w:rsidR="00987069" w:rsidRPr="00885BCB" w:rsidRDefault="00987069" w:rsidP="00DC7DFD">
            <w:pPr>
              <w:tabs>
                <w:tab w:val="left" w:pos="1276"/>
              </w:tabs>
              <w:ind w:right="-212"/>
              <w:rPr>
                <w:b/>
                <w:sz w:val="22"/>
                <w:szCs w:val="22"/>
              </w:rPr>
            </w:pPr>
            <w:r w:rsidRPr="00885BCB">
              <w:rPr>
                <w:b/>
                <w:sz w:val="22"/>
                <w:szCs w:val="22"/>
              </w:rPr>
              <w:t>Bilaga 3</w:t>
            </w:r>
          </w:p>
          <w:p w14:paraId="061DD23D" w14:textId="77777777" w:rsidR="00987069" w:rsidRPr="00885BCB" w:rsidRDefault="00987069" w:rsidP="00DC7DFD">
            <w:pPr>
              <w:tabs>
                <w:tab w:val="left" w:pos="1276"/>
              </w:tabs>
              <w:ind w:right="-212"/>
              <w:rPr>
                <w:sz w:val="22"/>
                <w:szCs w:val="22"/>
              </w:rPr>
            </w:pPr>
            <w:r w:rsidRPr="00885BCB">
              <w:rPr>
                <w:sz w:val="22"/>
                <w:szCs w:val="22"/>
              </w:rPr>
              <w:t>till protokoll</w:t>
            </w:r>
          </w:p>
          <w:p w14:paraId="4117137A" w14:textId="1147D0C4"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FF3B97">
              <w:rPr>
                <w:sz w:val="22"/>
                <w:szCs w:val="22"/>
              </w:rPr>
              <w:t>37</w:t>
            </w:r>
          </w:p>
        </w:tc>
      </w:tr>
    </w:tbl>
    <w:p w14:paraId="1BEA0577" w14:textId="77777777" w:rsidR="00987069" w:rsidRDefault="00987069" w:rsidP="00987069">
      <w:pPr>
        <w:tabs>
          <w:tab w:val="left" w:pos="142"/>
          <w:tab w:val="left" w:pos="7655"/>
        </w:tabs>
        <w:ind w:right="-568"/>
        <w:rPr>
          <w:sz w:val="22"/>
          <w:szCs w:val="22"/>
        </w:rPr>
      </w:pPr>
    </w:p>
    <w:p w14:paraId="224EDA37" w14:textId="77777777" w:rsidR="00FF3B97" w:rsidRPr="00430803" w:rsidRDefault="00FF3B97" w:rsidP="00FF3B97">
      <w:pPr>
        <w:tabs>
          <w:tab w:val="left" w:pos="1701"/>
        </w:tabs>
        <w:rPr>
          <w:b/>
          <w:sz w:val="22"/>
          <w:szCs w:val="22"/>
        </w:rPr>
      </w:pPr>
      <w:r w:rsidRPr="00430803">
        <w:rPr>
          <w:b/>
          <w:sz w:val="22"/>
          <w:szCs w:val="22"/>
        </w:rPr>
        <w:t>Förslag till Europaparlamentets och rådets förordning om rena företagsfordon</w:t>
      </w:r>
    </w:p>
    <w:p w14:paraId="46164639" w14:textId="77777777" w:rsidR="00FF3B97" w:rsidRPr="00430803" w:rsidRDefault="00FF3B97" w:rsidP="00FF3B97">
      <w:pPr>
        <w:rPr>
          <w:rFonts w:eastAsia="Calibri"/>
          <w:b/>
          <w:bCs/>
          <w:color w:val="000000"/>
          <w:sz w:val="22"/>
          <w:szCs w:val="22"/>
          <w:lang w:eastAsia="en-US"/>
        </w:rPr>
      </w:pPr>
    </w:p>
    <w:p w14:paraId="5F90D52B" w14:textId="77777777" w:rsidR="00FF3B97" w:rsidRPr="00430803" w:rsidRDefault="00FF3B97" w:rsidP="00FF3B97">
      <w:pPr>
        <w:tabs>
          <w:tab w:val="left" w:pos="1701"/>
        </w:tabs>
        <w:rPr>
          <w:b/>
          <w:bCs/>
          <w:color w:val="000000"/>
          <w:sz w:val="22"/>
          <w:szCs w:val="22"/>
        </w:rPr>
      </w:pPr>
      <w:bookmarkStart w:id="4" w:name="_Hlk148615905"/>
      <w:r w:rsidRPr="00430803">
        <w:rPr>
          <w:b/>
          <w:bCs/>
          <w:color w:val="000000"/>
          <w:sz w:val="22"/>
          <w:szCs w:val="22"/>
        </w:rPr>
        <w:t>S-ledamöterna anmälde följande avvikande ståndpunkt:</w:t>
      </w:r>
    </w:p>
    <w:p w14:paraId="524EB201" w14:textId="77777777" w:rsidR="00FF3B97" w:rsidRPr="00430803" w:rsidRDefault="00FF3B97" w:rsidP="00FF3B97">
      <w:pPr>
        <w:rPr>
          <w:sz w:val="22"/>
          <w:szCs w:val="22"/>
        </w:rPr>
      </w:pPr>
      <w:r w:rsidRPr="00430803">
        <w:rPr>
          <w:sz w:val="22"/>
          <w:szCs w:val="22"/>
        </w:rPr>
        <w:t>Regeringen ser positivt på ett ökat ansvarstagande från medlemsstaterna för att fasa ut fordon med höga utsläpp. Efterfrågan på dessa fordon påverkas i hög grad av nationella beslut, samtidigt som det är fordonstillverkarna som riskerar betydande böter om efterfrågan uteblir. Detta riskerar att miss</w:t>
      </w:r>
      <w:r>
        <w:rPr>
          <w:sz w:val="22"/>
          <w:szCs w:val="22"/>
        </w:rPr>
        <w:softHyphen/>
      </w:r>
      <w:r w:rsidRPr="00430803">
        <w:rPr>
          <w:sz w:val="22"/>
          <w:szCs w:val="22"/>
        </w:rPr>
        <w:t>gynna aktörer som har gått före i omställningen. Det är därför rimligt att även medlemsstaterna åläggs tydligare krav för att tillsammans med fordonsindustrin fasa ut fordon med höga utsläpp på ett ändamålsenligt sätt.</w:t>
      </w:r>
    </w:p>
    <w:p w14:paraId="300FB2F8" w14:textId="77777777" w:rsidR="00FF3B97" w:rsidRPr="00430803" w:rsidRDefault="00FF3B97" w:rsidP="00FF3B97">
      <w:pPr>
        <w:spacing w:line="276" w:lineRule="auto"/>
        <w:rPr>
          <w:sz w:val="22"/>
          <w:szCs w:val="22"/>
        </w:rPr>
      </w:pPr>
    </w:p>
    <w:p w14:paraId="6551AF6E" w14:textId="77777777" w:rsidR="00FF3B97" w:rsidRPr="00430803" w:rsidRDefault="00FF3B97" w:rsidP="00FF3B97">
      <w:pPr>
        <w:spacing w:line="276" w:lineRule="auto"/>
        <w:rPr>
          <w:sz w:val="22"/>
          <w:szCs w:val="22"/>
        </w:rPr>
      </w:pPr>
      <w:r w:rsidRPr="00430803">
        <w:rPr>
          <w:sz w:val="22"/>
          <w:szCs w:val="22"/>
        </w:rPr>
        <w:t>Regeringen anser att undantaget för företag med färre än 250 anställda inte har motiverats tillräckligt.</w:t>
      </w:r>
    </w:p>
    <w:p w14:paraId="09C3F8EA" w14:textId="77777777" w:rsidR="00FF3B97" w:rsidRPr="00430803" w:rsidRDefault="00FF3B97" w:rsidP="00FF3B97">
      <w:pPr>
        <w:spacing w:line="276" w:lineRule="auto"/>
        <w:rPr>
          <w:sz w:val="22"/>
          <w:szCs w:val="22"/>
        </w:rPr>
      </w:pPr>
    </w:p>
    <w:p w14:paraId="3E30D657" w14:textId="77777777" w:rsidR="00FF3B97" w:rsidRPr="00430803" w:rsidRDefault="00FF3B97" w:rsidP="00FF3B97">
      <w:pPr>
        <w:rPr>
          <w:sz w:val="22"/>
          <w:szCs w:val="22"/>
        </w:rPr>
      </w:pPr>
      <w:r w:rsidRPr="00430803">
        <w:rPr>
          <w:sz w:val="22"/>
          <w:szCs w:val="22"/>
        </w:rPr>
        <w:t>Regeringen ser inte tillräckliga skäl för att andelen fordon med låga utsläpp ska vara högre i vissa länder än i andra. Kommissionen har inte på ett övertygande sätt motiverat varför kravnivåerna ska skilja sig åt. Differentierade krav riskerar att snedvrida konkurrensen genom att ställa högre krav på vissa medlemsstater, däribland Sverige.</w:t>
      </w:r>
    </w:p>
    <w:p w14:paraId="729B9D52" w14:textId="77777777" w:rsidR="00FF3B97" w:rsidRPr="00430803" w:rsidRDefault="00FF3B97" w:rsidP="00FF3B97">
      <w:pPr>
        <w:spacing w:line="276" w:lineRule="auto"/>
        <w:rPr>
          <w:sz w:val="22"/>
          <w:szCs w:val="22"/>
        </w:rPr>
      </w:pPr>
    </w:p>
    <w:p w14:paraId="56EF4B33" w14:textId="77777777" w:rsidR="00FF3B97" w:rsidRPr="00430803" w:rsidRDefault="00FF3B97" w:rsidP="00FF3B97">
      <w:pPr>
        <w:rPr>
          <w:sz w:val="22"/>
          <w:szCs w:val="22"/>
        </w:rPr>
      </w:pPr>
      <w:r w:rsidRPr="00430803">
        <w:rPr>
          <w:sz w:val="22"/>
          <w:szCs w:val="22"/>
        </w:rPr>
        <w:t>Regeringens ambition är att företag ska konkurrera på lika villkor. Så är det tyvärr inte i dag. När det gäller införande av incitament med krav på EU-tillverkning är regeringens övergripande inställning att detta bör tillämpas först efter att andra åtgärder visat sig otillräckliga och då vara tidsbegränsade. De bör gälla inom noggrant definierade områden där EU har ett strategiskt högriskberoende eller där andra länder tydligt subventionerar industrin på ett sätt som undergräver konkurrensen på lika villkor. Dessutom bör de utformas på ett sätt som inte snedvrider konkurrensen på den inre marknaden, försämrar handelsrelationer med likasinnade partner eller leder till en administrativ börda. Vidare är det viktigt att incitament som införs utformas så att de gynnar föregångare i omställningen, stärker svensk industris konkurrenskraft samt gör det möjligt att ligga i framkant i omställningen till utsläppsfria och utsläppssnåla fordon.</w:t>
      </w:r>
    </w:p>
    <w:p w14:paraId="3524B979" w14:textId="77777777" w:rsidR="00FF3B97" w:rsidRPr="00430803" w:rsidRDefault="00FF3B97" w:rsidP="00FF3B97">
      <w:pPr>
        <w:tabs>
          <w:tab w:val="left" w:pos="1701"/>
        </w:tabs>
        <w:rPr>
          <w:b/>
          <w:bCs/>
          <w:color w:val="000000"/>
          <w:sz w:val="22"/>
          <w:szCs w:val="22"/>
        </w:rPr>
      </w:pPr>
    </w:p>
    <w:p w14:paraId="5CEC178B" w14:textId="77777777" w:rsidR="00FF3B97" w:rsidRPr="00430803" w:rsidRDefault="00FF3B97" w:rsidP="00FF3B97">
      <w:pPr>
        <w:tabs>
          <w:tab w:val="left" w:pos="1701"/>
        </w:tabs>
        <w:rPr>
          <w:b/>
          <w:bCs/>
          <w:color w:val="000000"/>
          <w:sz w:val="22"/>
          <w:szCs w:val="22"/>
        </w:rPr>
      </w:pPr>
      <w:r w:rsidRPr="00430803">
        <w:rPr>
          <w:b/>
          <w:bCs/>
          <w:color w:val="000000"/>
          <w:sz w:val="22"/>
          <w:szCs w:val="22"/>
        </w:rPr>
        <w:t>V-ledamoten anmälde följande avvikande ståndpunkt:</w:t>
      </w:r>
    </w:p>
    <w:p w14:paraId="68501F5D" w14:textId="77777777" w:rsidR="00FF3B97" w:rsidRPr="00430803" w:rsidRDefault="00FF3B97" w:rsidP="00FF3B97">
      <w:pPr>
        <w:tabs>
          <w:tab w:val="left" w:pos="1701"/>
        </w:tabs>
        <w:rPr>
          <w:color w:val="000000"/>
          <w:sz w:val="22"/>
          <w:szCs w:val="22"/>
        </w:rPr>
      </w:pPr>
      <w:r w:rsidRPr="00430803">
        <w:rPr>
          <w:color w:val="000000"/>
          <w:sz w:val="22"/>
          <w:szCs w:val="22"/>
        </w:rPr>
        <w:t>Vänsterpartiet ställer sig i det stora hela positivt till förslaget. Nuvarande utveckling inom den svenska transportsektorn går helt åt fel håll med historiskt stor utsläppsökning från vägtransporter under 2024 samtidigt som elektrifieringstakten stannat av i Sverige och nu är långsammast i Norden. Det är tvek</w:t>
      </w:r>
      <w:r>
        <w:rPr>
          <w:color w:val="000000"/>
          <w:sz w:val="22"/>
          <w:szCs w:val="22"/>
        </w:rPr>
        <w:softHyphen/>
      </w:r>
      <w:r w:rsidRPr="00430803">
        <w:rPr>
          <w:color w:val="000000"/>
          <w:sz w:val="22"/>
          <w:szCs w:val="22"/>
        </w:rPr>
        <w:t>samt att som regeringen gör att utmåla Sverige som ett föregångsland.</w:t>
      </w:r>
      <w:r>
        <w:rPr>
          <w:color w:val="000000"/>
          <w:sz w:val="22"/>
          <w:szCs w:val="22"/>
        </w:rPr>
        <w:t xml:space="preserve"> </w:t>
      </w:r>
      <w:r w:rsidRPr="00430803">
        <w:rPr>
          <w:color w:val="000000"/>
          <w:sz w:val="22"/>
          <w:szCs w:val="22"/>
        </w:rPr>
        <w:t>Vi anser att även tunga fordon borde inkluderas av förslaget.</w:t>
      </w:r>
      <w:r>
        <w:rPr>
          <w:color w:val="000000"/>
          <w:sz w:val="22"/>
          <w:szCs w:val="22"/>
        </w:rPr>
        <w:t xml:space="preserve"> </w:t>
      </w:r>
      <w:r w:rsidRPr="00430803">
        <w:rPr>
          <w:color w:val="000000"/>
          <w:sz w:val="22"/>
          <w:szCs w:val="22"/>
        </w:rPr>
        <w:t xml:space="preserve">Det är även viktigt att ställa krav/uppmana till väl utbyggd </w:t>
      </w:r>
      <w:proofErr w:type="spellStart"/>
      <w:r w:rsidRPr="00430803">
        <w:rPr>
          <w:color w:val="000000"/>
          <w:sz w:val="22"/>
          <w:szCs w:val="22"/>
        </w:rPr>
        <w:t>laddinfra</w:t>
      </w:r>
      <w:r>
        <w:rPr>
          <w:color w:val="000000"/>
          <w:sz w:val="22"/>
          <w:szCs w:val="22"/>
        </w:rPr>
        <w:softHyphen/>
      </w:r>
      <w:r w:rsidRPr="00430803">
        <w:rPr>
          <w:color w:val="000000"/>
          <w:sz w:val="22"/>
          <w:szCs w:val="22"/>
        </w:rPr>
        <w:t>struk</w:t>
      </w:r>
      <w:r>
        <w:rPr>
          <w:color w:val="000000"/>
          <w:sz w:val="22"/>
          <w:szCs w:val="22"/>
        </w:rPr>
        <w:softHyphen/>
      </w:r>
      <w:r w:rsidRPr="00430803">
        <w:rPr>
          <w:color w:val="000000"/>
          <w:sz w:val="22"/>
          <w:szCs w:val="22"/>
        </w:rPr>
        <w:t>tur</w:t>
      </w:r>
      <w:proofErr w:type="spellEnd"/>
      <w:r w:rsidRPr="00430803">
        <w:rPr>
          <w:color w:val="000000"/>
          <w:sz w:val="22"/>
          <w:szCs w:val="22"/>
        </w:rPr>
        <w:t>.</w:t>
      </w:r>
      <w:r>
        <w:rPr>
          <w:color w:val="000000"/>
          <w:sz w:val="22"/>
          <w:szCs w:val="22"/>
        </w:rPr>
        <w:t xml:space="preserve"> </w:t>
      </w:r>
      <w:r w:rsidRPr="00430803">
        <w:rPr>
          <w:color w:val="000000"/>
          <w:sz w:val="22"/>
          <w:szCs w:val="22"/>
        </w:rPr>
        <w:t>Fullt fokus bör ligga på elektrifiering, inte ”</w:t>
      </w:r>
      <w:proofErr w:type="spellStart"/>
      <w:r w:rsidRPr="00430803">
        <w:rPr>
          <w:color w:val="000000"/>
          <w:sz w:val="22"/>
          <w:szCs w:val="22"/>
        </w:rPr>
        <w:t>low</w:t>
      </w:r>
      <w:proofErr w:type="spellEnd"/>
      <w:r w:rsidRPr="00430803">
        <w:rPr>
          <w:color w:val="000000"/>
          <w:sz w:val="22"/>
          <w:szCs w:val="22"/>
        </w:rPr>
        <w:t xml:space="preserve">-emission </w:t>
      </w:r>
      <w:proofErr w:type="spellStart"/>
      <w:r w:rsidRPr="00430803">
        <w:rPr>
          <w:color w:val="000000"/>
          <w:sz w:val="22"/>
          <w:szCs w:val="22"/>
        </w:rPr>
        <w:t>vehicles</w:t>
      </w:r>
      <w:proofErr w:type="spellEnd"/>
      <w:r w:rsidRPr="00430803">
        <w:rPr>
          <w:color w:val="000000"/>
          <w:sz w:val="22"/>
          <w:szCs w:val="22"/>
        </w:rPr>
        <w:t>”.</w:t>
      </w:r>
    </w:p>
    <w:p w14:paraId="64D013E4" w14:textId="77777777" w:rsidR="00FF3B97" w:rsidRPr="00430803" w:rsidRDefault="00FF3B97" w:rsidP="00FF3B97">
      <w:pPr>
        <w:tabs>
          <w:tab w:val="left" w:pos="1701"/>
        </w:tabs>
        <w:rPr>
          <w:color w:val="000000"/>
          <w:sz w:val="22"/>
          <w:szCs w:val="22"/>
        </w:rPr>
      </w:pPr>
    </w:p>
    <w:p w14:paraId="1D97FB41" w14:textId="77777777" w:rsidR="00FF3B97" w:rsidRPr="00430803" w:rsidRDefault="00FF3B97" w:rsidP="00FF3B97">
      <w:pPr>
        <w:tabs>
          <w:tab w:val="left" w:pos="1701"/>
        </w:tabs>
        <w:rPr>
          <w:b/>
          <w:bCs/>
          <w:color w:val="000000"/>
          <w:sz w:val="22"/>
          <w:szCs w:val="22"/>
        </w:rPr>
      </w:pPr>
      <w:r w:rsidRPr="00430803">
        <w:rPr>
          <w:b/>
          <w:bCs/>
          <w:color w:val="000000"/>
          <w:sz w:val="22"/>
          <w:szCs w:val="22"/>
        </w:rPr>
        <w:t>C-ledamoten anmälde följande avvikande ståndpunkt:</w:t>
      </w:r>
    </w:p>
    <w:p w14:paraId="6A8EB5E4" w14:textId="77777777" w:rsidR="00FF3B97" w:rsidRPr="002D4764" w:rsidRDefault="00FF3B97" w:rsidP="00FF3B97">
      <w:pPr>
        <w:rPr>
          <w:sz w:val="22"/>
          <w:szCs w:val="22"/>
        </w:rPr>
      </w:pPr>
      <w:r w:rsidRPr="002D4764">
        <w:rPr>
          <w:sz w:val="22"/>
          <w:szCs w:val="22"/>
        </w:rPr>
        <w:t xml:space="preserve">Regeringen delar kommissionens slutsats att marknadsetableringen av nollutsläppsfordon går för långsamt i delar av EU och att omställningen av EU:s transportsektor behöver påskyndas. Regeringen ser emellertid </w:t>
      </w:r>
      <w:r w:rsidRPr="002D4764">
        <w:rPr>
          <w:strike/>
          <w:sz w:val="22"/>
          <w:szCs w:val="22"/>
        </w:rPr>
        <w:t xml:space="preserve">stora </w:t>
      </w:r>
      <w:r w:rsidRPr="002D4764">
        <w:rPr>
          <w:color w:val="FF0000"/>
          <w:sz w:val="22"/>
          <w:szCs w:val="22"/>
        </w:rPr>
        <w:t>vissa</w:t>
      </w:r>
      <w:r>
        <w:rPr>
          <w:sz w:val="22"/>
          <w:szCs w:val="22"/>
        </w:rPr>
        <w:t xml:space="preserve"> </w:t>
      </w:r>
      <w:r w:rsidRPr="002D4764">
        <w:rPr>
          <w:sz w:val="22"/>
          <w:szCs w:val="22"/>
        </w:rPr>
        <w:t xml:space="preserve">svårigheter med förslaget.  </w:t>
      </w:r>
    </w:p>
    <w:p w14:paraId="7FE4DE64" w14:textId="77777777" w:rsidR="00FF3B97" w:rsidRPr="002D4764" w:rsidRDefault="00FF3B97" w:rsidP="00FF3B97">
      <w:pPr>
        <w:rPr>
          <w:sz w:val="22"/>
          <w:szCs w:val="22"/>
        </w:rPr>
      </w:pPr>
      <w:r w:rsidRPr="00430803">
        <w:rPr>
          <w:sz w:val="22"/>
          <w:szCs w:val="22"/>
        </w:rPr>
        <w:t> </w:t>
      </w:r>
    </w:p>
    <w:p w14:paraId="0A34981E" w14:textId="77777777" w:rsidR="00FF3B97" w:rsidRPr="00973C19" w:rsidRDefault="00FF3B97" w:rsidP="00FF3B97">
      <w:pPr>
        <w:rPr>
          <w:sz w:val="22"/>
          <w:szCs w:val="22"/>
        </w:rPr>
      </w:pPr>
      <w:r w:rsidRPr="002D4764">
        <w:rPr>
          <w:sz w:val="22"/>
          <w:szCs w:val="22"/>
        </w:rPr>
        <w:t xml:space="preserve">Regeringen konstaterar att det finns flera styrmedel och mål på EU-nivå som syftar till att minska EU:s utsläpp av växthusgaser, inklusive från vägtrafiken.  Regeringen ifrågasätter ytterligare bindande nationella mål om andelen nyregistrerade utsläppsfria och utsläppssnåla fordon, </w:t>
      </w:r>
      <w:r w:rsidRPr="002D4764">
        <w:rPr>
          <w:strike/>
          <w:sz w:val="22"/>
          <w:szCs w:val="22"/>
        </w:rPr>
        <w:t xml:space="preserve">då dessa riskerar att öka kostnaderna för att nå EU:s klimatmål och missgynna länder som har gått före i omställningen. </w:t>
      </w:r>
      <w:r w:rsidRPr="002D4764">
        <w:rPr>
          <w:color w:val="FF0000"/>
          <w:sz w:val="22"/>
          <w:szCs w:val="22"/>
        </w:rPr>
        <w:t xml:space="preserve">men ser i stället tydligare krav på uppföljning, nationella planer och standardiserade scenarion som lämpliga åtgärder. Det vore också välkommet med ett tydliggörande av att kraftfulla sanktioner mot medlemsstater som inte lever upp till sina åtaganden kommer utdömas.  </w:t>
      </w:r>
    </w:p>
    <w:p w14:paraId="1EBC7F0F" w14:textId="77777777" w:rsidR="00FF3B97" w:rsidRPr="002D4764" w:rsidRDefault="00FF3B97" w:rsidP="00FF3B97">
      <w:pPr>
        <w:rPr>
          <w:sz w:val="22"/>
          <w:szCs w:val="22"/>
        </w:rPr>
      </w:pPr>
    </w:p>
    <w:p w14:paraId="406312DA" w14:textId="77777777" w:rsidR="00FF3B97" w:rsidRPr="002D4764" w:rsidRDefault="00FF3B97" w:rsidP="00FF3B97">
      <w:pPr>
        <w:rPr>
          <w:sz w:val="22"/>
          <w:szCs w:val="22"/>
        </w:rPr>
      </w:pPr>
      <w:r w:rsidRPr="002D4764">
        <w:rPr>
          <w:sz w:val="22"/>
          <w:szCs w:val="22"/>
        </w:rPr>
        <w:t>Vad gäller införande av incitament med krav på EU-tillverkning är regeringens övergripande inställ</w:t>
      </w:r>
      <w:r>
        <w:rPr>
          <w:sz w:val="22"/>
          <w:szCs w:val="22"/>
        </w:rPr>
        <w:softHyphen/>
      </w:r>
      <w:r w:rsidRPr="002D4764">
        <w:rPr>
          <w:sz w:val="22"/>
          <w:szCs w:val="22"/>
        </w:rPr>
        <w:t>ning att detta bör tillämpas som en åtgärd först efter att</w:t>
      </w:r>
      <w:r>
        <w:rPr>
          <w:sz w:val="22"/>
          <w:szCs w:val="22"/>
        </w:rPr>
        <w:t xml:space="preserve"> </w:t>
      </w:r>
      <w:r w:rsidRPr="002D4764">
        <w:rPr>
          <w:sz w:val="22"/>
          <w:szCs w:val="22"/>
        </w:rPr>
        <w:t>andra visat sig otillräckliga och då vara tids</w:t>
      </w:r>
      <w:r>
        <w:rPr>
          <w:sz w:val="22"/>
          <w:szCs w:val="22"/>
        </w:rPr>
        <w:softHyphen/>
      </w:r>
      <w:r w:rsidRPr="002D4764">
        <w:rPr>
          <w:sz w:val="22"/>
          <w:szCs w:val="22"/>
        </w:rPr>
        <w:t>begränsade. De bör gälla inom noggrant definierade områden där EU har ett strategiskt högrisk</w:t>
      </w:r>
      <w:r>
        <w:rPr>
          <w:sz w:val="22"/>
          <w:szCs w:val="22"/>
        </w:rPr>
        <w:softHyphen/>
      </w:r>
      <w:r w:rsidRPr="002D4764">
        <w:rPr>
          <w:sz w:val="22"/>
          <w:szCs w:val="22"/>
        </w:rPr>
        <w:t xml:space="preserve">beroende och utformas på ett sätt som inte snedvrider konkurrensen på den inre marknaden, </w:t>
      </w:r>
    </w:p>
    <w:p w14:paraId="33D71C13" w14:textId="77777777" w:rsidR="00FF3B97" w:rsidRPr="002D4764" w:rsidRDefault="00FF3B97" w:rsidP="00FF3B97">
      <w:pPr>
        <w:rPr>
          <w:sz w:val="22"/>
          <w:szCs w:val="22"/>
        </w:rPr>
      </w:pPr>
      <w:r>
        <w:rPr>
          <w:sz w:val="22"/>
          <w:szCs w:val="22"/>
        </w:rPr>
        <w:t>f</w:t>
      </w:r>
      <w:r w:rsidRPr="002D4764">
        <w:rPr>
          <w:sz w:val="22"/>
          <w:szCs w:val="22"/>
        </w:rPr>
        <w:t>ör</w:t>
      </w:r>
      <w:r>
        <w:rPr>
          <w:sz w:val="22"/>
          <w:szCs w:val="22"/>
        </w:rPr>
        <w:softHyphen/>
      </w:r>
      <w:r w:rsidRPr="002D4764">
        <w:rPr>
          <w:sz w:val="22"/>
          <w:szCs w:val="22"/>
        </w:rPr>
        <w:t>säm</w:t>
      </w:r>
      <w:r>
        <w:rPr>
          <w:sz w:val="22"/>
          <w:szCs w:val="22"/>
        </w:rPr>
        <w:softHyphen/>
      </w:r>
      <w:r w:rsidRPr="002D4764">
        <w:rPr>
          <w:sz w:val="22"/>
          <w:szCs w:val="22"/>
        </w:rPr>
        <w:t xml:space="preserve">rar handelsrelationer med likasinnade partners eller leder till en administrativ börda. Vidare är det viktigt att incitament som införs utformas så att det gynnar föregångare i omställningen och gynnar svensk </w:t>
      </w:r>
      <w:r w:rsidRPr="002D4764">
        <w:rPr>
          <w:sz w:val="22"/>
          <w:szCs w:val="22"/>
        </w:rPr>
        <w:lastRenderedPageBreak/>
        <w:t xml:space="preserve">industris konkurrenskraft liksom gör det möjligt att ligga i framkant i omställningen till </w:t>
      </w:r>
    </w:p>
    <w:p w14:paraId="5E5CC770" w14:textId="77777777" w:rsidR="00FF3B97" w:rsidRPr="002D4764" w:rsidRDefault="00FF3B97" w:rsidP="00FF3B97">
      <w:pPr>
        <w:rPr>
          <w:sz w:val="22"/>
          <w:szCs w:val="22"/>
        </w:rPr>
      </w:pPr>
      <w:r w:rsidRPr="002D4764">
        <w:rPr>
          <w:sz w:val="22"/>
          <w:szCs w:val="22"/>
        </w:rPr>
        <w:t xml:space="preserve">utsläppsfria och utsläppssnåla fordon. </w:t>
      </w:r>
    </w:p>
    <w:p w14:paraId="285BF8EB" w14:textId="77777777" w:rsidR="00FF3B97" w:rsidRPr="002D4764" w:rsidRDefault="00FF3B97" w:rsidP="00FF3B97">
      <w:pPr>
        <w:rPr>
          <w:sz w:val="22"/>
          <w:szCs w:val="22"/>
        </w:rPr>
      </w:pPr>
    </w:p>
    <w:p w14:paraId="6B69120E" w14:textId="77777777" w:rsidR="00FF3B97" w:rsidRPr="002D4764" w:rsidRDefault="00FF3B97" w:rsidP="00FF3B97">
      <w:pPr>
        <w:rPr>
          <w:strike/>
          <w:sz w:val="22"/>
          <w:szCs w:val="22"/>
        </w:rPr>
      </w:pPr>
      <w:r w:rsidRPr="002D4764">
        <w:rPr>
          <w:strike/>
          <w:sz w:val="22"/>
          <w:szCs w:val="22"/>
        </w:rPr>
        <w:t xml:space="preserve">Regeringen konstaterar att förslagets konsekvensanalys saknar bland annat beräkningar på effekter på olika delar av transportmarknaden, exempelvis för transportköpare och fordonsindustri. Vidare att det är nödvändigt med klargöranden i en rad frågor i förslaget. </w:t>
      </w:r>
    </w:p>
    <w:p w14:paraId="38E69640" w14:textId="77777777" w:rsidR="00FF3B97" w:rsidRPr="002D4764" w:rsidRDefault="00FF3B97" w:rsidP="00FF3B97">
      <w:pPr>
        <w:rPr>
          <w:sz w:val="22"/>
          <w:szCs w:val="22"/>
        </w:rPr>
      </w:pPr>
    </w:p>
    <w:p w14:paraId="011EF623" w14:textId="77777777" w:rsidR="00FF3B97" w:rsidRPr="002D4764" w:rsidRDefault="00FF3B97" w:rsidP="00FF3B97">
      <w:pPr>
        <w:rPr>
          <w:sz w:val="22"/>
          <w:szCs w:val="22"/>
        </w:rPr>
      </w:pPr>
      <w:r w:rsidRPr="002D4764">
        <w:rPr>
          <w:sz w:val="22"/>
          <w:szCs w:val="22"/>
        </w:rPr>
        <w:t xml:space="preserve">Det är en prioritering för regeringen att företagens regelbörda ska minska. Nya eller ändrade regler bör vara tydliga både för att de ska vara enkla för företagen att följa och för myndigheterna att tillämpa och följa upp. Överreglering och onödiga krav på företag bör undvikas i enlighet med regeringens </w:t>
      </w:r>
    </w:p>
    <w:p w14:paraId="1BD54AE0" w14:textId="77777777" w:rsidR="00FF3B97" w:rsidRPr="002D4764" w:rsidRDefault="00FF3B97" w:rsidP="00FF3B97">
      <w:pPr>
        <w:rPr>
          <w:sz w:val="22"/>
          <w:szCs w:val="22"/>
        </w:rPr>
      </w:pPr>
      <w:r w:rsidRPr="002D4764">
        <w:rPr>
          <w:sz w:val="22"/>
          <w:szCs w:val="22"/>
        </w:rPr>
        <w:t xml:space="preserve">förenklingsagenda. </w:t>
      </w:r>
    </w:p>
    <w:p w14:paraId="60A622A7" w14:textId="77777777" w:rsidR="00FF3B97" w:rsidRPr="002D4764" w:rsidRDefault="00FF3B97" w:rsidP="00FF3B97">
      <w:pPr>
        <w:rPr>
          <w:sz w:val="22"/>
          <w:szCs w:val="22"/>
        </w:rPr>
      </w:pPr>
    </w:p>
    <w:p w14:paraId="608C5D9C" w14:textId="77777777" w:rsidR="00FF3B97" w:rsidRPr="002D4764" w:rsidRDefault="00FF3B97" w:rsidP="00FF3B97">
      <w:pPr>
        <w:rPr>
          <w:sz w:val="22"/>
          <w:szCs w:val="22"/>
        </w:rPr>
      </w:pPr>
      <w:r w:rsidRPr="002D4764">
        <w:rPr>
          <w:sz w:val="22"/>
          <w:szCs w:val="22"/>
        </w:rPr>
        <w:t xml:space="preserve">Vidare avser regeringen att efterlysa klargöranden kring hur förordningens bestämmelse om ekonomiskt stöd till företagsfordon förhåller sig till skatteområdet, bland annat vad gäller rättslig grund. Regeringen är principiellt emot ökad harmonisering av skatter på EU-nivå, det gäller i synnerhet på området för direkt skatt. Nyttan av att ha harmoniserade regler måste i varje enskilt fall vägas mot bl.a. den inskränkning av medlemsstaternas möjligheter att införa och utforma egna nationella skatteregler som en harmonisering medför.  </w:t>
      </w:r>
    </w:p>
    <w:p w14:paraId="03F01247" w14:textId="77777777" w:rsidR="00FF3B97" w:rsidRPr="002D4764" w:rsidRDefault="00FF3B97" w:rsidP="00FF3B97">
      <w:pPr>
        <w:rPr>
          <w:sz w:val="22"/>
          <w:szCs w:val="22"/>
        </w:rPr>
      </w:pPr>
    </w:p>
    <w:p w14:paraId="2BF9D0C9" w14:textId="77777777" w:rsidR="00FF3B97" w:rsidRDefault="00FF3B97" w:rsidP="00FF3B97">
      <w:pPr>
        <w:rPr>
          <w:sz w:val="22"/>
          <w:szCs w:val="22"/>
        </w:rPr>
      </w:pPr>
      <w:r w:rsidRPr="002D4764">
        <w:rPr>
          <w:sz w:val="22"/>
          <w:szCs w:val="22"/>
        </w:rPr>
        <w:t xml:space="preserve">Regeringen avser att verka för ett </w:t>
      </w:r>
      <w:proofErr w:type="spellStart"/>
      <w:r w:rsidRPr="002D4764">
        <w:rPr>
          <w:sz w:val="22"/>
          <w:szCs w:val="22"/>
        </w:rPr>
        <w:t>EU-regelverk</w:t>
      </w:r>
      <w:proofErr w:type="spellEnd"/>
      <w:r w:rsidRPr="002D4764">
        <w:rPr>
          <w:sz w:val="22"/>
          <w:szCs w:val="22"/>
        </w:rPr>
        <w:t xml:space="preserve"> som bidrar till industrins konkurrenskraft, samhälls</w:t>
      </w:r>
      <w:r>
        <w:rPr>
          <w:sz w:val="22"/>
          <w:szCs w:val="22"/>
        </w:rPr>
        <w:softHyphen/>
      </w:r>
      <w:r w:rsidRPr="002D4764">
        <w:rPr>
          <w:sz w:val="22"/>
          <w:szCs w:val="22"/>
        </w:rPr>
        <w:t>ekonomisk effektivitet, flexibilitet och teknikneutralitet. Regler bör vara träffsäkra och inte medföra onödiga administrativa bördor för företag och myndigheter. Utifrån ett offentligt</w:t>
      </w:r>
      <w:r>
        <w:rPr>
          <w:sz w:val="22"/>
          <w:szCs w:val="22"/>
        </w:rPr>
        <w:t xml:space="preserve"> </w:t>
      </w:r>
      <w:r w:rsidRPr="002D4764">
        <w:rPr>
          <w:sz w:val="22"/>
          <w:szCs w:val="22"/>
        </w:rPr>
        <w:t xml:space="preserve">finansiellt perspektiv ska effekterna vara noga balanserade och hållbara även på sikt. </w:t>
      </w:r>
      <w:r w:rsidRPr="002D4764">
        <w:rPr>
          <w:strike/>
          <w:sz w:val="22"/>
          <w:szCs w:val="22"/>
        </w:rPr>
        <w:t>Regeringen kan inte se att förslaget i dess nuvarande utformning sammantaget lever upp till dessa kriterier.</w:t>
      </w:r>
    </w:p>
    <w:p w14:paraId="29CB8231" w14:textId="77777777" w:rsidR="00FF3B97" w:rsidRPr="00430803" w:rsidRDefault="00FF3B97" w:rsidP="00FF3B97">
      <w:pPr>
        <w:rPr>
          <w:sz w:val="22"/>
          <w:szCs w:val="22"/>
        </w:rPr>
      </w:pPr>
    </w:p>
    <w:p w14:paraId="7F4E5D1A" w14:textId="77777777" w:rsidR="00FF3B97" w:rsidRPr="00430803" w:rsidRDefault="00FF3B97" w:rsidP="00FF3B97">
      <w:pPr>
        <w:tabs>
          <w:tab w:val="left" w:pos="1701"/>
        </w:tabs>
        <w:rPr>
          <w:b/>
          <w:bCs/>
          <w:color w:val="000000"/>
          <w:sz w:val="22"/>
          <w:szCs w:val="22"/>
        </w:rPr>
      </w:pPr>
      <w:r w:rsidRPr="00430803">
        <w:rPr>
          <w:b/>
          <w:bCs/>
          <w:color w:val="000000"/>
          <w:sz w:val="22"/>
          <w:szCs w:val="22"/>
        </w:rPr>
        <w:t>MP-ledamoten anmälde följande avvikande ståndpunkt:</w:t>
      </w:r>
    </w:p>
    <w:bookmarkEnd w:id="4"/>
    <w:p w14:paraId="7C569D56" w14:textId="77777777" w:rsidR="00FF3B97" w:rsidRPr="00430803" w:rsidRDefault="00FF3B97" w:rsidP="00FF3B97">
      <w:pPr>
        <w:rPr>
          <w:sz w:val="22"/>
          <w:szCs w:val="22"/>
        </w:rPr>
      </w:pPr>
      <w:r w:rsidRPr="00430803">
        <w:rPr>
          <w:sz w:val="22"/>
          <w:szCs w:val="22"/>
        </w:rPr>
        <w:t>Regeringen delar kommissionens slutsats att marknadsetableringen av nollutsläppsfordon går för långsamt i delar av EU och att omställningen av EU:s transportsektor behöver påskyndas.</w:t>
      </w:r>
      <w:r w:rsidRPr="00430803">
        <w:rPr>
          <w:sz w:val="22"/>
          <w:szCs w:val="22"/>
        </w:rPr>
        <w:br/>
        <w:t> </w:t>
      </w:r>
    </w:p>
    <w:p w14:paraId="21DEE5DA" w14:textId="77777777" w:rsidR="00FF3B97" w:rsidRPr="00430803" w:rsidRDefault="00FF3B97" w:rsidP="00FF3B97">
      <w:pPr>
        <w:rPr>
          <w:color w:val="FF0000"/>
          <w:sz w:val="22"/>
          <w:szCs w:val="22"/>
        </w:rPr>
      </w:pPr>
      <w:r w:rsidRPr="00430803">
        <w:rPr>
          <w:sz w:val="22"/>
          <w:szCs w:val="22"/>
        </w:rPr>
        <w:t xml:space="preserve">Regeringen konstaterar att det finns flera styrmedel och mål på EU-nivå som syftar till att minska EU:s utsläpp av växthusgaser, inklusive från vägtrafiken. </w:t>
      </w:r>
      <w:r w:rsidRPr="00430803">
        <w:rPr>
          <w:color w:val="FF0000"/>
          <w:sz w:val="22"/>
          <w:szCs w:val="22"/>
        </w:rPr>
        <w:t>Regeringen anser att bindande nationella mål om andelen nyregistrerade utsläppsfria och utsläppssnåla fordon kan ge styrkraft och öka tydligheten vilket kan förenkla för företagen, ge långsiktighet för tillverkare och underlätta för myndigheter att följa upp. </w:t>
      </w:r>
    </w:p>
    <w:p w14:paraId="7F24AE8A" w14:textId="77777777" w:rsidR="00FF3B97" w:rsidRPr="00430803" w:rsidRDefault="00FF3B97" w:rsidP="00FF3B97">
      <w:pPr>
        <w:rPr>
          <w:strike/>
          <w:color w:val="FF0000"/>
          <w:sz w:val="22"/>
          <w:szCs w:val="22"/>
        </w:rPr>
      </w:pPr>
      <w:r w:rsidRPr="00430803">
        <w:rPr>
          <w:strike/>
          <w:sz w:val="22"/>
          <w:szCs w:val="22"/>
        </w:rPr>
        <w:br/>
        <w:t>Regeringen ser emellertid stora svårigheter med förslaget. Regeringen konstaterar att det finns flera styrmedel och mål på EU-nivå som syftar till att minska EU:s utsläpp av växthusgaser, inklusive från vägtrafiken. Regeringen ifrågasätter ytterligare bindande nationella mål om andelen nyregistrerade utsläppsfria och utsläppssnåla fordon, då dessa riskerar att öka kostnaderna för att nå EU:s klimatmål och missgynna länder som har gått före i omställningen.</w:t>
      </w:r>
    </w:p>
    <w:p w14:paraId="3D48D5E0" w14:textId="77777777" w:rsidR="00FF3B97" w:rsidRPr="00430803" w:rsidRDefault="00FF3B97" w:rsidP="00FF3B97">
      <w:pPr>
        <w:rPr>
          <w:sz w:val="22"/>
          <w:szCs w:val="22"/>
        </w:rPr>
      </w:pPr>
      <w:r w:rsidRPr="00430803">
        <w:rPr>
          <w:sz w:val="22"/>
          <w:szCs w:val="22"/>
        </w:rPr>
        <w:br/>
        <w:t>Vad gäller införande av incitament med krav på EU-tillverkning är regeringens övergripande inställ</w:t>
      </w:r>
      <w:r>
        <w:rPr>
          <w:sz w:val="22"/>
          <w:szCs w:val="22"/>
        </w:rPr>
        <w:softHyphen/>
      </w:r>
      <w:r w:rsidRPr="00430803">
        <w:rPr>
          <w:sz w:val="22"/>
          <w:szCs w:val="22"/>
        </w:rPr>
        <w:t>ning att detta bör tillämpas som en åtgärd först efter att andra visat sig otillräckliga och då vara tids</w:t>
      </w:r>
      <w:r>
        <w:rPr>
          <w:sz w:val="22"/>
          <w:szCs w:val="22"/>
        </w:rPr>
        <w:softHyphen/>
      </w:r>
      <w:r w:rsidRPr="00430803">
        <w:rPr>
          <w:sz w:val="22"/>
          <w:szCs w:val="22"/>
        </w:rPr>
        <w:t>begränsade. De bör gälla inom noggrant definierade områden där EU har ett strategiskt högrisk</w:t>
      </w:r>
      <w:r>
        <w:rPr>
          <w:sz w:val="22"/>
          <w:szCs w:val="22"/>
        </w:rPr>
        <w:softHyphen/>
      </w:r>
      <w:r w:rsidRPr="00430803">
        <w:rPr>
          <w:sz w:val="22"/>
          <w:szCs w:val="22"/>
        </w:rPr>
        <w:t>beroende och utformas på ett sätt som inte snedvrider konkurrensen på den inre marknaden, försämrar handels</w:t>
      </w:r>
      <w:r>
        <w:rPr>
          <w:sz w:val="22"/>
          <w:szCs w:val="22"/>
        </w:rPr>
        <w:softHyphen/>
      </w:r>
      <w:r w:rsidRPr="00430803">
        <w:rPr>
          <w:sz w:val="22"/>
          <w:szCs w:val="22"/>
        </w:rPr>
        <w:t>relationer med likasinnade partners eller leder till en administrativ börda. Vidare är det viktigt att incitament som införs utformas så att det gynnar föregångare i omställningen och gynnar svensk industris konkurrenskraft liksom gör det möjligt att ligga i framkant i omställningen till utsläppsfria och utsläppssnåla fordon. </w:t>
      </w:r>
    </w:p>
    <w:p w14:paraId="2E41C206" w14:textId="77777777" w:rsidR="00FF3B97" w:rsidRPr="00430803" w:rsidRDefault="00FF3B97" w:rsidP="00FF3B97">
      <w:pPr>
        <w:rPr>
          <w:sz w:val="22"/>
          <w:szCs w:val="22"/>
        </w:rPr>
      </w:pPr>
      <w:r w:rsidRPr="00430803">
        <w:rPr>
          <w:sz w:val="22"/>
          <w:szCs w:val="22"/>
        </w:rPr>
        <w:br/>
        <w:t>Regeringen konstaterar att förslagets konsekvensanalys saknar bland annat beräkningar på effekter på olika delar av transportmarknaden, exempelvis för transportköpare och fordonsindustri. Vidare att det är nödvändigt med klargöranden i en rad frågor i förslaget. Det är en prioritering för regeringen att företagens regelbörda ska minska. Nya eller ändrade regler bör vara tydliga både för att de ska vara enkla för företagen att följa och för myndigheterna att tillämpa och följa upp.</w:t>
      </w:r>
    </w:p>
    <w:p w14:paraId="2BBD3D3E" w14:textId="77777777" w:rsidR="00FF3B97" w:rsidRPr="00430803" w:rsidRDefault="00FF3B97" w:rsidP="00FF3B97">
      <w:pPr>
        <w:rPr>
          <w:strike/>
          <w:sz w:val="22"/>
          <w:szCs w:val="22"/>
        </w:rPr>
      </w:pPr>
      <w:r w:rsidRPr="00430803">
        <w:rPr>
          <w:sz w:val="22"/>
          <w:szCs w:val="22"/>
        </w:rPr>
        <w:br/>
        <w:t>Överreglering och onödiga krav på företag bör undvikas i enlighet med regeringens förenklings</w:t>
      </w:r>
      <w:r>
        <w:rPr>
          <w:sz w:val="22"/>
          <w:szCs w:val="22"/>
        </w:rPr>
        <w:softHyphen/>
      </w:r>
      <w:r w:rsidRPr="00430803">
        <w:rPr>
          <w:sz w:val="22"/>
          <w:szCs w:val="22"/>
        </w:rPr>
        <w:t xml:space="preserve">agenda. Vidare avser regeringen att efterlysa klargöranden kring hur förordningens bestämmelse om ekonomiskt stöd till företagsfordon förhåller sig till skatteområdet. </w:t>
      </w:r>
      <w:r w:rsidRPr="00430803">
        <w:rPr>
          <w:strike/>
          <w:sz w:val="22"/>
          <w:szCs w:val="22"/>
        </w:rPr>
        <w:t xml:space="preserve">bland annat vad gäller rättslig grund. Regeringen är principiellt emot ökad harmonisering av skatter på EU-nivå, det gäller i synnerhet på området för direkt </w:t>
      </w:r>
      <w:r w:rsidRPr="00430803">
        <w:rPr>
          <w:strike/>
          <w:sz w:val="22"/>
          <w:szCs w:val="22"/>
        </w:rPr>
        <w:lastRenderedPageBreak/>
        <w:t>skatt. Nyttan av att ha harmoniserade regler måste i varje enskilt fall vägas mot bl.a. den inskränkning av medlemsstaternas möjligheter att införa och utforma egna nationella skatteregler som en harmonisering medför.</w:t>
      </w:r>
    </w:p>
    <w:p w14:paraId="15E33DEE" w14:textId="77777777" w:rsidR="00FF3B97" w:rsidRPr="00430803" w:rsidRDefault="00FF3B97" w:rsidP="00FF3B97">
      <w:pPr>
        <w:rPr>
          <w:sz w:val="22"/>
          <w:szCs w:val="22"/>
        </w:rPr>
      </w:pPr>
      <w:r w:rsidRPr="00430803">
        <w:rPr>
          <w:sz w:val="22"/>
          <w:szCs w:val="22"/>
        </w:rPr>
        <w:br/>
        <w:t xml:space="preserve">Regeringen avser att verka för ett </w:t>
      </w:r>
      <w:proofErr w:type="spellStart"/>
      <w:r w:rsidRPr="00430803">
        <w:rPr>
          <w:sz w:val="22"/>
          <w:szCs w:val="22"/>
        </w:rPr>
        <w:t>EU-regelverk</w:t>
      </w:r>
      <w:proofErr w:type="spellEnd"/>
      <w:r w:rsidRPr="00430803">
        <w:rPr>
          <w:sz w:val="22"/>
          <w:szCs w:val="22"/>
        </w:rPr>
        <w:t xml:space="preserve"> som bidrar till industrins konkurrenskraft, samhälls</w:t>
      </w:r>
      <w:r>
        <w:rPr>
          <w:sz w:val="22"/>
          <w:szCs w:val="22"/>
        </w:rPr>
        <w:softHyphen/>
      </w:r>
      <w:r w:rsidRPr="00430803">
        <w:rPr>
          <w:sz w:val="22"/>
          <w:szCs w:val="22"/>
        </w:rPr>
        <w:t xml:space="preserve">ekonomisk effektivitet, flexibilitet och teknikneutralitet. Regler bör vara träffsäkra och inte medföra onödiga administrativa bördor för företag och myndigheter. Utifrån ett offentligt finansiellt perspektiv ska effekterna vara noga balanserade och hållbara även på sikt. </w:t>
      </w:r>
      <w:r w:rsidRPr="00430803">
        <w:rPr>
          <w:strike/>
          <w:sz w:val="22"/>
          <w:szCs w:val="22"/>
        </w:rPr>
        <w:t>Regeringen kan inte se att förslaget i dess nuvarande utformning sammantaget lever upp till dessa kriterier.</w:t>
      </w:r>
    </w:p>
    <w:p w14:paraId="49CB9519" w14:textId="77777777" w:rsidR="00FF3B97" w:rsidRPr="00430803" w:rsidRDefault="00FF3B97" w:rsidP="00FF3B97">
      <w:pPr>
        <w:rPr>
          <w:sz w:val="22"/>
          <w:szCs w:val="22"/>
        </w:rPr>
      </w:pPr>
    </w:p>
    <w:p w14:paraId="2223BE6B" w14:textId="77777777" w:rsidR="00FF3B97" w:rsidRPr="001D788E" w:rsidRDefault="00FF3B97" w:rsidP="00FF3B97">
      <w:pPr>
        <w:tabs>
          <w:tab w:val="left" w:pos="1701"/>
        </w:tabs>
        <w:rPr>
          <w:b/>
          <w:bCs/>
          <w:color w:val="000000"/>
          <w:sz w:val="22"/>
          <w:szCs w:val="22"/>
        </w:rPr>
      </w:pPr>
    </w:p>
    <w:p w14:paraId="58C81956" w14:textId="68F6C156" w:rsidR="00FF3B97" w:rsidRPr="00885BCB" w:rsidRDefault="00FF3B97" w:rsidP="00987069">
      <w:pPr>
        <w:tabs>
          <w:tab w:val="left" w:pos="142"/>
          <w:tab w:val="left" w:pos="7655"/>
        </w:tabs>
        <w:ind w:right="-568"/>
        <w:rPr>
          <w:sz w:val="22"/>
          <w:szCs w:val="22"/>
        </w:rPr>
      </w:pPr>
    </w:p>
    <w:sectPr w:rsidR="00FF3B97"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7B2" w14:textId="097B716B" w:rsidR="00B260A5" w:rsidRDefault="00B260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1E05" w14:textId="278A8E22" w:rsidR="00B260A5" w:rsidRDefault="00B260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7E85" w14:textId="76EAC4BD" w:rsidR="00B260A5" w:rsidRDefault="00B26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16cid:durableId="955722489">
    <w:abstractNumId w:val="0"/>
  </w:num>
  <w:num w:numId="2" w16cid:durableId="515537121">
    <w:abstractNumId w:val="1"/>
  </w:num>
  <w:num w:numId="3" w16cid:durableId="1760523404">
    <w:abstractNumId w:val="2"/>
  </w:num>
  <w:num w:numId="4" w16cid:durableId="1623998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5329B"/>
    <w:rsid w:val="000604E3"/>
    <w:rsid w:val="00061437"/>
    <w:rsid w:val="00064523"/>
    <w:rsid w:val="00064A53"/>
    <w:rsid w:val="00070A5C"/>
    <w:rsid w:val="00071FBC"/>
    <w:rsid w:val="0007265A"/>
    <w:rsid w:val="00075001"/>
    <w:rsid w:val="00076BDD"/>
    <w:rsid w:val="0008187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1D3F"/>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2A27"/>
    <w:rsid w:val="00183F5A"/>
    <w:rsid w:val="0018420E"/>
    <w:rsid w:val="00190448"/>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76D36"/>
    <w:rsid w:val="002830F4"/>
    <w:rsid w:val="00286C79"/>
    <w:rsid w:val="00287223"/>
    <w:rsid w:val="002968EE"/>
    <w:rsid w:val="002A14AC"/>
    <w:rsid w:val="002A3C5F"/>
    <w:rsid w:val="002B3A62"/>
    <w:rsid w:val="002C1D92"/>
    <w:rsid w:val="002C2D78"/>
    <w:rsid w:val="002C3A21"/>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74911"/>
    <w:rsid w:val="00374D2C"/>
    <w:rsid w:val="00381298"/>
    <w:rsid w:val="00384217"/>
    <w:rsid w:val="0038725A"/>
    <w:rsid w:val="00387440"/>
    <w:rsid w:val="003941CA"/>
    <w:rsid w:val="00395EBD"/>
    <w:rsid w:val="00396766"/>
    <w:rsid w:val="003A006F"/>
    <w:rsid w:val="003A2D61"/>
    <w:rsid w:val="003B009D"/>
    <w:rsid w:val="003B57EC"/>
    <w:rsid w:val="003B6681"/>
    <w:rsid w:val="003B70D3"/>
    <w:rsid w:val="003D6448"/>
    <w:rsid w:val="003E21B4"/>
    <w:rsid w:val="003E2D8F"/>
    <w:rsid w:val="003E2DA5"/>
    <w:rsid w:val="003E346B"/>
    <w:rsid w:val="003E370A"/>
    <w:rsid w:val="003E6695"/>
    <w:rsid w:val="003F5018"/>
    <w:rsid w:val="003F6C58"/>
    <w:rsid w:val="003F7963"/>
    <w:rsid w:val="0040271E"/>
    <w:rsid w:val="00402A6F"/>
    <w:rsid w:val="00405162"/>
    <w:rsid w:val="004072D7"/>
    <w:rsid w:val="00416E51"/>
    <w:rsid w:val="00417CF8"/>
    <w:rsid w:val="00420D39"/>
    <w:rsid w:val="00430F4B"/>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1D01"/>
    <w:rsid w:val="004A5400"/>
    <w:rsid w:val="004A7C15"/>
    <w:rsid w:val="004B1919"/>
    <w:rsid w:val="004B1E7E"/>
    <w:rsid w:val="004C2710"/>
    <w:rsid w:val="004C58F4"/>
    <w:rsid w:val="004D031E"/>
    <w:rsid w:val="004D6725"/>
    <w:rsid w:val="004E030E"/>
    <w:rsid w:val="004E0E27"/>
    <w:rsid w:val="004E4C8B"/>
    <w:rsid w:val="004E7DCE"/>
    <w:rsid w:val="004F734E"/>
    <w:rsid w:val="00501F97"/>
    <w:rsid w:val="00505A58"/>
    <w:rsid w:val="005118EF"/>
    <w:rsid w:val="005119DB"/>
    <w:rsid w:val="00512799"/>
    <w:rsid w:val="0051377A"/>
    <w:rsid w:val="00513BEE"/>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C2D05"/>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4F51"/>
    <w:rsid w:val="006A63A7"/>
    <w:rsid w:val="006B11A4"/>
    <w:rsid w:val="006C1EB7"/>
    <w:rsid w:val="006C66B9"/>
    <w:rsid w:val="006D05CF"/>
    <w:rsid w:val="006D312E"/>
    <w:rsid w:val="006D37C2"/>
    <w:rsid w:val="006D415C"/>
    <w:rsid w:val="006D4530"/>
    <w:rsid w:val="006D5F8F"/>
    <w:rsid w:val="006E15D9"/>
    <w:rsid w:val="006F4672"/>
    <w:rsid w:val="007027D6"/>
    <w:rsid w:val="00716686"/>
    <w:rsid w:val="007176EA"/>
    <w:rsid w:val="00721C53"/>
    <w:rsid w:val="007236A5"/>
    <w:rsid w:val="007238FF"/>
    <w:rsid w:val="007368BE"/>
    <w:rsid w:val="00740391"/>
    <w:rsid w:val="007453FF"/>
    <w:rsid w:val="007515B2"/>
    <w:rsid w:val="00751E41"/>
    <w:rsid w:val="00751FA0"/>
    <w:rsid w:val="00752EBB"/>
    <w:rsid w:val="00754C4A"/>
    <w:rsid w:val="007555BE"/>
    <w:rsid w:val="00762508"/>
    <w:rsid w:val="00764DCA"/>
    <w:rsid w:val="007719E4"/>
    <w:rsid w:val="00783165"/>
    <w:rsid w:val="00784409"/>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1DD4"/>
    <w:rsid w:val="008124A2"/>
    <w:rsid w:val="00821792"/>
    <w:rsid w:val="00821BA4"/>
    <w:rsid w:val="00822A2F"/>
    <w:rsid w:val="00834E22"/>
    <w:rsid w:val="0083607A"/>
    <w:rsid w:val="0084464A"/>
    <w:rsid w:val="008458B4"/>
    <w:rsid w:val="008504EB"/>
    <w:rsid w:val="00856389"/>
    <w:rsid w:val="00865092"/>
    <w:rsid w:val="00865593"/>
    <w:rsid w:val="00865C85"/>
    <w:rsid w:val="008856C5"/>
    <w:rsid w:val="00885BCB"/>
    <w:rsid w:val="00886349"/>
    <w:rsid w:val="0089370A"/>
    <w:rsid w:val="00894936"/>
    <w:rsid w:val="0089673E"/>
    <w:rsid w:val="00897784"/>
    <w:rsid w:val="008A28BD"/>
    <w:rsid w:val="008A2C1B"/>
    <w:rsid w:val="008B5472"/>
    <w:rsid w:val="008B5D35"/>
    <w:rsid w:val="008B7CC5"/>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14E9E"/>
    <w:rsid w:val="00921E40"/>
    <w:rsid w:val="009222A6"/>
    <w:rsid w:val="00922EB0"/>
    <w:rsid w:val="00931E92"/>
    <w:rsid w:val="009334A9"/>
    <w:rsid w:val="009339E5"/>
    <w:rsid w:val="009442D4"/>
    <w:rsid w:val="00952893"/>
    <w:rsid w:val="00952D48"/>
    <w:rsid w:val="00955CA2"/>
    <w:rsid w:val="00957490"/>
    <w:rsid w:val="0096516B"/>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3626"/>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0952"/>
    <w:rsid w:val="00A51307"/>
    <w:rsid w:val="00A645AD"/>
    <w:rsid w:val="00A64CA0"/>
    <w:rsid w:val="00A6580E"/>
    <w:rsid w:val="00A65C53"/>
    <w:rsid w:val="00A67622"/>
    <w:rsid w:val="00A702BD"/>
    <w:rsid w:val="00A71AF0"/>
    <w:rsid w:val="00A746E4"/>
    <w:rsid w:val="00A77913"/>
    <w:rsid w:val="00A83ACB"/>
    <w:rsid w:val="00A846AA"/>
    <w:rsid w:val="00A86BF9"/>
    <w:rsid w:val="00A941DB"/>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05E6F"/>
    <w:rsid w:val="00B10BE1"/>
    <w:rsid w:val="00B16183"/>
    <w:rsid w:val="00B16C18"/>
    <w:rsid w:val="00B17E2D"/>
    <w:rsid w:val="00B22F3B"/>
    <w:rsid w:val="00B24B9D"/>
    <w:rsid w:val="00B260A5"/>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77A5F"/>
    <w:rsid w:val="00B80318"/>
    <w:rsid w:val="00B83B89"/>
    <w:rsid w:val="00B86868"/>
    <w:rsid w:val="00B916EB"/>
    <w:rsid w:val="00B92FE4"/>
    <w:rsid w:val="00B96E81"/>
    <w:rsid w:val="00BA305B"/>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11FC"/>
    <w:rsid w:val="00CC5952"/>
    <w:rsid w:val="00CC6057"/>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090"/>
    <w:rsid w:val="00E1579E"/>
    <w:rsid w:val="00E20F9E"/>
    <w:rsid w:val="00E21ED8"/>
    <w:rsid w:val="00E2386B"/>
    <w:rsid w:val="00E32CDB"/>
    <w:rsid w:val="00E43C72"/>
    <w:rsid w:val="00E44E30"/>
    <w:rsid w:val="00E47577"/>
    <w:rsid w:val="00E53E73"/>
    <w:rsid w:val="00E5426C"/>
    <w:rsid w:val="00E54E79"/>
    <w:rsid w:val="00E60AE8"/>
    <w:rsid w:val="00E937E1"/>
    <w:rsid w:val="00E97B98"/>
    <w:rsid w:val="00EA5C1E"/>
    <w:rsid w:val="00EB321F"/>
    <w:rsid w:val="00EB5441"/>
    <w:rsid w:val="00EB5801"/>
    <w:rsid w:val="00EC1B9A"/>
    <w:rsid w:val="00EC74C5"/>
    <w:rsid w:val="00EC7E9B"/>
    <w:rsid w:val="00EE0BF7"/>
    <w:rsid w:val="00EE43DC"/>
    <w:rsid w:val="00EE6E7B"/>
    <w:rsid w:val="00EF1B0A"/>
    <w:rsid w:val="00EF4ADF"/>
    <w:rsid w:val="00EF4B6A"/>
    <w:rsid w:val="00F06942"/>
    <w:rsid w:val="00F13B23"/>
    <w:rsid w:val="00F143DB"/>
    <w:rsid w:val="00F152D4"/>
    <w:rsid w:val="00F25AFF"/>
    <w:rsid w:val="00F31840"/>
    <w:rsid w:val="00F367F0"/>
    <w:rsid w:val="00F52E1E"/>
    <w:rsid w:val="00F54469"/>
    <w:rsid w:val="00F54B7B"/>
    <w:rsid w:val="00F6549A"/>
    <w:rsid w:val="00F65F54"/>
    <w:rsid w:val="00F66FF9"/>
    <w:rsid w:val="00F73CB8"/>
    <w:rsid w:val="00F73D67"/>
    <w:rsid w:val="00F73D97"/>
    <w:rsid w:val="00F755B2"/>
    <w:rsid w:val="00F82610"/>
    <w:rsid w:val="00F82D50"/>
    <w:rsid w:val="00F832D2"/>
    <w:rsid w:val="00F85016"/>
    <w:rsid w:val="00F86DDF"/>
    <w:rsid w:val="00F902C3"/>
    <w:rsid w:val="00F9557E"/>
    <w:rsid w:val="00F97D4A"/>
    <w:rsid w:val="00FA2B53"/>
    <w:rsid w:val="00FA6C99"/>
    <w:rsid w:val="00FB0559"/>
    <w:rsid w:val="00FB07D3"/>
    <w:rsid w:val="00FB11FF"/>
    <w:rsid w:val="00FB5AF3"/>
    <w:rsid w:val="00FC1B12"/>
    <w:rsid w:val="00FC47A3"/>
    <w:rsid w:val="00FC4818"/>
    <w:rsid w:val="00FD33C6"/>
    <w:rsid w:val="00FE0D66"/>
    <w:rsid w:val="00FE6C70"/>
    <w:rsid w:val="00FF3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CC6057"/>
  </w:style>
  <w:style w:type="character" w:customStyle="1" w:styleId="BrdtextChar">
    <w:name w:val="Brödtext Char"/>
    <w:basedOn w:val="Standardstycketeckensnitt"/>
    <w:link w:val="Brdtext"/>
    <w:rsid w:val="00FF3B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13505535">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7</Pages>
  <Words>2198</Words>
  <Characters>14077</Characters>
  <Application>Microsoft Office Word</Application>
  <DocSecurity>0</DocSecurity>
  <Lines>1005</Lines>
  <Paragraphs>235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27</cp:revision>
  <cp:lastPrinted>2025-12-15T08:48:00Z</cp:lastPrinted>
  <dcterms:created xsi:type="dcterms:W3CDTF">2026-03-12T12:55:00Z</dcterms:created>
  <dcterms:modified xsi:type="dcterms:W3CDTF">2026-03-31T09:15:00Z</dcterms:modified>
</cp:coreProperties>
</file>