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E82DEE" w:rsidRPr="001C3254" w:rsidRDefault="001C3254">
      <w:pPr>
        <w:pStyle w:val="RKrubrik"/>
        <w:pBdr>
          <w:bottom w:val="single" w:sz="4" w:space="1" w:color="000000"/>
        </w:pBdr>
      </w:pPr>
      <w:r w:rsidRPr="001C3254">
        <w:rPr>
          <w:noProof/>
        </w:rPr>
        <mc:AlternateContent>
          <mc:Choice Requires="wps">
            <w:drawing>
              <wp:anchor distT="0" distB="0" distL="71755" distR="71755" simplePos="0" relativeHeight="251657728" behindDoc="0" locked="0" layoutInCell="1" allowOverlap="1">
                <wp:simplePos x="0" y="0"/>
                <wp:positionH relativeFrom="page">
                  <wp:posOffset>886460</wp:posOffset>
                </wp:positionH>
                <wp:positionV relativeFrom="page">
                  <wp:posOffset>213360</wp:posOffset>
                </wp:positionV>
                <wp:extent cx="3117850" cy="2393950"/>
                <wp:effectExtent l="635" t="3810" r="5715" b="2540"/>
                <wp:wrapTopAndBottom/>
                <wp:docPr id="1789379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393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BD9" w:rsidRPr="001C3254" w:rsidRDefault="004A2BD9"/>
                          <w:p w:rsidR="004A2BD9" w:rsidRPr="001C3254" w:rsidRDefault="001C3254">
                            <w:r w:rsidRPr="001C325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solidFill>
                                            <a:srgbClr val="FFFFFF">
                                              <a:alpha val="0"/>
                                            </a:srgbClr>
                                          </a:solidFill>
                                          <a:ln>
                                            <a:noFill/>
                                          </a:ln>
                                        </pic:spPr>
                                      </pic:pic>
                                    </a:graphicData>
                                  </a:graphic>
                                </wp:inline>
                              </w:drawing>
                            </w:r>
                          </w:p>
                          <w:p w:rsidR="004A2BD9" w:rsidRPr="001C3254" w:rsidRDefault="004A2BD9"/>
                          <w:tbl>
                            <w:tblPr>
                              <w:tblW w:w="0" w:type="auto"/>
                              <w:tblInd w:w="108" w:type="dxa"/>
                              <w:tblLayout w:type="fixed"/>
                              <w:tblLook w:val="0000" w:firstRow="0" w:lastRow="0" w:firstColumn="0" w:lastColumn="0" w:noHBand="0" w:noVBand="0"/>
                            </w:tblPr>
                            <w:tblGrid>
                              <w:gridCol w:w="4911"/>
                            </w:tblGrid>
                            <w:tr w:rsidR="004A2BD9" w:rsidRPr="001C3254">
                              <w:trPr>
                                <w:trHeight w:val="284"/>
                              </w:trPr>
                              <w:tc>
                                <w:tcPr>
                                  <w:tcW w:w="4911" w:type="dxa"/>
                                </w:tcPr>
                                <w:p w:rsidR="004A2BD9" w:rsidRPr="001C3254" w:rsidRDefault="004A2BD9">
                                  <w:pPr>
                                    <w:pStyle w:val="Avsndare"/>
                                    <w:snapToGrid w:val="0"/>
                                    <w:rPr>
                                      <w:b/>
                                      <w:i w:val="0"/>
                                      <w:sz w:val="22"/>
                                    </w:rPr>
                                  </w:pPr>
                                  <w:r w:rsidRPr="001C3254">
                                    <w:rPr>
                                      <w:b/>
                                      <w:i w:val="0"/>
                                      <w:sz w:val="22"/>
                                    </w:rPr>
                                    <w:t>Statsrådsberedningen</w:t>
                                  </w:r>
                                </w:p>
                              </w:tc>
                            </w:tr>
                            <w:tr w:rsidR="004A2BD9" w:rsidRPr="001C3254">
                              <w:trPr>
                                <w:trHeight w:val="284"/>
                              </w:trPr>
                              <w:tc>
                                <w:tcPr>
                                  <w:tcW w:w="4911" w:type="dxa"/>
                                </w:tcPr>
                                <w:p w:rsidR="004A2BD9" w:rsidRPr="001C3254" w:rsidRDefault="004A2BD9">
                                  <w:pPr>
                                    <w:pStyle w:val="Avsndare"/>
                                    <w:snapToGrid w:val="0"/>
                                    <w:rPr>
                                      <w:b/>
                                      <w:bCs/>
                                      <w:iCs/>
                                      <w:sz w:val="22"/>
                                    </w:rPr>
                                  </w:pPr>
                                </w:p>
                              </w:tc>
                            </w:tr>
                            <w:tr w:rsidR="004A2BD9" w:rsidRPr="001C3254">
                              <w:trPr>
                                <w:trHeight w:val="284"/>
                              </w:trPr>
                              <w:tc>
                                <w:tcPr>
                                  <w:tcW w:w="4911" w:type="dxa"/>
                                </w:tcPr>
                                <w:p w:rsidR="004A2BD9" w:rsidRPr="001C3254" w:rsidRDefault="004A2BD9">
                                  <w:pPr>
                                    <w:pStyle w:val="Avsndare"/>
                                    <w:snapToGrid w:val="0"/>
                                    <w:rPr>
                                      <w:bCs/>
                                      <w:iCs/>
                                    </w:rPr>
                                  </w:pPr>
                                  <w:r w:rsidRPr="001C3254">
                                    <w:rPr>
                                      <w:bCs/>
                                      <w:iCs/>
                                    </w:rPr>
                                    <w:t>EU-kansliet</w:t>
                                  </w:r>
                                </w:p>
                              </w:tc>
                            </w:tr>
                            <w:tr w:rsidR="004A2BD9" w:rsidRPr="001C3254">
                              <w:trPr>
                                <w:trHeight w:val="284"/>
                              </w:trPr>
                              <w:tc>
                                <w:tcPr>
                                  <w:tcW w:w="4911" w:type="dxa"/>
                                </w:tcPr>
                                <w:p w:rsidR="004A2BD9" w:rsidRPr="001C3254" w:rsidRDefault="004A2BD9">
                                  <w:pPr>
                                    <w:pStyle w:val="Avsndare"/>
                                    <w:snapToGrid w:val="0"/>
                                    <w:rPr>
                                      <w:b/>
                                      <w:bCs/>
                                      <w:iCs/>
                                      <w:sz w:val="22"/>
                                    </w:rPr>
                                  </w:pPr>
                                </w:p>
                              </w:tc>
                            </w:tr>
                          </w:tbl>
                          <w:p w:rsidR="004A2BD9" w:rsidRPr="001C3254" w:rsidRDefault="004A2B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9.8pt;margin-top:16.8pt;width:245.5pt;height:188.5pt;z-index:251657728;visibility:visible;mso-wrap-style:square;mso-width-percent:0;mso-height-percent:0;mso-wrap-distance-left:5.65pt;mso-wrap-distance-top:0;mso-wrap-distance-right:5.6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" stroked="f">
                <v:fill opacity="0"/>
                <v:textbox inset="0,0,0,0">
                  <w:txbxContent>
                    <w:p w:rsidR="004A2BD9" w:rsidRPr="001C3254" w:rsidRDefault="004A2BD9"/>
                    <w:p w:rsidR="004A2BD9" w:rsidRPr="001C3254" w:rsidRDefault="001C3254">
                      <w:r w:rsidRPr="001C325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solidFill>
                                      <a:srgbClr val="FFFFFF">
                                        <a:alpha val="0"/>
                                      </a:srgbClr>
                                    </a:solidFill>
                                    <a:ln>
                                      <a:noFill/>
                                    </a:ln>
                                  </pic:spPr>
                                </pic:pic>
                              </a:graphicData>
                            </a:graphic>
                          </wp:inline>
                        </w:drawing>
                      </w:r>
                    </w:p>
                    <w:p w:rsidR="004A2BD9" w:rsidRPr="001C3254" w:rsidRDefault="004A2BD9"/>
                    <w:tbl>
                      <w:tblPr>
                        <w:tblW w:w="0" w:type="auto"/>
                        <w:tblInd w:w="108" w:type="dxa"/>
                        <w:tblLayout w:type="fixed"/>
                        <w:tblLook w:val="0000" w:firstRow="0" w:lastRow="0" w:firstColumn="0" w:lastColumn="0" w:noHBand="0" w:noVBand="0"/>
                      </w:tblPr>
                      <w:tblGrid>
                        <w:gridCol w:w="4911"/>
                      </w:tblGrid>
                      <w:tr w:rsidR="004A2BD9" w:rsidRPr="001C3254">
                        <w:trPr>
                          <w:trHeight w:val="284"/>
                        </w:trPr>
                        <w:tc>
                          <w:tcPr>
                            <w:tcW w:w="4911" w:type="dxa"/>
                          </w:tcPr>
                          <w:p w:rsidR="004A2BD9" w:rsidRPr="001C3254" w:rsidRDefault="004A2BD9">
                            <w:pPr>
                              <w:pStyle w:val="Avsndare"/>
                              <w:snapToGrid w:val="0"/>
                              <w:rPr>
                                <w:b/>
                                <w:i w:val="0"/>
                                <w:sz w:val="22"/>
                              </w:rPr>
                            </w:pPr>
                            <w:r w:rsidRPr="001C3254">
                              <w:rPr>
                                <w:b/>
                                <w:i w:val="0"/>
                                <w:sz w:val="22"/>
                              </w:rPr>
                              <w:t>Statsrådsberedningen</w:t>
                            </w:r>
                          </w:p>
                        </w:tc>
                      </w:tr>
                      <w:tr w:rsidR="004A2BD9" w:rsidRPr="001C3254">
                        <w:trPr>
                          <w:trHeight w:val="284"/>
                        </w:trPr>
                        <w:tc>
                          <w:tcPr>
                            <w:tcW w:w="4911" w:type="dxa"/>
                          </w:tcPr>
                          <w:p w:rsidR="004A2BD9" w:rsidRPr="001C3254" w:rsidRDefault="004A2BD9">
                            <w:pPr>
                              <w:pStyle w:val="Avsndare"/>
                              <w:snapToGrid w:val="0"/>
                              <w:rPr>
                                <w:b/>
                                <w:bCs/>
                                <w:iCs/>
                                <w:sz w:val="22"/>
                              </w:rPr>
                            </w:pPr>
                          </w:p>
                        </w:tc>
                      </w:tr>
                      <w:tr w:rsidR="004A2BD9" w:rsidRPr="001C3254">
                        <w:trPr>
                          <w:trHeight w:val="284"/>
                        </w:trPr>
                        <w:tc>
                          <w:tcPr>
                            <w:tcW w:w="4911" w:type="dxa"/>
                          </w:tcPr>
                          <w:p w:rsidR="004A2BD9" w:rsidRPr="001C3254" w:rsidRDefault="004A2BD9">
                            <w:pPr>
                              <w:pStyle w:val="Avsndare"/>
                              <w:snapToGrid w:val="0"/>
                              <w:rPr>
                                <w:bCs/>
                                <w:iCs/>
                              </w:rPr>
                            </w:pPr>
                            <w:r w:rsidRPr="001C3254">
                              <w:rPr>
                                <w:bCs/>
                                <w:iCs/>
                              </w:rPr>
                              <w:t>EU-kansliet</w:t>
                            </w:r>
                          </w:p>
                        </w:tc>
                      </w:tr>
                      <w:tr w:rsidR="004A2BD9" w:rsidRPr="001C3254">
                        <w:trPr>
                          <w:trHeight w:val="284"/>
                        </w:trPr>
                        <w:tc>
                          <w:tcPr>
                            <w:tcW w:w="4911" w:type="dxa"/>
                          </w:tcPr>
                          <w:p w:rsidR="004A2BD9" w:rsidRPr="001C3254" w:rsidRDefault="004A2BD9">
                            <w:pPr>
                              <w:pStyle w:val="Avsndare"/>
                              <w:snapToGrid w:val="0"/>
                              <w:rPr>
                                <w:b/>
                                <w:bCs/>
                                <w:iCs/>
                                <w:sz w:val="22"/>
                              </w:rPr>
                            </w:pPr>
                          </w:p>
                        </w:tc>
                      </w:tr>
                    </w:tbl>
                    <w:p w:rsidR="004A2BD9" w:rsidRPr="001C3254" w:rsidRDefault="004A2BD9"/>
                  </w:txbxContent>
                </v:textbox>
                <w10:wrap type="topAndBottom" anchorx="page" anchory="page"/>
              </v:shape>
            </w:pict>
          </mc:Fallback>
        </mc:AlternateContent>
      </w:r>
      <w:r w:rsidRPr="001C3254">
        <w:rPr>
          <w:noProof/>
        </w:rPr>
        <mc:AlternateContent>
          <mc:Choice Requires="wps">
            <w:drawing>
              <wp:anchor distT="0" distB="0" distL="0" distR="0" simplePos="0" relativeHeight="251656704" behindDoc="0" locked="0" layoutInCell="1" allowOverlap="1">
                <wp:simplePos x="0" y="0"/>
                <wp:positionH relativeFrom="page">
                  <wp:posOffset>4105910</wp:posOffset>
                </wp:positionH>
                <wp:positionV relativeFrom="page">
                  <wp:posOffset>457835</wp:posOffset>
                </wp:positionV>
                <wp:extent cx="3343910" cy="1015365"/>
                <wp:effectExtent l="635" t="635" r="8255" b="3175"/>
                <wp:wrapTopAndBottom/>
                <wp:docPr id="1136697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1015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7" w:type="dxa"/>
                              <w:tblLayout w:type="fixed"/>
                              <w:tblCellMar>
                                <w:left w:w="107" w:type="dxa"/>
                                <w:right w:w="107" w:type="dxa"/>
                              </w:tblCellMar>
                              <w:tblLook w:val="0000" w:firstRow="0" w:lastRow="0" w:firstColumn="0" w:lastColumn="0" w:noHBand="0" w:noVBand="0"/>
                            </w:tblPr>
                            <w:tblGrid>
                              <w:gridCol w:w="2268"/>
                              <w:gridCol w:w="1134"/>
                              <w:gridCol w:w="1865"/>
                            </w:tblGrid>
                            <w:tr w:rsidR="004A2BD9" w:rsidRPr="001C3254">
                              <w:tc>
                                <w:tcPr>
                                  <w:tcW w:w="2268" w:type="dxa"/>
                                </w:tcPr>
                                <w:p w:rsidR="004A2BD9" w:rsidRPr="001C3254" w:rsidRDefault="004A2BD9">
                                  <w:pPr>
                                    <w:snapToGrid w:val="0"/>
                                    <w:rPr>
                                      <w:rFonts w:ascii="TradeGothic" w:hAnsi="TradeGothic"/>
                                      <w:i/>
                                      <w:sz w:val="18"/>
                                    </w:rPr>
                                  </w:pPr>
                                </w:p>
                              </w:tc>
                              <w:tc>
                                <w:tcPr>
                                  <w:tcW w:w="2999" w:type="dxa"/>
                                  <w:gridSpan w:val="2"/>
                                </w:tcPr>
                                <w:p w:rsidR="004A2BD9" w:rsidRPr="001C3254" w:rsidRDefault="004A2BD9">
                                  <w:pPr>
                                    <w:snapToGrid w:val="0"/>
                                    <w:rPr>
                                      <w:rFonts w:ascii="TradeGothic" w:hAnsi="TradeGothic"/>
                                      <w:i/>
                                      <w:sz w:val="18"/>
                                    </w:rPr>
                                  </w:pPr>
                                </w:p>
                              </w:tc>
                            </w:tr>
                            <w:tr w:rsidR="004A2BD9" w:rsidRPr="001C3254">
                              <w:tc>
                                <w:tcPr>
                                  <w:tcW w:w="5267" w:type="dxa"/>
                                  <w:gridSpan w:val="3"/>
                                </w:tcPr>
                                <w:p w:rsidR="004A2BD9" w:rsidRPr="001C3254" w:rsidRDefault="004A2BD9">
                                  <w:pPr>
                                    <w:snapToGrid w:val="0"/>
                                    <w:rPr>
                                      <w:rFonts w:ascii="TradeGothic" w:hAnsi="TradeGothic"/>
                                      <w:b/>
                                      <w:sz w:val="22"/>
                                    </w:rPr>
                                  </w:pPr>
                                  <w:r w:rsidRPr="001C3254">
                                    <w:rPr>
                                      <w:rFonts w:ascii="TradeGothic" w:hAnsi="TradeGothic"/>
                                      <w:b/>
                                      <w:sz w:val="22"/>
                                    </w:rPr>
                                    <w:t>Kommenterad dagordning</w:t>
                                  </w:r>
                                </w:p>
                              </w:tc>
                            </w:tr>
                            <w:tr w:rsidR="004A2BD9" w:rsidRPr="001C3254">
                              <w:tc>
                                <w:tcPr>
                                  <w:tcW w:w="3402" w:type="dxa"/>
                                  <w:gridSpan w:val="2"/>
                                </w:tcPr>
                                <w:p w:rsidR="004A2BD9" w:rsidRPr="001C3254" w:rsidRDefault="004A2BD9">
                                  <w:pPr>
                                    <w:snapToGrid w:val="0"/>
                                    <w:rPr>
                                      <w:rFonts w:ascii="TradeGothic" w:hAnsi="TradeGothic"/>
                                      <w:b/>
                                      <w:sz w:val="22"/>
                                    </w:rPr>
                                  </w:pPr>
                                  <w:r w:rsidRPr="001C3254">
                                    <w:rPr>
                                      <w:rFonts w:ascii="TradeGothic" w:hAnsi="TradeGothic"/>
                                      <w:b/>
                                      <w:sz w:val="22"/>
                                    </w:rPr>
                                    <w:t>rådet</w:t>
                                  </w:r>
                                </w:p>
                              </w:tc>
                              <w:tc>
                                <w:tcPr>
                                  <w:tcW w:w="1865" w:type="dxa"/>
                                </w:tcPr>
                                <w:p w:rsidR="004A2BD9" w:rsidRPr="001C3254" w:rsidRDefault="004A2BD9">
                                  <w:pPr>
                                    <w:snapToGrid w:val="0"/>
                                  </w:pPr>
                                </w:p>
                              </w:tc>
                            </w:tr>
                            <w:tr w:rsidR="004A2BD9" w:rsidRPr="001C3254">
                              <w:tc>
                                <w:tcPr>
                                  <w:tcW w:w="2268" w:type="dxa"/>
                                </w:tcPr>
                                <w:p w:rsidR="004A2BD9" w:rsidRPr="001C3254" w:rsidRDefault="004A2BD9">
                                  <w:pPr>
                                    <w:snapToGrid w:val="0"/>
                                  </w:pPr>
                                  <w:r w:rsidRPr="001C3254">
                                    <w:t>2011-11-28</w:t>
                                  </w:r>
                                </w:p>
                              </w:tc>
                              <w:tc>
                                <w:tcPr>
                                  <w:tcW w:w="2999" w:type="dxa"/>
                                  <w:gridSpan w:val="2"/>
                                </w:tcPr>
                                <w:p w:rsidR="004A2BD9" w:rsidRPr="001C3254" w:rsidRDefault="004A2BD9">
                                  <w:pPr>
                                    <w:snapToGrid w:val="0"/>
                                  </w:pPr>
                                </w:p>
                              </w:tc>
                            </w:tr>
                            <w:tr w:rsidR="004A2BD9" w:rsidRPr="001C3254">
                              <w:tc>
                                <w:tcPr>
                                  <w:tcW w:w="2268" w:type="dxa"/>
                                </w:tcPr>
                                <w:p w:rsidR="004A2BD9" w:rsidRPr="001C3254" w:rsidRDefault="004A2BD9">
                                  <w:pPr>
                                    <w:snapToGrid w:val="0"/>
                                  </w:pPr>
                                </w:p>
                              </w:tc>
                              <w:tc>
                                <w:tcPr>
                                  <w:tcW w:w="2999" w:type="dxa"/>
                                  <w:gridSpan w:val="2"/>
                                </w:tcPr>
                                <w:p w:rsidR="004A2BD9" w:rsidRPr="001C3254" w:rsidRDefault="004A2BD9">
                                  <w:pPr>
                                    <w:snapToGrid w:val="0"/>
                                  </w:pPr>
                                </w:p>
                              </w:tc>
                            </w:tr>
                          </w:tbl>
                          <w:p w:rsidR="004A2BD9" w:rsidRPr="001C3254" w:rsidRDefault="004A2BD9">
                            <w:r w:rsidRPr="001C3254">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3.3pt;margin-top:36.05pt;width:263.3pt;height:79.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" stroked="f">
                <v:fill opacity="0"/>
                <v:textbox inset="0,0,0,0">
                  <w:txbxContent>
                    <w:tbl>
                      <w:tblPr>
                        <w:tblW w:w="0" w:type="auto"/>
                        <w:tblInd w:w="107" w:type="dxa"/>
                        <w:tblLayout w:type="fixed"/>
                        <w:tblCellMar>
                          <w:left w:w="107" w:type="dxa"/>
                          <w:right w:w="107" w:type="dxa"/>
                        </w:tblCellMar>
                        <w:tblLook w:val="0000" w:firstRow="0" w:lastRow="0" w:firstColumn="0" w:lastColumn="0" w:noHBand="0" w:noVBand="0"/>
                      </w:tblPr>
                      <w:tblGrid>
                        <w:gridCol w:w="2268"/>
                        <w:gridCol w:w="1134"/>
                        <w:gridCol w:w="1865"/>
                      </w:tblGrid>
                      <w:tr w:rsidR="004A2BD9" w:rsidRPr="001C3254">
                        <w:tc>
                          <w:tcPr>
                            <w:tcW w:w="2268" w:type="dxa"/>
                          </w:tcPr>
                          <w:p w:rsidR="004A2BD9" w:rsidRPr="001C3254" w:rsidRDefault="004A2BD9">
                            <w:pPr>
                              <w:snapToGrid w:val="0"/>
                              <w:rPr>
                                <w:rFonts w:ascii="TradeGothic" w:hAnsi="TradeGothic"/>
                                <w:i/>
                                <w:sz w:val="18"/>
                              </w:rPr>
                            </w:pPr>
                          </w:p>
                        </w:tc>
                        <w:tc>
                          <w:tcPr>
                            <w:tcW w:w="2999" w:type="dxa"/>
                            <w:gridSpan w:val="2"/>
                          </w:tcPr>
                          <w:p w:rsidR="004A2BD9" w:rsidRPr="001C3254" w:rsidRDefault="004A2BD9">
                            <w:pPr>
                              <w:snapToGrid w:val="0"/>
                              <w:rPr>
                                <w:rFonts w:ascii="TradeGothic" w:hAnsi="TradeGothic"/>
                                <w:i/>
                                <w:sz w:val="18"/>
                              </w:rPr>
                            </w:pPr>
                          </w:p>
                        </w:tc>
                      </w:tr>
                      <w:tr w:rsidR="004A2BD9" w:rsidRPr="001C3254">
                        <w:tc>
                          <w:tcPr>
                            <w:tcW w:w="5267" w:type="dxa"/>
                            <w:gridSpan w:val="3"/>
                          </w:tcPr>
                          <w:p w:rsidR="004A2BD9" w:rsidRPr="001C3254" w:rsidRDefault="004A2BD9">
                            <w:pPr>
                              <w:snapToGrid w:val="0"/>
                              <w:rPr>
                                <w:rFonts w:ascii="TradeGothic" w:hAnsi="TradeGothic"/>
                                <w:b/>
                                <w:sz w:val="22"/>
                              </w:rPr>
                            </w:pPr>
                            <w:r w:rsidRPr="001C3254">
                              <w:rPr>
                                <w:rFonts w:ascii="TradeGothic" w:hAnsi="TradeGothic"/>
                                <w:b/>
                                <w:sz w:val="22"/>
                              </w:rPr>
                              <w:t>Kommenterad dagordning</w:t>
                            </w:r>
                          </w:p>
                        </w:tc>
                      </w:tr>
                      <w:tr w:rsidR="004A2BD9" w:rsidRPr="001C3254">
                        <w:tc>
                          <w:tcPr>
                            <w:tcW w:w="3402" w:type="dxa"/>
                            <w:gridSpan w:val="2"/>
                          </w:tcPr>
                          <w:p w:rsidR="004A2BD9" w:rsidRPr="001C3254" w:rsidRDefault="004A2BD9">
                            <w:pPr>
                              <w:snapToGrid w:val="0"/>
                              <w:rPr>
                                <w:rFonts w:ascii="TradeGothic" w:hAnsi="TradeGothic"/>
                                <w:b/>
                                <w:sz w:val="22"/>
                              </w:rPr>
                            </w:pPr>
                            <w:r w:rsidRPr="001C3254">
                              <w:rPr>
                                <w:rFonts w:ascii="TradeGothic" w:hAnsi="TradeGothic"/>
                                <w:b/>
                                <w:sz w:val="22"/>
                              </w:rPr>
                              <w:t>rådet</w:t>
                            </w:r>
                          </w:p>
                        </w:tc>
                        <w:tc>
                          <w:tcPr>
                            <w:tcW w:w="1865" w:type="dxa"/>
                          </w:tcPr>
                          <w:p w:rsidR="004A2BD9" w:rsidRPr="001C3254" w:rsidRDefault="004A2BD9">
                            <w:pPr>
                              <w:snapToGrid w:val="0"/>
                            </w:pPr>
                          </w:p>
                        </w:tc>
                      </w:tr>
                      <w:tr w:rsidR="004A2BD9" w:rsidRPr="001C3254">
                        <w:tc>
                          <w:tcPr>
                            <w:tcW w:w="2268" w:type="dxa"/>
                          </w:tcPr>
                          <w:p w:rsidR="004A2BD9" w:rsidRPr="001C3254" w:rsidRDefault="004A2BD9">
                            <w:pPr>
                              <w:snapToGrid w:val="0"/>
                            </w:pPr>
                            <w:r w:rsidRPr="001C3254">
                              <w:t>2011-11-28</w:t>
                            </w:r>
                          </w:p>
                        </w:tc>
                        <w:tc>
                          <w:tcPr>
                            <w:tcW w:w="2999" w:type="dxa"/>
                            <w:gridSpan w:val="2"/>
                          </w:tcPr>
                          <w:p w:rsidR="004A2BD9" w:rsidRPr="001C3254" w:rsidRDefault="004A2BD9">
                            <w:pPr>
                              <w:snapToGrid w:val="0"/>
                            </w:pPr>
                          </w:p>
                        </w:tc>
                      </w:tr>
                      <w:tr w:rsidR="004A2BD9" w:rsidRPr="001C3254">
                        <w:tc>
                          <w:tcPr>
                            <w:tcW w:w="2268" w:type="dxa"/>
                          </w:tcPr>
                          <w:p w:rsidR="004A2BD9" w:rsidRPr="001C3254" w:rsidRDefault="004A2BD9">
                            <w:pPr>
                              <w:snapToGrid w:val="0"/>
                            </w:pPr>
                          </w:p>
                        </w:tc>
                        <w:tc>
                          <w:tcPr>
                            <w:tcW w:w="2999" w:type="dxa"/>
                            <w:gridSpan w:val="2"/>
                          </w:tcPr>
                          <w:p w:rsidR="004A2BD9" w:rsidRPr="001C3254" w:rsidRDefault="004A2BD9">
                            <w:pPr>
                              <w:snapToGrid w:val="0"/>
                            </w:pPr>
                          </w:p>
                        </w:tc>
                      </w:tr>
                    </w:tbl>
                    <w:p w:rsidR="004A2BD9" w:rsidRPr="001C3254" w:rsidRDefault="004A2BD9">
                      <w:r w:rsidRPr="001C3254">
                        <w:t xml:space="preserve"> </w:t>
                      </w:r>
                    </w:p>
                  </w:txbxContent>
                </v:textbox>
                <w10:wrap type="topAndBottom" anchorx="page" anchory="page"/>
              </v:shape>
            </w:pict>
          </mc:Fallback>
        </mc:AlternateContent>
      </w:r>
      <w:r w:rsidRPr="001C3254">
        <w:rPr>
          <w:noProof/>
        </w:rPr>
        <mc:AlternateContent>
          <mc:Choice Requires="wps">
            <w:drawing>
              <wp:anchor distT="0" distB="0" distL="0" distR="0" simplePos="0" relativeHeight="251658752" behindDoc="0" locked="0" layoutInCell="1" allowOverlap="1">
                <wp:simplePos x="0" y="0"/>
                <wp:positionH relativeFrom="page">
                  <wp:posOffset>4097655</wp:posOffset>
                </wp:positionH>
                <wp:positionV relativeFrom="page">
                  <wp:posOffset>1552575</wp:posOffset>
                </wp:positionV>
                <wp:extent cx="2793365" cy="1601470"/>
                <wp:effectExtent l="1905" t="0" r="5080" b="8255"/>
                <wp:wrapTopAndBottom/>
                <wp:docPr id="269485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601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2BD9" w:rsidRPr="001C3254" w:rsidRDefault="004A2BD9">
                            <w:pPr>
                              <w:ind w:left="142"/>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22.65pt;margin-top:122.25pt;width:219.95pt;height:126.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" stroked="f">
                <v:fill opacity="0"/>
                <v:textbox inset="0,0,0,0">
                  <w:txbxContent>
                    <w:p w:rsidR="004A2BD9" w:rsidRPr="001C3254" w:rsidRDefault="004A2BD9">
                      <w:pPr>
                        <w:ind w:left="142"/>
                        <w:rPr>
                          <w:b/>
                        </w:rPr>
                      </w:pPr>
                    </w:p>
                  </w:txbxContent>
                </v:textbox>
                <w10:wrap type="topAndBottom" anchorx="page" anchory="page"/>
              </v:shape>
            </w:pict>
          </mc:Fallback>
        </mc:AlternateContent>
      </w:r>
      <w:bookmarkStart w:id="0" w:name="bRubrik"/>
      <w:bookmarkEnd w:id="0"/>
      <w:r w:rsidR="00E82DEE" w:rsidRPr="001C3254">
        <w:t xml:space="preserve">Allmänna rådets möte den </w:t>
      </w:r>
      <w:r w:rsidR="005B0F8A" w:rsidRPr="001C3254">
        <w:t xml:space="preserve">5 </w:t>
      </w:r>
      <w:r w:rsidR="003F0E08" w:rsidRPr="001C3254">
        <w:t>dec</w:t>
      </w:r>
      <w:r w:rsidR="005B0F8A" w:rsidRPr="001C3254">
        <w:t>ember</w:t>
      </w:r>
      <w:r w:rsidR="00E82DEE" w:rsidRPr="001C3254">
        <w:t xml:space="preserve"> 2011</w:t>
      </w:r>
    </w:p>
    <w:p w:rsidR="00E82DEE" w:rsidRPr="001C3254" w:rsidRDefault="00E82DEE">
      <w:pPr>
        <w:pStyle w:val="RKrubrik"/>
      </w:pPr>
      <w:r w:rsidRPr="001C3254">
        <w:t>Kommenterad dagordning</w:t>
      </w:r>
    </w:p>
    <w:p w:rsidR="00E82DEE" w:rsidRPr="001C3254" w:rsidRDefault="00E82DEE" w:rsidP="003B481C">
      <w:pPr>
        <w:pStyle w:val="RKrubrik"/>
      </w:pPr>
      <w:r w:rsidRPr="001C3254">
        <w:t>1.</w:t>
      </w:r>
      <w:r w:rsidRPr="001C3254">
        <w:tab/>
        <w:t>Godkännande av dagordningen</w:t>
      </w:r>
    </w:p>
    <w:p w:rsidR="004F62E5" w:rsidRPr="001C3254" w:rsidRDefault="00E82DEE" w:rsidP="001A4279">
      <w:pPr>
        <w:pStyle w:val="RKrubrik"/>
      </w:pPr>
      <w:r w:rsidRPr="001C3254">
        <w:t>2.</w:t>
      </w:r>
      <w:r w:rsidRPr="001C3254">
        <w:tab/>
        <w:t>A-punkter</w:t>
      </w:r>
      <w:r w:rsidR="005B0F8A" w:rsidRPr="001C3254">
        <w:t xml:space="preserve"> </w:t>
      </w:r>
    </w:p>
    <w:p w:rsidR="00E82DEE" w:rsidRPr="001C3254" w:rsidRDefault="001A4279">
      <w:pPr>
        <w:pStyle w:val="RKrubrik"/>
      </w:pPr>
      <w:r w:rsidRPr="001C3254">
        <w:t>3</w:t>
      </w:r>
      <w:r w:rsidR="00E82DEE" w:rsidRPr="001C3254">
        <w:t>.</w:t>
      </w:r>
      <w:r w:rsidR="00E82DEE" w:rsidRPr="001C3254">
        <w:tab/>
      </w:r>
      <w:r w:rsidR="00427C31" w:rsidRPr="001C3254">
        <w:t>Nästa</w:t>
      </w:r>
      <w:r w:rsidR="00E82DEE" w:rsidRPr="001C3254">
        <w:t xml:space="preserve"> fleråriga budgetram </w:t>
      </w:r>
    </w:p>
    <w:p w:rsidR="00E82DEE" w:rsidRPr="001C3254" w:rsidRDefault="00E82DEE">
      <w:pPr>
        <w:pStyle w:val="RKnormal"/>
      </w:pPr>
    </w:p>
    <w:p w:rsidR="00427C31" w:rsidRPr="001C3254" w:rsidRDefault="00D81F1F" w:rsidP="00427C31">
      <w:pPr>
        <w:pStyle w:val="RKnormal"/>
        <w:rPr>
          <w:i/>
        </w:rPr>
      </w:pPr>
      <w:r w:rsidRPr="001C3254">
        <w:rPr>
          <w:i/>
        </w:rPr>
        <w:t>Diskussion</w:t>
      </w:r>
      <w:r w:rsidR="00427C31" w:rsidRPr="001C3254">
        <w:rPr>
          <w:i/>
        </w:rPr>
        <w:t>spunkt</w:t>
      </w:r>
    </w:p>
    <w:p w:rsidR="001A4279" w:rsidRPr="001C3254" w:rsidRDefault="001A4279">
      <w:pPr>
        <w:pStyle w:val="RKnormal"/>
      </w:pPr>
    </w:p>
    <w:p w:rsidR="00E63D36" w:rsidRPr="001C3254" w:rsidRDefault="00E63D36">
      <w:pPr>
        <w:pStyle w:val="RKnormal"/>
      </w:pPr>
      <w:r w:rsidRPr="001C3254">
        <w:t xml:space="preserve">Inför mötet i allmänna rådet kommer det polska ordförandeskapet att presentera en ordförandeskapsrapport om framstegen i förhandlingarna om den fleråriga budgetramen och egna medelssystemet. Rapporten kommer att diskuteras vid mötet. För regeringen är det viktigt att framstegsrapporten återger de hittills genomförda diskussionerna på ett objektivt sätt och att den inte låser fast eller föregriper de fortsatta förhandlingarna under 2012. </w:t>
      </w:r>
    </w:p>
    <w:p w:rsidR="001A4279" w:rsidRPr="001C3254" w:rsidRDefault="001A4279" w:rsidP="001A4279">
      <w:pPr>
        <w:pStyle w:val="RKrubrik"/>
      </w:pPr>
      <w:r w:rsidRPr="001C3254">
        <w:t>4.</w:t>
      </w:r>
      <w:r w:rsidRPr="001C3254">
        <w:tab/>
        <w:t>Godkännande av A-punktlistan</w:t>
      </w:r>
    </w:p>
    <w:p w:rsidR="001A4279" w:rsidRPr="001C3254" w:rsidRDefault="001A4279" w:rsidP="001A4279">
      <w:pPr>
        <w:pStyle w:val="RKrubrik"/>
      </w:pPr>
      <w:r w:rsidRPr="001C3254">
        <w:t xml:space="preserve">5 </w:t>
      </w:r>
      <w:r w:rsidRPr="001C3254">
        <w:tab/>
        <w:t xml:space="preserve">Resolutioner, synpunkter och beslut antagna av </w:t>
      </w:r>
      <w:r w:rsidRPr="001C3254">
        <w:tab/>
        <w:t>Europaparlamentet</w:t>
      </w:r>
    </w:p>
    <w:p w:rsidR="001A4279" w:rsidRPr="001C3254" w:rsidRDefault="001A4279" w:rsidP="001A4279">
      <w:pPr>
        <w:pStyle w:val="RKnormal"/>
      </w:pPr>
    </w:p>
    <w:p w:rsidR="001A4279" w:rsidRPr="001C3254" w:rsidRDefault="001A4279" w:rsidP="001A4279">
      <w:pPr>
        <w:pStyle w:val="RKnormal"/>
        <w:rPr>
          <w:i/>
        </w:rPr>
      </w:pPr>
      <w:r w:rsidRPr="001C3254">
        <w:rPr>
          <w:i/>
        </w:rPr>
        <w:t>Informationspunkt</w:t>
      </w:r>
    </w:p>
    <w:p w:rsidR="001A4279" w:rsidRPr="001C3254" w:rsidRDefault="001A4279" w:rsidP="001A4279">
      <w:pPr>
        <w:pStyle w:val="RKnormal"/>
      </w:pPr>
    </w:p>
    <w:p w:rsidR="001A4279" w:rsidRPr="001C3254" w:rsidRDefault="001A4279" w:rsidP="001A4279">
      <w:pPr>
        <w:pStyle w:val="RKnormal"/>
      </w:pPr>
      <w:r w:rsidRPr="001C3254">
        <w:t>Allmänna rådet avser att notera de resolutioner, yttranden och beslut antagna av Europaparlamen</w:t>
      </w:r>
      <w:r w:rsidR="003F0E08" w:rsidRPr="001C3254">
        <w:t>tet under sammanträdesperioden</w:t>
      </w:r>
      <w:r w:rsidRPr="001C3254">
        <w:t xml:space="preserve"> den </w:t>
      </w:r>
      <w:r w:rsidR="003F0E08" w:rsidRPr="001C3254">
        <w:t>14-17</w:t>
      </w:r>
      <w:r w:rsidRPr="001C3254">
        <w:t xml:space="preserve"> </w:t>
      </w:r>
      <w:r w:rsidR="003F0E08" w:rsidRPr="001C3254">
        <w:t>november</w:t>
      </w:r>
      <w:r w:rsidRPr="001C3254">
        <w:t xml:space="preserve"> i Strasbourg. Information om de antagna resolutionerna har skickats till nämnden separat. Detta är en standardpunkt på dagordningen.</w:t>
      </w:r>
    </w:p>
    <w:p w:rsidR="004D1E8F" w:rsidRPr="001C3254" w:rsidRDefault="004D1E8F" w:rsidP="00427C31">
      <w:pPr>
        <w:keepNext/>
        <w:tabs>
          <w:tab w:val="left" w:pos="1134"/>
          <w:tab w:val="left" w:pos="2835"/>
        </w:tabs>
        <w:suppressAutoHyphens w:val="0"/>
        <w:overflowPunct/>
        <w:autoSpaceDN w:val="0"/>
        <w:adjustRightInd w:val="0"/>
        <w:spacing w:before="240" w:after="120" w:line="240" w:lineRule="auto"/>
        <w:textAlignment w:val="auto"/>
        <w:rPr>
          <w:rFonts w:ascii="TradeGothic" w:hAnsi="TradeGothic" w:cs="TradeGothic"/>
          <w:b/>
          <w:bCs/>
          <w:color w:val="000000"/>
          <w:sz w:val="22"/>
          <w:szCs w:val="22"/>
          <w:lang w:eastAsia="sv-SE"/>
        </w:rPr>
      </w:pPr>
      <w:r w:rsidRPr="001C3254">
        <w:rPr>
          <w:rFonts w:ascii="TradeGothic" w:hAnsi="TradeGothic" w:cs="TradeGothic"/>
          <w:b/>
          <w:bCs/>
          <w:color w:val="000000"/>
          <w:sz w:val="22"/>
          <w:szCs w:val="22"/>
          <w:lang w:eastAsia="sv-SE"/>
        </w:rPr>
        <w:lastRenderedPageBreak/>
        <w:t xml:space="preserve">6. </w:t>
      </w:r>
      <w:r w:rsidRPr="001C3254">
        <w:rPr>
          <w:rFonts w:ascii="TradeGothic" w:hAnsi="TradeGothic" w:cs="TradeGothic"/>
          <w:b/>
          <w:bCs/>
          <w:color w:val="000000"/>
          <w:sz w:val="22"/>
          <w:szCs w:val="22"/>
          <w:lang w:eastAsia="sv-SE"/>
        </w:rPr>
        <w:tab/>
        <w:t>Förberedelser inför Europeiska rådet den 9 december 2011</w:t>
      </w:r>
      <w:r w:rsidR="00B4043B" w:rsidRPr="001C3254">
        <w:rPr>
          <w:rFonts w:ascii="TradeGothic" w:hAnsi="TradeGothic" w:cs="TradeGothic"/>
          <w:b/>
          <w:bCs/>
          <w:color w:val="000000"/>
          <w:sz w:val="22"/>
          <w:szCs w:val="22"/>
          <w:lang w:eastAsia="sv-SE"/>
        </w:rPr>
        <w:t xml:space="preserve"> </w:t>
      </w:r>
    </w:p>
    <w:p w:rsidR="00B4043B" w:rsidRPr="001C3254" w:rsidRDefault="00B4043B" w:rsidP="00B4043B">
      <w:pPr>
        <w:keepNext/>
        <w:tabs>
          <w:tab w:val="left" w:pos="1134"/>
          <w:tab w:val="left" w:pos="2835"/>
        </w:tabs>
        <w:suppressAutoHyphens w:val="0"/>
        <w:overflowPunct/>
        <w:autoSpaceDN w:val="0"/>
        <w:adjustRightInd w:val="0"/>
        <w:spacing w:before="240" w:after="120" w:line="240" w:lineRule="auto"/>
        <w:textAlignment w:val="auto"/>
        <w:rPr>
          <w:rFonts w:ascii="TradeGothic" w:hAnsi="TradeGothic" w:cs="TradeGothic"/>
          <w:b/>
          <w:bCs/>
          <w:color w:val="000000"/>
          <w:sz w:val="22"/>
          <w:szCs w:val="22"/>
          <w:lang w:eastAsia="sv-SE"/>
        </w:rPr>
      </w:pPr>
      <w:r w:rsidRPr="001C3254">
        <w:rPr>
          <w:rFonts w:ascii="TradeGothic" w:hAnsi="TradeGothic" w:cs="TradeGothic"/>
          <w:b/>
          <w:bCs/>
          <w:color w:val="000000"/>
          <w:sz w:val="22"/>
          <w:szCs w:val="22"/>
          <w:lang w:eastAsia="sv-SE"/>
        </w:rPr>
        <w:t xml:space="preserve">= </w:t>
      </w:r>
      <w:r w:rsidRPr="001C3254">
        <w:rPr>
          <w:rFonts w:ascii="TradeGothic" w:hAnsi="TradeGothic" w:cs="TradeGothic"/>
          <w:b/>
          <w:bCs/>
          <w:color w:val="000000"/>
          <w:sz w:val="22"/>
          <w:szCs w:val="22"/>
          <w:lang w:eastAsia="sv-SE"/>
        </w:rPr>
        <w:tab/>
        <w:t>utkast till Europeiska rådets slutsatser</w:t>
      </w:r>
    </w:p>
    <w:p w:rsidR="002C10D9" w:rsidRPr="001C3254" w:rsidRDefault="002C10D9" w:rsidP="002C10D9">
      <w:pPr>
        <w:tabs>
          <w:tab w:val="left" w:pos="2835"/>
        </w:tabs>
        <w:overflowPunct/>
        <w:spacing w:line="240" w:lineRule="auto"/>
        <w:textAlignment w:val="auto"/>
        <w:rPr>
          <w:rFonts w:cs="OrigGarmnd BT"/>
          <w:i/>
          <w:iCs/>
          <w:color w:val="000000"/>
          <w:szCs w:val="24"/>
          <w:lang w:eastAsia="sv-SE"/>
        </w:rPr>
      </w:pPr>
    </w:p>
    <w:p w:rsidR="002C10D9" w:rsidRPr="001C3254" w:rsidRDefault="002C10D9" w:rsidP="002C10D9">
      <w:pPr>
        <w:tabs>
          <w:tab w:val="left" w:pos="2835"/>
        </w:tabs>
        <w:overflowPunct/>
        <w:spacing w:line="240" w:lineRule="auto"/>
        <w:textAlignment w:val="auto"/>
        <w:rPr>
          <w:rFonts w:cs="OrigGarmnd BT"/>
          <w:i/>
          <w:iCs/>
          <w:color w:val="000000"/>
          <w:szCs w:val="24"/>
          <w:lang w:eastAsia="sv-SE"/>
        </w:rPr>
      </w:pPr>
      <w:r w:rsidRPr="001C3254">
        <w:rPr>
          <w:rFonts w:cs="OrigGarmnd BT"/>
          <w:i/>
          <w:iCs/>
          <w:color w:val="000000"/>
          <w:szCs w:val="24"/>
          <w:lang w:eastAsia="sv-SE"/>
        </w:rPr>
        <w:t>Diskussionspunkt</w:t>
      </w:r>
    </w:p>
    <w:p w:rsidR="002C10D9" w:rsidRPr="001C3254" w:rsidRDefault="002C10D9" w:rsidP="002C10D9">
      <w:pPr>
        <w:tabs>
          <w:tab w:val="left" w:pos="2835"/>
        </w:tabs>
        <w:overflowPunct/>
        <w:spacing w:line="240" w:lineRule="auto"/>
        <w:textAlignment w:val="auto"/>
        <w:rPr>
          <w:rFonts w:cs="OrigGarmnd BT"/>
          <w:i/>
          <w:iCs/>
          <w:color w:val="000000"/>
          <w:szCs w:val="24"/>
          <w:lang w:eastAsia="sv-SE"/>
        </w:rPr>
      </w:pP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r w:rsidRPr="001C3254">
        <w:rPr>
          <w:rFonts w:cs="OrigGarmnd BT"/>
          <w:iCs/>
          <w:color w:val="000000"/>
          <w:szCs w:val="24"/>
          <w:lang w:eastAsia="sv-SE"/>
        </w:rPr>
        <w:t xml:space="preserve">Hanteringen av </w:t>
      </w:r>
      <w:r w:rsidR="0053713C" w:rsidRPr="001C3254">
        <w:rPr>
          <w:rFonts w:cs="OrigGarmnd BT"/>
          <w:iCs/>
          <w:color w:val="000000"/>
          <w:szCs w:val="24"/>
          <w:lang w:eastAsia="sv-SE"/>
        </w:rPr>
        <w:t xml:space="preserve">den </w:t>
      </w:r>
      <w:r w:rsidRPr="001C3254">
        <w:rPr>
          <w:rFonts w:cs="OrigGarmnd BT"/>
          <w:iCs/>
          <w:color w:val="000000"/>
          <w:szCs w:val="24"/>
          <w:lang w:eastAsia="sv-SE"/>
        </w:rPr>
        <w:t>ekonomiska krisen och eventuella fördragsändringar i syfte att stärka den ekonomiska styrningen inom eurozonen väntas dominera Europeiska rådets diskussioner. Nämnden har delgivits ett utkast till slutsatser.</w:t>
      </w: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r w:rsidRPr="001C3254">
        <w:rPr>
          <w:rFonts w:cs="OrigGarmnd BT"/>
          <w:iCs/>
          <w:color w:val="000000"/>
          <w:szCs w:val="24"/>
          <w:lang w:eastAsia="sv-SE"/>
        </w:rPr>
        <w:t>Ett centralt underlag för diskussioner</w:t>
      </w:r>
      <w:r w:rsidR="001525BF" w:rsidRPr="001C3254">
        <w:rPr>
          <w:rFonts w:cs="OrigGarmnd BT"/>
          <w:iCs/>
          <w:color w:val="000000"/>
          <w:szCs w:val="24"/>
          <w:lang w:eastAsia="sv-SE"/>
        </w:rPr>
        <w:t>na</w:t>
      </w:r>
      <w:r w:rsidRPr="001C3254">
        <w:rPr>
          <w:rFonts w:cs="OrigGarmnd BT"/>
          <w:iCs/>
          <w:color w:val="000000"/>
          <w:szCs w:val="24"/>
          <w:lang w:eastAsia="sv-SE"/>
        </w:rPr>
        <w:t xml:space="preserve"> kommer att utgöras av den interimsrapport som Europeiska rådets ordförande, i nära samverkan med kommissionens och eurogruppens ordförande, ska presentera med åtgärder för att ytterligare förstärka ekonomisk konvergens inom euroområdet, förbättra budgetdisciplinen samt fördjupa den ekonomiska unionen. Rapporten tas fram på uppdrag av eurotoppmötet den 26 oktober och inbegriper också att undersöka möjligheten till begränsade fördragsändringar. En slutlig rapport väntas inför Europeiska rådet i mars 2012. Ett annat viktigt underlag kommer att vara kommissionens förslag till åtgärder för stärkt ekonomisk styrning inom eurozonen som presenterades den 23 november 2011.</w:t>
      </w: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r w:rsidRPr="001C3254">
        <w:rPr>
          <w:rFonts w:cs="OrigGarmnd BT"/>
          <w:iCs/>
          <w:color w:val="000000"/>
          <w:szCs w:val="24"/>
          <w:lang w:eastAsia="sv-SE"/>
        </w:rPr>
        <w:t xml:space="preserve">Den ekonomiska krisen har stor inverkan också på svensk ekonomi. För att långsiktigt stärka EU:s konkurrenskraft och återgå till sunda statsfinanser menar regeringen att  budgetdisciplinen genom gemensamma åtgärder bör stärkas och nödvändiga strukturella reformer genomföras så snart som möjligt i EU:s medlemsstater. Regeringen </w:t>
      </w:r>
      <w:r w:rsidR="001525BF" w:rsidRPr="001C3254">
        <w:rPr>
          <w:rFonts w:cs="OrigGarmnd BT"/>
          <w:iCs/>
          <w:color w:val="000000"/>
          <w:szCs w:val="24"/>
          <w:lang w:eastAsia="sv-SE"/>
        </w:rPr>
        <w:t xml:space="preserve">är dock </w:t>
      </w:r>
      <w:r w:rsidRPr="001C3254">
        <w:rPr>
          <w:rFonts w:cs="OrigGarmnd BT"/>
          <w:iCs/>
          <w:color w:val="000000"/>
          <w:szCs w:val="24"/>
          <w:lang w:eastAsia="sv-SE"/>
        </w:rPr>
        <w:t>tveksam till att fördragsändring är rätta vägen att nå dessa mål</w:t>
      </w:r>
      <w:r w:rsidR="0077715B" w:rsidRPr="001C3254">
        <w:rPr>
          <w:rFonts w:cs="OrigGarmnd BT"/>
          <w:iCs/>
          <w:color w:val="000000"/>
          <w:szCs w:val="24"/>
          <w:lang w:eastAsia="sv-SE"/>
        </w:rPr>
        <w:t xml:space="preserve"> utan åtgärder inom ramen för nuvarande fördrag bör först undersökas</w:t>
      </w:r>
      <w:r w:rsidRPr="001C3254">
        <w:rPr>
          <w:rFonts w:cs="OrigGarmnd BT"/>
          <w:iCs/>
          <w:color w:val="000000"/>
          <w:szCs w:val="24"/>
          <w:lang w:eastAsia="sv-SE"/>
        </w:rPr>
        <w:t>.</w:t>
      </w: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r w:rsidRPr="001C3254">
        <w:rPr>
          <w:rFonts w:cs="OrigGarmnd BT"/>
          <w:iCs/>
          <w:color w:val="000000"/>
          <w:szCs w:val="24"/>
          <w:lang w:eastAsia="sv-SE"/>
        </w:rPr>
        <w:t xml:space="preserve">Även frågor med bäring på EU:s utvidgning står på dagordningen. </w:t>
      </w:r>
      <w:r w:rsidR="001525BF" w:rsidRPr="001C3254">
        <w:rPr>
          <w:rFonts w:cs="OrigGarmnd BT"/>
          <w:iCs/>
          <w:color w:val="000000"/>
          <w:szCs w:val="24"/>
          <w:lang w:eastAsia="sv-SE"/>
        </w:rPr>
        <w:t xml:space="preserve">Frågan om eventuell </w:t>
      </w:r>
      <w:r w:rsidRPr="001C3254">
        <w:rPr>
          <w:rFonts w:cs="OrigGarmnd BT"/>
          <w:iCs/>
          <w:color w:val="000000"/>
          <w:szCs w:val="24"/>
          <w:lang w:eastAsia="sv-SE"/>
        </w:rPr>
        <w:t>kandidatlandstatus för Serbien</w:t>
      </w:r>
      <w:r w:rsidR="001525BF" w:rsidRPr="001C3254">
        <w:rPr>
          <w:rFonts w:cs="OrigGarmnd BT"/>
          <w:iCs/>
          <w:color w:val="000000"/>
          <w:szCs w:val="24"/>
          <w:lang w:eastAsia="sv-SE"/>
        </w:rPr>
        <w:t>, liksom f</w:t>
      </w:r>
      <w:r w:rsidRPr="001C3254">
        <w:rPr>
          <w:rFonts w:cs="OrigGarmnd BT"/>
          <w:iCs/>
          <w:color w:val="000000"/>
          <w:szCs w:val="24"/>
          <w:lang w:eastAsia="sv-SE"/>
        </w:rPr>
        <w:t>rågan om en eventuell förhandlingsstart för Montenegro</w:t>
      </w:r>
      <w:r w:rsidR="004F1769" w:rsidRPr="001C3254">
        <w:rPr>
          <w:rFonts w:cs="OrigGarmnd BT"/>
          <w:iCs/>
          <w:color w:val="000000"/>
          <w:szCs w:val="24"/>
          <w:lang w:eastAsia="sv-SE"/>
        </w:rPr>
        <w:t xml:space="preserve"> respektive Makedonien kan komma</w:t>
      </w:r>
      <w:r w:rsidRPr="001C3254">
        <w:rPr>
          <w:rFonts w:cs="OrigGarmnd BT"/>
          <w:iCs/>
          <w:color w:val="000000"/>
          <w:szCs w:val="24"/>
          <w:lang w:eastAsia="sv-SE"/>
        </w:rPr>
        <w:t xml:space="preserve"> att behandlas. Vidare kommer undertecknande av Kroatiens anslutningsfördrag att äga rum i anslutning till möte</w:t>
      </w:r>
      <w:r w:rsidR="001525BF" w:rsidRPr="001C3254">
        <w:rPr>
          <w:rFonts w:cs="OrigGarmnd BT"/>
          <w:iCs/>
          <w:color w:val="000000"/>
          <w:szCs w:val="24"/>
          <w:lang w:eastAsia="sv-SE"/>
        </w:rPr>
        <w:t>t</w:t>
      </w:r>
      <w:r w:rsidRPr="001C3254">
        <w:rPr>
          <w:rFonts w:cs="OrigGarmnd BT"/>
          <w:iCs/>
          <w:color w:val="000000"/>
          <w:szCs w:val="24"/>
          <w:lang w:eastAsia="sv-SE"/>
        </w:rPr>
        <w:t xml:space="preserve">. Regeringen vill se att Europeiska rådet blir en positiv manifestation för utvidgningen. </w:t>
      </w: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p>
    <w:p w:rsidR="00AE6D09" w:rsidRPr="001C3254" w:rsidRDefault="00AE6D09" w:rsidP="00AE6D09">
      <w:pPr>
        <w:tabs>
          <w:tab w:val="left" w:pos="2835"/>
        </w:tabs>
        <w:overflowPunct/>
        <w:spacing w:line="240" w:lineRule="auto"/>
        <w:textAlignment w:val="auto"/>
        <w:rPr>
          <w:rFonts w:cs="OrigGarmnd BT"/>
          <w:iCs/>
          <w:color w:val="000000"/>
          <w:szCs w:val="24"/>
          <w:lang w:eastAsia="sv-SE"/>
        </w:rPr>
      </w:pPr>
      <w:r w:rsidRPr="001C3254">
        <w:rPr>
          <w:rFonts w:cs="OrigGarmnd BT"/>
          <w:iCs/>
          <w:color w:val="000000"/>
          <w:szCs w:val="24"/>
          <w:lang w:eastAsia="sv-SE"/>
        </w:rPr>
        <w:t xml:space="preserve">Bulgariens och Rumäniens Schengenanslutning </w:t>
      </w:r>
      <w:r w:rsidR="0077715B" w:rsidRPr="001C3254">
        <w:rPr>
          <w:rFonts w:cs="OrigGarmnd BT"/>
          <w:iCs/>
          <w:color w:val="000000"/>
          <w:szCs w:val="24"/>
          <w:lang w:eastAsia="sv-SE"/>
        </w:rPr>
        <w:t xml:space="preserve">kan </w:t>
      </w:r>
      <w:r w:rsidRPr="001C3254">
        <w:rPr>
          <w:rFonts w:cs="OrigGarmnd BT"/>
          <w:iCs/>
          <w:color w:val="000000"/>
          <w:szCs w:val="24"/>
          <w:lang w:eastAsia="sv-SE"/>
        </w:rPr>
        <w:t xml:space="preserve">komma att </w:t>
      </w:r>
      <w:r w:rsidR="001525BF" w:rsidRPr="001C3254">
        <w:rPr>
          <w:rFonts w:cs="OrigGarmnd BT"/>
          <w:iCs/>
          <w:color w:val="000000"/>
          <w:szCs w:val="24"/>
          <w:lang w:eastAsia="sv-SE"/>
        </w:rPr>
        <w:t xml:space="preserve">beröras </w:t>
      </w:r>
      <w:r w:rsidRPr="001C3254">
        <w:rPr>
          <w:rFonts w:cs="OrigGarmnd BT"/>
          <w:iCs/>
          <w:color w:val="000000"/>
          <w:szCs w:val="24"/>
          <w:lang w:eastAsia="sv-SE"/>
        </w:rPr>
        <w:t xml:space="preserve">om ingen lösning på frågan har kunnat nås före mötet. De båda länderna uppfyller enligt utvärderingar de krav man ställer på medlemsstater som </w:t>
      </w:r>
      <w:r w:rsidR="001525BF" w:rsidRPr="001C3254">
        <w:rPr>
          <w:rFonts w:cs="OrigGarmnd BT"/>
          <w:iCs/>
          <w:color w:val="000000"/>
          <w:szCs w:val="24"/>
          <w:lang w:eastAsia="sv-SE"/>
        </w:rPr>
        <w:t xml:space="preserve">vill </w:t>
      </w:r>
      <w:r w:rsidRPr="001C3254">
        <w:rPr>
          <w:rFonts w:cs="OrigGarmnd BT"/>
          <w:iCs/>
          <w:color w:val="000000"/>
          <w:szCs w:val="24"/>
          <w:lang w:eastAsia="sv-SE"/>
        </w:rPr>
        <w:t>ansluta sig till Schengensamarbetet Regeringen stödjer därför en så snar anslutning som möjligt.</w:t>
      </w:r>
    </w:p>
    <w:p w:rsidR="0077715B" w:rsidRPr="001C3254" w:rsidRDefault="0077715B" w:rsidP="00AE6D09">
      <w:pPr>
        <w:tabs>
          <w:tab w:val="left" w:pos="2835"/>
        </w:tabs>
        <w:overflowPunct/>
        <w:spacing w:line="240" w:lineRule="auto"/>
        <w:textAlignment w:val="auto"/>
        <w:rPr>
          <w:rFonts w:cs="OrigGarmnd BT"/>
          <w:iCs/>
          <w:color w:val="000000"/>
          <w:szCs w:val="24"/>
          <w:lang w:eastAsia="sv-SE"/>
        </w:rPr>
      </w:pPr>
    </w:p>
    <w:p w:rsidR="0077715B" w:rsidRPr="001C3254" w:rsidRDefault="0077715B" w:rsidP="00AE6D09">
      <w:pPr>
        <w:tabs>
          <w:tab w:val="left" w:pos="2835"/>
        </w:tabs>
        <w:overflowPunct/>
        <w:spacing w:line="240" w:lineRule="auto"/>
        <w:textAlignment w:val="auto"/>
        <w:rPr>
          <w:rFonts w:cs="OrigGarmnd BT"/>
          <w:iCs/>
          <w:color w:val="000000"/>
          <w:szCs w:val="24"/>
          <w:lang w:eastAsia="sv-SE"/>
        </w:rPr>
      </w:pPr>
      <w:r w:rsidRPr="001C3254">
        <w:rPr>
          <w:rFonts w:cs="OrigGarmnd BT"/>
          <w:iCs/>
          <w:color w:val="000000"/>
          <w:szCs w:val="24"/>
          <w:lang w:eastAsia="sv-SE"/>
        </w:rPr>
        <w:t xml:space="preserve">Europeiska rådet ska också följa upp vidtagna åtgärder på energiområdet utifrån sitt möte den 4 februari 2011. Europeiska rådet väntas också dels välkomna de hittills genomförda förhandlingarna om EU:s nästa fleråriga budgetram, dels notera den rapport i frågan som det polska ordförandeskapet ska presentera. </w:t>
      </w:r>
    </w:p>
    <w:p w:rsidR="00AE6D09" w:rsidRPr="001C3254" w:rsidRDefault="00AE6D09" w:rsidP="002C10D9">
      <w:pPr>
        <w:tabs>
          <w:tab w:val="left" w:pos="2835"/>
        </w:tabs>
        <w:overflowPunct/>
        <w:spacing w:line="240" w:lineRule="auto"/>
        <w:textAlignment w:val="auto"/>
        <w:rPr>
          <w:rFonts w:cs="OrigGarmnd BT"/>
          <w:i/>
          <w:iCs/>
          <w:color w:val="000000"/>
          <w:szCs w:val="24"/>
          <w:lang w:eastAsia="sv-SE"/>
        </w:rPr>
      </w:pPr>
    </w:p>
    <w:p w:rsidR="00427C31" w:rsidRPr="001C3254" w:rsidRDefault="004D1E8F" w:rsidP="00427C31">
      <w:pPr>
        <w:keepNext/>
        <w:tabs>
          <w:tab w:val="left" w:pos="1134"/>
          <w:tab w:val="left" w:pos="2835"/>
        </w:tabs>
        <w:suppressAutoHyphens w:val="0"/>
        <w:overflowPunct/>
        <w:autoSpaceDN w:val="0"/>
        <w:adjustRightInd w:val="0"/>
        <w:spacing w:before="240" w:after="120" w:line="240" w:lineRule="auto"/>
        <w:textAlignment w:val="auto"/>
        <w:rPr>
          <w:rFonts w:ascii="TradeGothic" w:hAnsi="TradeGothic" w:cs="TradeGothic"/>
          <w:b/>
          <w:bCs/>
          <w:color w:val="000000"/>
          <w:sz w:val="22"/>
          <w:szCs w:val="22"/>
          <w:lang w:eastAsia="sv-SE"/>
        </w:rPr>
      </w:pPr>
      <w:r w:rsidRPr="001C3254">
        <w:rPr>
          <w:rFonts w:ascii="TradeGothic" w:hAnsi="TradeGothic" w:cs="TradeGothic"/>
          <w:b/>
          <w:bCs/>
          <w:color w:val="000000"/>
          <w:sz w:val="22"/>
          <w:szCs w:val="22"/>
          <w:lang w:eastAsia="sv-SE"/>
        </w:rPr>
        <w:t>7</w:t>
      </w:r>
      <w:r w:rsidR="00427C31" w:rsidRPr="001C3254">
        <w:rPr>
          <w:rFonts w:ascii="TradeGothic" w:hAnsi="TradeGothic" w:cs="TradeGothic"/>
          <w:b/>
          <w:bCs/>
          <w:color w:val="000000"/>
          <w:sz w:val="22"/>
          <w:szCs w:val="22"/>
          <w:lang w:eastAsia="sv-SE"/>
        </w:rPr>
        <w:t xml:space="preserve">. </w:t>
      </w:r>
      <w:r w:rsidR="00427C31" w:rsidRPr="001C3254">
        <w:rPr>
          <w:rFonts w:ascii="TradeGothic" w:hAnsi="TradeGothic" w:cs="TradeGothic"/>
          <w:b/>
          <w:bCs/>
          <w:color w:val="000000"/>
          <w:sz w:val="22"/>
          <w:szCs w:val="22"/>
          <w:lang w:eastAsia="sv-SE"/>
        </w:rPr>
        <w:tab/>
      </w:r>
      <w:r w:rsidR="00A871E7" w:rsidRPr="001C3254">
        <w:rPr>
          <w:rFonts w:ascii="TradeGothic" w:hAnsi="TradeGothic" w:cs="TradeGothic"/>
          <w:b/>
          <w:bCs/>
          <w:color w:val="000000"/>
          <w:sz w:val="22"/>
          <w:szCs w:val="22"/>
          <w:lang w:eastAsia="sv-SE"/>
        </w:rPr>
        <w:t>Kommissionens arbetsprogram för 2012</w:t>
      </w:r>
    </w:p>
    <w:p w:rsidR="00427C31" w:rsidRPr="001C3254" w:rsidRDefault="00427C31" w:rsidP="00427C31">
      <w:pPr>
        <w:tabs>
          <w:tab w:val="left" w:pos="2835"/>
        </w:tabs>
        <w:suppressAutoHyphens w:val="0"/>
        <w:overflowPunct/>
        <w:autoSpaceDN w:val="0"/>
        <w:adjustRightInd w:val="0"/>
        <w:spacing w:line="240" w:lineRule="auto"/>
        <w:textAlignment w:val="auto"/>
        <w:rPr>
          <w:rFonts w:ascii="TradeGothic" w:hAnsi="TradeGothic" w:cs="TradeGothic"/>
          <w:b/>
          <w:bCs/>
          <w:color w:val="000000"/>
          <w:sz w:val="22"/>
          <w:szCs w:val="22"/>
          <w:lang w:eastAsia="sv-SE"/>
        </w:rPr>
      </w:pPr>
    </w:p>
    <w:p w:rsidR="000504E0" w:rsidRPr="001C3254" w:rsidRDefault="004D1E8F">
      <w:pPr>
        <w:pStyle w:val="RKnormal"/>
        <w:rPr>
          <w:i/>
          <w:szCs w:val="24"/>
        </w:rPr>
      </w:pPr>
      <w:r w:rsidRPr="001C3254">
        <w:rPr>
          <w:i/>
          <w:szCs w:val="24"/>
        </w:rPr>
        <w:t>Informationspunkt</w:t>
      </w:r>
    </w:p>
    <w:p w:rsidR="00E63D36" w:rsidRPr="001C3254" w:rsidRDefault="00E63D36" w:rsidP="00E63D36">
      <w:pPr>
        <w:pStyle w:val="RKnormal"/>
        <w:rPr>
          <w:szCs w:val="24"/>
        </w:rPr>
      </w:pPr>
    </w:p>
    <w:p w:rsidR="00E63D36" w:rsidRPr="001C3254" w:rsidRDefault="00E63D36" w:rsidP="00E63D36">
      <w:pPr>
        <w:pStyle w:val="RKnormal"/>
        <w:rPr>
          <w:szCs w:val="24"/>
        </w:rPr>
      </w:pPr>
      <w:r w:rsidRPr="001C3254">
        <w:rPr>
          <w:szCs w:val="24"/>
        </w:rPr>
        <w:t>Kommissionen kommer att presentera sitt arbetsprogram för 2012. Programmet innehåller 129 initiativ som kommissionen planerar att presentera under år 2012 samt ytterligare ett sjuttiotal förslag som kommissionen avser att lägga under år 2013 och 2014, dvs. återstoden av kommissionens mandatperiod.</w:t>
      </w:r>
    </w:p>
    <w:p w:rsidR="00E63D36" w:rsidRPr="001C3254" w:rsidRDefault="00E63D36" w:rsidP="00E63D36">
      <w:pPr>
        <w:pStyle w:val="RKnormal"/>
        <w:rPr>
          <w:szCs w:val="24"/>
        </w:rPr>
      </w:pPr>
    </w:p>
    <w:p w:rsidR="00E63D36" w:rsidRPr="001C3254" w:rsidRDefault="00E63D36">
      <w:pPr>
        <w:pStyle w:val="RKnormal"/>
        <w:rPr>
          <w:szCs w:val="24"/>
        </w:rPr>
      </w:pPr>
      <w:r w:rsidRPr="001C3254">
        <w:rPr>
          <w:szCs w:val="24"/>
        </w:rPr>
        <w:t>Regeringen välkomnar i stort kommissionens arbetsprogram. Regeringen kommer att få anledning att återkomma till dessa initiativ under det kommande året allt eftersom kommissionen lägger förslagen.</w:t>
      </w:r>
    </w:p>
    <w:p w:rsidR="007A300C" w:rsidRPr="001C3254" w:rsidRDefault="004D1E8F" w:rsidP="00826BC8">
      <w:pPr>
        <w:pStyle w:val="RKrubrik"/>
      </w:pPr>
      <w:r w:rsidRPr="001C3254">
        <w:t>8</w:t>
      </w:r>
      <w:r w:rsidR="00E82DEE" w:rsidRPr="001C3254">
        <w:t xml:space="preserve">. </w:t>
      </w:r>
      <w:r w:rsidR="00E82DEE" w:rsidRPr="001C3254">
        <w:tab/>
      </w:r>
      <w:r w:rsidR="00427C31" w:rsidRPr="001C3254">
        <w:t xml:space="preserve">Förberedelser inför </w:t>
      </w:r>
      <w:r w:rsidR="00A871E7" w:rsidRPr="001C3254">
        <w:t xml:space="preserve">anslutningskonferensen på ministernivå med </w:t>
      </w:r>
      <w:r w:rsidR="00A871E7" w:rsidRPr="001C3254">
        <w:tab/>
        <w:t>Island</w:t>
      </w:r>
    </w:p>
    <w:p w:rsidR="00A871E7" w:rsidRPr="001C3254" w:rsidRDefault="00A871E7" w:rsidP="00A871E7">
      <w:pPr>
        <w:tabs>
          <w:tab w:val="left" w:pos="2835"/>
        </w:tabs>
        <w:suppressAutoHyphens w:val="0"/>
        <w:overflowPunct/>
        <w:autoSpaceDN w:val="0"/>
        <w:adjustRightInd w:val="0"/>
        <w:spacing w:line="240" w:lineRule="auto"/>
        <w:textAlignment w:val="auto"/>
        <w:rPr>
          <w:rFonts w:ascii="Tms Rmn" w:hAnsi="Tms Rmn"/>
          <w:b/>
          <w:bCs/>
          <w:szCs w:val="24"/>
          <w:lang w:eastAsia="sv-SE"/>
        </w:rPr>
      </w:pPr>
    </w:p>
    <w:p w:rsidR="006B11CD" w:rsidRPr="001C3254" w:rsidRDefault="006B11CD" w:rsidP="006B11CD">
      <w:pPr>
        <w:tabs>
          <w:tab w:val="left" w:pos="2835"/>
        </w:tabs>
        <w:overflowPunct/>
        <w:spacing w:line="240" w:lineRule="auto"/>
        <w:textAlignment w:val="auto"/>
        <w:rPr>
          <w:rFonts w:cs="OrigGarmnd BT"/>
          <w:i/>
          <w:iCs/>
          <w:color w:val="000000"/>
          <w:szCs w:val="24"/>
          <w:lang w:eastAsia="sv-SE"/>
        </w:rPr>
      </w:pPr>
      <w:r w:rsidRPr="001C3254">
        <w:rPr>
          <w:rFonts w:cs="OrigGarmnd BT"/>
          <w:i/>
          <w:iCs/>
          <w:color w:val="000000"/>
          <w:szCs w:val="24"/>
          <w:lang w:eastAsia="sv-SE"/>
        </w:rPr>
        <w:t>Informationspunkt</w:t>
      </w:r>
    </w:p>
    <w:p w:rsidR="006B11CD" w:rsidRPr="001C3254" w:rsidRDefault="006B11CD" w:rsidP="006B11CD">
      <w:pPr>
        <w:tabs>
          <w:tab w:val="left" w:pos="2835"/>
        </w:tabs>
        <w:overflowPunct/>
        <w:spacing w:line="240" w:lineRule="auto"/>
        <w:textAlignment w:val="auto"/>
        <w:rPr>
          <w:rFonts w:cs="OrigGarmnd BT"/>
          <w:i/>
          <w:iCs/>
          <w:color w:val="000000"/>
          <w:szCs w:val="24"/>
          <w:lang w:eastAsia="sv-SE"/>
        </w:rPr>
      </w:pPr>
    </w:p>
    <w:p w:rsidR="006B11CD" w:rsidRPr="001C3254" w:rsidRDefault="006B11CD" w:rsidP="005932D0">
      <w:pPr>
        <w:pStyle w:val="RKnormal"/>
        <w:rPr>
          <w:lang w:eastAsia="sv-SE"/>
        </w:rPr>
      </w:pPr>
      <w:r w:rsidRPr="001C3254">
        <w:rPr>
          <w:lang w:eastAsia="sv-SE"/>
        </w:rPr>
        <w:t xml:space="preserve">Ordförandeskapet väntas informera om läget i de isländska EU-förhandlingarna inför anslutningskonferensen </w:t>
      </w:r>
      <w:r w:rsidR="00BC47F3" w:rsidRPr="001C3254">
        <w:rPr>
          <w:lang w:eastAsia="sv-SE"/>
        </w:rPr>
        <w:t xml:space="preserve">som är </w:t>
      </w:r>
      <w:r w:rsidRPr="001C3254">
        <w:rPr>
          <w:lang w:eastAsia="sv-SE"/>
        </w:rPr>
        <w:t xml:space="preserve">planerad till den 12 december, i vilken den isländske utrikesministern, </w:t>
      </w:r>
      <w:r w:rsidR="00BC47F3" w:rsidRPr="001C3254">
        <w:rPr>
          <w:lang w:eastAsia="sv-SE"/>
        </w:rPr>
        <w:t>k</w:t>
      </w:r>
      <w:r w:rsidRPr="001C3254">
        <w:rPr>
          <w:lang w:eastAsia="sv-SE"/>
        </w:rPr>
        <w:t xml:space="preserve">ommissionen och </w:t>
      </w:r>
      <w:r w:rsidR="00BC47F3" w:rsidRPr="001C3254">
        <w:rPr>
          <w:lang w:eastAsia="sv-SE"/>
        </w:rPr>
        <w:t>det polska o</w:t>
      </w:r>
      <w:r w:rsidRPr="001C3254">
        <w:rPr>
          <w:lang w:eastAsia="sv-SE"/>
        </w:rPr>
        <w:t>rdförandeskapet deltar. Åtminstone fyra förhandlingskapitel förväntas kunna både öppnas och stängas provisoriskt vid detta tillfälle</w:t>
      </w:r>
      <w:r w:rsidR="00BC47F3" w:rsidRPr="001C3254">
        <w:rPr>
          <w:lang w:eastAsia="sv-SE"/>
        </w:rPr>
        <w:t>:</w:t>
      </w:r>
      <w:r w:rsidRPr="001C3254">
        <w:rPr>
          <w:lang w:eastAsia="sv-SE"/>
        </w:rPr>
        <w:t xml:space="preserve"> Bolagsrätt, Näringslivspolitik, Transeuropeiska nätverk </w:t>
      </w:r>
      <w:r w:rsidR="00BC47F3" w:rsidRPr="001C3254">
        <w:rPr>
          <w:lang w:eastAsia="sv-SE"/>
        </w:rPr>
        <w:t xml:space="preserve">samt </w:t>
      </w:r>
      <w:r w:rsidRPr="001C3254">
        <w:rPr>
          <w:lang w:eastAsia="sv-SE"/>
        </w:rPr>
        <w:t>Rättsväsende och grundläggande rättigheter. Kapitlet Finansiella och budgetära frågor tros kunna öppnas för förhandlingar men stängas först då lagstiftningen anpassats ytterligare till EU</w:t>
      </w:r>
      <w:r w:rsidR="00BC47F3" w:rsidRPr="001C3254">
        <w:rPr>
          <w:lang w:eastAsia="sv-SE"/>
        </w:rPr>
        <w:t>:</w:t>
      </w:r>
      <w:r w:rsidRPr="001C3254">
        <w:rPr>
          <w:lang w:eastAsia="sv-SE"/>
        </w:rPr>
        <w:t xml:space="preserve">s regelverk. Blir detta utfallet kommer totalt åtta (av 35) förhandlingskapitel att ha stängts och sju ha öppnats vid årets slut. </w:t>
      </w:r>
    </w:p>
    <w:p w:rsidR="006B11CD" w:rsidRPr="001C3254" w:rsidRDefault="004D1E8F" w:rsidP="00427C31">
      <w:pPr>
        <w:pStyle w:val="RKrubrik"/>
      </w:pPr>
      <w:r w:rsidRPr="001C3254">
        <w:t>9</w:t>
      </w:r>
      <w:r w:rsidR="00A871E7" w:rsidRPr="001C3254">
        <w:t xml:space="preserve">. </w:t>
      </w:r>
      <w:r w:rsidR="00A871E7" w:rsidRPr="001C3254">
        <w:tab/>
      </w:r>
      <w:r w:rsidRPr="001C3254">
        <w:t>Utvidgning och om stabiliserings- och associeringsprocessen</w:t>
      </w:r>
      <w:r w:rsidR="006B11CD" w:rsidRPr="001C3254">
        <w:t xml:space="preserve"> </w:t>
      </w:r>
    </w:p>
    <w:p w:rsidR="006B11CD" w:rsidRPr="001C3254" w:rsidRDefault="006B11CD" w:rsidP="005932D0">
      <w:pPr>
        <w:pStyle w:val="RKrubrik"/>
      </w:pPr>
      <w:r w:rsidRPr="001C3254">
        <w:t xml:space="preserve">= </w:t>
      </w:r>
      <w:r w:rsidRPr="001C3254">
        <w:tab/>
        <w:t>Rådets slutsatser</w:t>
      </w:r>
    </w:p>
    <w:p w:rsidR="006B11CD" w:rsidRPr="001C3254" w:rsidRDefault="006B11CD" w:rsidP="006B11CD">
      <w:pPr>
        <w:tabs>
          <w:tab w:val="left" w:pos="2835"/>
        </w:tabs>
        <w:suppressAutoHyphens w:val="0"/>
        <w:overflowPunct/>
        <w:autoSpaceDN w:val="0"/>
        <w:adjustRightInd w:val="0"/>
        <w:spacing w:line="240" w:lineRule="auto"/>
        <w:textAlignment w:val="auto"/>
        <w:rPr>
          <w:rFonts w:cs="OrigGarmnd BT"/>
          <w:b/>
          <w:bCs/>
          <w:i/>
          <w:iCs/>
          <w:color w:val="000000"/>
          <w:szCs w:val="24"/>
          <w:lang w:eastAsia="sv-SE"/>
        </w:rPr>
      </w:pPr>
    </w:p>
    <w:p w:rsidR="006B11CD" w:rsidRPr="001C3254" w:rsidRDefault="006B11CD" w:rsidP="006B11CD">
      <w:pPr>
        <w:tabs>
          <w:tab w:val="left" w:pos="2835"/>
        </w:tabs>
        <w:suppressAutoHyphens w:val="0"/>
        <w:overflowPunct/>
        <w:autoSpaceDN w:val="0"/>
        <w:adjustRightInd w:val="0"/>
        <w:spacing w:line="240" w:lineRule="auto"/>
        <w:textAlignment w:val="auto"/>
        <w:rPr>
          <w:rFonts w:cs="OrigGarmnd BT"/>
          <w:i/>
          <w:iCs/>
          <w:color w:val="000000"/>
          <w:szCs w:val="24"/>
          <w:lang w:eastAsia="sv-SE"/>
        </w:rPr>
      </w:pPr>
      <w:r w:rsidRPr="001C3254">
        <w:rPr>
          <w:rFonts w:cs="OrigGarmnd BT"/>
          <w:i/>
          <w:iCs/>
          <w:color w:val="000000"/>
          <w:szCs w:val="24"/>
          <w:lang w:eastAsia="sv-SE"/>
        </w:rPr>
        <w:t>Diskussions- samt beslutspunkt</w:t>
      </w:r>
    </w:p>
    <w:p w:rsidR="006B11CD" w:rsidRPr="001C3254" w:rsidRDefault="006B11CD" w:rsidP="006B11CD">
      <w:pPr>
        <w:tabs>
          <w:tab w:val="left" w:pos="2835"/>
        </w:tabs>
        <w:suppressAutoHyphens w:val="0"/>
        <w:overflowPunct/>
        <w:autoSpaceDN w:val="0"/>
        <w:adjustRightInd w:val="0"/>
        <w:spacing w:line="240" w:lineRule="auto"/>
        <w:textAlignment w:val="auto"/>
        <w:rPr>
          <w:rFonts w:cs="OrigGarmnd BT"/>
          <w:i/>
          <w:iCs/>
          <w:color w:val="000000"/>
          <w:szCs w:val="24"/>
          <w:lang w:eastAsia="sv-SE"/>
        </w:rPr>
      </w:pPr>
    </w:p>
    <w:p w:rsidR="006B11CD" w:rsidRPr="001C3254" w:rsidRDefault="006B11CD" w:rsidP="006B11CD">
      <w:pPr>
        <w:tabs>
          <w:tab w:val="left" w:pos="2835"/>
        </w:tabs>
        <w:suppressAutoHyphens w:val="0"/>
        <w:overflowPunct/>
        <w:autoSpaceDN w:val="0"/>
        <w:adjustRightInd w:val="0"/>
        <w:spacing w:line="240" w:lineRule="auto"/>
        <w:textAlignment w:val="auto"/>
        <w:rPr>
          <w:rFonts w:cs="OrigGarmnd BT"/>
          <w:iCs/>
          <w:color w:val="000000"/>
          <w:szCs w:val="24"/>
          <w:lang w:eastAsia="sv-SE"/>
        </w:rPr>
      </w:pPr>
      <w:r w:rsidRPr="001C3254">
        <w:rPr>
          <w:rFonts w:cs="OrigGarmnd BT"/>
          <w:iCs/>
          <w:color w:val="000000"/>
          <w:szCs w:val="24"/>
          <w:lang w:eastAsia="sv-SE"/>
        </w:rPr>
        <w:t>Den 12 oktober</w:t>
      </w:r>
      <w:r w:rsidR="006E42C2" w:rsidRPr="001C3254">
        <w:rPr>
          <w:rFonts w:cs="OrigGarmnd BT"/>
          <w:iCs/>
          <w:color w:val="000000"/>
          <w:szCs w:val="24"/>
          <w:lang w:eastAsia="sv-SE"/>
        </w:rPr>
        <w:t xml:space="preserve"> 2011 presenterade k</w:t>
      </w:r>
      <w:r w:rsidRPr="001C3254">
        <w:rPr>
          <w:rFonts w:cs="OrigGarmnd BT"/>
          <w:iCs/>
          <w:color w:val="000000"/>
          <w:szCs w:val="24"/>
          <w:lang w:eastAsia="sv-SE"/>
        </w:rPr>
        <w:t xml:space="preserve">ommissionens sitt årliga utvidgningspaket. </w:t>
      </w:r>
      <w:r w:rsidR="006E42C2" w:rsidRPr="001C3254">
        <w:rPr>
          <w:rFonts w:cs="OrigGarmnd BT"/>
          <w:iCs/>
          <w:color w:val="000000"/>
          <w:szCs w:val="24"/>
          <w:lang w:eastAsia="sv-SE"/>
        </w:rPr>
        <w:t>Allmänna rådet</w:t>
      </w:r>
      <w:r w:rsidRPr="001C3254">
        <w:rPr>
          <w:rFonts w:cs="OrigGarmnd BT"/>
          <w:iCs/>
          <w:color w:val="000000"/>
          <w:szCs w:val="24"/>
          <w:lang w:eastAsia="sv-SE"/>
        </w:rPr>
        <w:t xml:space="preserve"> förväntas den 5 december anta rådslutsatser om utvidgningen</w:t>
      </w:r>
      <w:r w:rsidR="006E42C2" w:rsidRPr="001C3254">
        <w:rPr>
          <w:rFonts w:cs="OrigGarmnd BT"/>
          <w:iCs/>
          <w:color w:val="000000"/>
          <w:szCs w:val="24"/>
          <w:lang w:eastAsia="sv-SE"/>
        </w:rPr>
        <w:t xml:space="preserve"> som reflekterar rådets syn på k</w:t>
      </w:r>
      <w:r w:rsidRPr="001C3254">
        <w:rPr>
          <w:rFonts w:cs="OrigGarmnd BT"/>
          <w:iCs/>
          <w:color w:val="000000"/>
          <w:szCs w:val="24"/>
          <w:lang w:eastAsia="sv-SE"/>
        </w:rPr>
        <w:t xml:space="preserve">ommissionens </w:t>
      </w:r>
      <w:r w:rsidR="00A82C55" w:rsidRPr="001C3254">
        <w:rPr>
          <w:rFonts w:cs="OrigGarmnd BT"/>
          <w:iCs/>
          <w:color w:val="000000"/>
          <w:szCs w:val="24"/>
          <w:lang w:eastAsia="sv-SE"/>
        </w:rPr>
        <w:t xml:space="preserve">bedömning av </w:t>
      </w:r>
      <w:r w:rsidRPr="001C3254">
        <w:rPr>
          <w:rFonts w:cs="OrigGarmnd BT"/>
          <w:iCs/>
          <w:color w:val="000000"/>
          <w:szCs w:val="24"/>
          <w:lang w:eastAsia="sv-SE"/>
        </w:rPr>
        <w:t xml:space="preserve">och rekommendationer för de aktuella länderna i processen. Diskussionerna i </w:t>
      </w:r>
      <w:r w:rsidR="006454D8" w:rsidRPr="001C3254">
        <w:rPr>
          <w:rFonts w:cs="OrigGarmnd BT"/>
          <w:iCs/>
          <w:color w:val="000000"/>
          <w:szCs w:val="24"/>
          <w:lang w:eastAsia="sv-SE"/>
        </w:rPr>
        <w:t>a</w:t>
      </w:r>
      <w:r w:rsidR="006E42C2" w:rsidRPr="001C3254">
        <w:rPr>
          <w:rFonts w:cs="OrigGarmnd BT"/>
          <w:iCs/>
          <w:color w:val="000000"/>
          <w:szCs w:val="24"/>
          <w:lang w:eastAsia="sv-SE"/>
        </w:rPr>
        <w:t>llmänna rådet</w:t>
      </w:r>
      <w:r w:rsidRPr="001C3254">
        <w:rPr>
          <w:rFonts w:cs="OrigGarmnd BT"/>
          <w:iCs/>
          <w:color w:val="000000"/>
          <w:szCs w:val="24"/>
          <w:lang w:eastAsia="sv-SE"/>
        </w:rPr>
        <w:t xml:space="preserve"> kommer troligen fokusera på Serbien, Kosovo, Montenegro och Turkiet. </w:t>
      </w:r>
    </w:p>
    <w:p w:rsidR="006B11CD" w:rsidRPr="001C3254" w:rsidRDefault="006B11CD" w:rsidP="006B11CD">
      <w:pPr>
        <w:tabs>
          <w:tab w:val="left" w:pos="2835"/>
        </w:tabs>
        <w:suppressAutoHyphens w:val="0"/>
        <w:overflowPunct/>
        <w:autoSpaceDN w:val="0"/>
        <w:adjustRightInd w:val="0"/>
        <w:spacing w:line="240" w:lineRule="auto"/>
        <w:textAlignment w:val="auto"/>
        <w:rPr>
          <w:rFonts w:cs="OrigGarmnd BT"/>
          <w:iCs/>
          <w:color w:val="000000"/>
          <w:szCs w:val="24"/>
          <w:lang w:eastAsia="sv-SE"/>
        </w:rPr>
      </w:pPr>
    </w:p>
    <w:p w:rsidR="00914A12" w:rsidRPr="001C3254" w:rsidRDefault="006B11CD" w:rsidP="00DD682F">
      <w:pPr>
        <w:tabs>
          <w:tab w:val="left" w:pos="2835"/>
        </w:tabs>
        <w:suppressAutoHyphens w:val="0"/>
        <w:overflowPunct/>
        <w:autoSpaceDN w:val="0"/>
        <w:adjustRightInd w:val="0"/>
        <w:spacing w:line="240" w:lineRule="auto"/>
        <w:textAlignment w:val="auto"/>
        <w:rPr>
          <w:rFonts w:cs="OrigGarmnd BT"/>
          <w:iCs/>
          <w:color w:val="000000"/>
          <w:szCs w:val="24"/>
          <w:lang w:eastAsia="sv-SE"/>
        </w:rPr>
      </w:pPr>
      <w:r w:rsidRPr="001C3254">
        <w:rPr>
          <w:rFonts w:cs="OrigGarmnd BT"/>
          <w:iCs/>
          <w:color w:val="000000"/>
          <w:szCs w:val="24"/>
          <w:lang w:eastAsia="sv-SE"/>
        </w:rPr>
        <w:t xml:space="preserve">EU:s fortsatta utvidgning är en central fråga i svensk utrikespolitik och Sverige välkomnar att </w:t>
      </w:r>
      <w:r w:rsidR="006E42C2" w:rsidRPr="001C3254">
        <w:rPr>
          <w:rFonts w:cs="OrigGarmnd BT"/>
          <w:iCs/>
          <w:color w:val="000000"/>
          <w:szCs w:val="24"/>
          <w:lang w:eastAsia="sv-SE"/>
        </w:rPr>
        <w:t>kommissionen</w:t>
      </w:r>
      <w:r w:rsidRPr="001C3254">
        <w:rPr>
          <w:rFonts w:cs="OrigGarmnd BT"/>
          <w:iCs/>
          <w:color w:val="000000"/>
          <w:szCs w:val="24"/>
          <w:lang w:eastAsia="sv-SE"/>
        </w:rPr>
        <w:t xml:space="preserve"> - även i dagens europeiska ekonomiska krisläge – tydligt belägger att det ligger i både EU:s, kandidatländernas och de potentiella kandidatländernas intresse att utvidgningsprocessen fortsätter.</w:t>
      </w:r>
    </w:p>
    <w:p w:rsidR="00CA786A" w:rsidRPr="001C3254" w:rsidRDefault="00CA786A" w:rsidP="00CA786A">
      <w:pPr>
        <w:pStyle w:val="RKrubrik"/>
      </w:pPr>
      <w:r w:rsidRPr="001C3254">
        <w:t xml:space="preserve">10. </w:t>
      </w:r>
      <w:r w:rsidRPr="001C3254">
        <w:tab/>
        <w:t>Övriga frågor</w:t>
      </w:r>
    </w:p>
    <w:p w:rsidR="00CA786A" w:rsidRPr="001C3254" w:rsidRDefault="00CA786A" w:rsidP="00CA786A">
      <w:pPr>
        <w:pStyle w:val="RKrubrik"/>
      </w:pPr>
      <w:r w:rsidRPr="001C3254">
        <w:t>Kommissionens årliga tillväxtrapport</w:t>
      </w:r>
    </w:p>
    <w:p w:rsidR="00CA786A" w:rsidRPr="001C3254" w:rsidRDefault="00CA786A" w:rsidP="00CA786A">
      <w:pPr>
        <w:suppressAutoHyphens w:val="0"/>
        <w:overflowPunct/>
        <w:autoSpaceDN w:val="0"/>
        <w:adjustRightInd w:val="0"/>
        <w:spacing w:line="240" w:lineRule="auto"/>
        <w:textAlignment w:val="auto"/>
        <w:rPr>
          <w:rFonts w:cs="OrigGarmnd BT"/>
          <w:i/>
          <w:color w:val="000000"/>
          <w:szCs w:val="24"/>
          <w:lang w:eastAsia="sv-SE"/>
        </w:rPr>
      </w:pPr>
      <w:r w:rsidRPr="001C3254">
        <w:rPr>
          <w:rFonts w:cs="OrigGarmnd BT"/>
          <w:i/>
          <w:color w:val="000000"/>
          <w:szCs w:val="24"/>
          <w:lang w:eastAsia="sv-SE"/>
        </w:rPr>
        <w:t>Informationspunkt</w:t>
      </w: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r w:rsidRPr="001C3254">
        <w:rPr>
          <w:rFonts w:cs="OrigGarmnd BT"/>
          <w:color w:val="000000"/>
          <w:szCs w:val="24"/>
          <w:lang w:eastAsia="sv-SE"/>
        </w:rPr>
        <w:t xml:space="preserve">Den europeiska terminen utgör från och med januari 2011 EU:s årscykel för granskning och </w:t>
      </w:r>
      <w:r w:rsidR="0091476E" w:rsidRPr="001C3254">
        <w:rPr>
          <w:rFonts w:cs="OrigGarmnd BT"/>
          <w:color w:val="000000"/>
          <w:szCs w:val="24"/>
          <w:lang w:eastAsia="sv-SE"/>
        </w:rPr>
        <w:t xml:space="preserve">närmare </w:t>
      </w:r>
      <w:r w:rsidRPr="001C3254">
        <w:rPr>
          <w:rFonts w:cs="OrigGarmnd BT"/>
          <w:color w:val="000000"/>
          <w:szCs w:val="24"/>
          <w:lang w:eastAsia="sv-SE"/>
        </w:rPr>
        <w:t>samordning av medlemsstaternas ekonomiska politik och sysselsättningspolitik.</w:t>
      </w: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r w:rsidRPr="001C3254">
        <w:rPr>
          <w:rFonts w:cs="OrigGarmnd BT"/>
          <w:color w:val="000000"/>
          <w:szCs w:val="24"/>
          <w:lang w:eastAsia="sv-SE"/>
        </w:rPr>
        <w:t xml:space="preserve">Den 23 november presenterade kommissionen sin årliga tillväxtrapport för 2012. Rapporten anger förslag till övergripande prioriteringar för den ekonomiska och sysselsättningspolitiken för de kommande 12 månaderna inom ramen för den andra europeiska terminen.  </w:t>
      </w: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r w:rsidRPr="001C3254">
        <w:rPr>
          <w:rFonts w:cs="OrigGarmnd BT"/>
          <w:color w:val="000000"/>
          <w:szCs w:val="24"/>
          <w:lang w:eastAsia="sv-SE"/>
        </w:rPr>
        <w:t>Rapporten utgör ett underlag för rådets diskussioner inför Europeiska rådets vårtoppmöte den 1-2 mars 2012, då stats- och regeringscheferna ska lämna vägledning inför medlemsstaternas rapportering inom Europa 2020 och stabilitets- och tillväxtpakten.</w:t>
      </w:r>
    </w:p>
    <w:p w:rsidR="00CA786A" w:rsidRPr="001C3254" w:rsidRDefault="00CA786A" w:rsidP="00CA786A">
      <w:pPr>
        <w:suppressAutoHyphens w:val="0"/>
        <w:overflowPunct/>
        <w:autoSpaceDN w:val="0"/>
        <w:adjustRightInd w:val="0"/>
        <w:spacing w:line="240" w:lineRule="auto"/>
        <w:textAlignment w:val="auto"/>
        <w:rPr>
          <w:rFonts w:cs="OrigGarmnd BT"/>
          <w:color w:val="000000"/>
          <w:szCs w:val="24"/>
          <w:lang w:eastAsia="sv-SE"/>
        </w:rPr>
      </w:pPr>
    </w:p>
    <w:p w:rsidR="00CA786A" w:rsidRPr="001C3254" w:rsidRDefault="00CA786A" w:rsidP="005932D0">
      <w:pPr>
        <w:suppressAutoHyphens w:val="0"/>
        <w:overflowPunct/>
        <w:autoSpaceDN w:val="0"/>
        <w:adjustRightInd w:val="0"/>
        <w:spacing w:line="240" w:lineRule="auto"/>
        <w:textAlignment w:val="auto"/>
      </w:pPr>
      <w:r w:rsidRPr="001C3254">
        <w:rPr>
          <w:rFonts w:cs="OrigGarmnd BT"/>
          <w:color w:val="000000"/>
          <w:szCs w:val="24"/>
          <w:lang w:eastAsia="sv-SE"/>
        </w:rPr>
        <w:t xml:space="preserve">Vid allmänna rådet den 5 december väntas kommissionen presentera de huvudsakliga dragen i tillväxtrapporten och ingen längre diskussion förutses. </w:t>
      </w:r>
    </w:p>
    <w:sectPr w:rsidR="00CA786A" w:rsidRPr="001C3254">
      <w:headerReference w:type="default" r:id="rId8"/>
      <w:pgSz w:w="11906" w:h="16838"/>
      <w:pgMar w:top="765" w:right="1701" w:bottom="1454" w:left="2835" w:header="709"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B47" w:rsidRPr="001C3254" w:rsidRDefault="00CA1B47">
      <w:r w:rsidRPr="001C3254">
        <w:separator/>
      </w:r>
    </w:p>
  </w:endnote>
  <w:endnote w:type="continuationSeparator" w:id="0">
    <w:p w:rsidR="00CA1B47" w:rsidRPr="001C3254" w:rsidRDefault="00CA1B47">
      <w:r w:rsidRPr="001C3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B47" w:rsidRPr="001C3254" w:rsidRDefault="00CA1B47">
      <w:r w:rsidRPr="001C3254">
        <w:separator/>
      </w:r>
    </w:p>
  </w:footnote>
  <w:footnote w:type="continuationSeparator" w:id="0">
    <w:p w:rsidR="00CA1B47" w:rsidRPr="001C3254" w:rsidRDefault="00CA1B47">
      <w:r w:rsidRPr="001C3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BD9" w:rsidRPr="001C3254" w:rsidRDefault="004A2BD9" w:rsidP="00316047">
    <w:pPr>
      <w:pStyle w:val="RKrubrik"/>
      <w:keepNext w:val="0"/>
      <w:tabs>
        <w:tab w:val="clear" w:pos="1134"/>
        <w:tab w:val="clear" w:pos="2835"/>
      </w:tabs>
      <w:spacing w:before="0" w:after="0" w:line="320" w:lineRule="atLea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EntLogo"/>
      <w:lvlText w:val=""/>
      <w:lvlJc w:val="left"/>
      <w:pPr>
        <w:tabs>
          <w:tab w:val="num" w:pos="567"/>
        </w:tabs>
        <w:ind w:left="567" w:hanging="567"/>
      </w:pPr>
      <w:rPr>
        <w:rFonts w:ascii="Symbol" w:hAnsi="Symbol"/>
      </w:rPr>
    </w:lvl>
  </w:abstractNum>
  <w:abstractNum w:abstractNumId="2" w15:restartNumberingAfterBreak="0">
    <w:nsid w:val="194523C0"/>
    <w:multiLevelType w:val="hybridMultilevel"/>
    <w:tmpl w:val="88024726"/>
    <w:lvl w:ilvl="0" w:tplc="D63AF46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F2BEF"/>
    <w:multiLevelType w:val="hybridMultilevel"/>
    <w:tmpl w:val="757ED82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B43262"/>
    <w:multiLevelType w:val="hybridMultilevel"/>
    <w:tmpl w:val="445C00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0C271A"/>
    <w:multiLevelType w:val="hybridMultilevel"/>
    <w:tmpl w:val="88CEF1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1D5B92"/>
    <w:multiLevelType w:val="multilevel"/>
    <w:tmpl w:val="88024726"/>
    <w:lvl w:ilvl="0">
      <w:numFmt w:val="bullet"/>
      <w:lvlText w:val="-"/>
      <w:lvlJc w:val="left"/>
      <w:pPr>
        <w:tabs>
          <w:tab w:val="num" w:pos="720"/>
        </w:tabs>
        <w:ind w:left="720" w:hanging="360"/>
      </w:pPr>
      <w:rPr>
        <w:rFonts w:ascii="OrigGarmnd BT" w:eastAsia="Times New Roman" w:hAnsi="OrigGarmnd BT"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CE1837"/>
    <w:multiLevelType w:val="hybridMultilevel"/>
    <w:tmpl w:val="58B0CEE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746686992">
    <w:abstractNumId w:val="0"/>
  </w:num>
  <w:num w:numId="2" w16cid:durableId="748422565">
    <w:abstractNumId w:val="1"/>
  </w:num>
  <w:num w:numId="3" w16cid:durableId="1109817270">
    <w:abstractNumId w:val="3"/>
  </w:num>
  <w:num w:numId="4" w16cid:durableId="1077825391">
    <w:abstractNumId w:val="7"/>
  </w:num>
  <w:num w:numId="5" w16cid:durableId="647175396">
    <w:abstractNumId w:val="2"/>
  </w:num>
  <w:num w:numId="6" w16cid:durableId="280190181">
    <w:abstractNumId w:val="6"/>
  </w:num>
  <w:num w:numId="7" w16cid:durableId="136338275">
    <w:abstractNumId w:val="4"/>
  </w:num>
  <w:num w:numId="8" w16cid:durableId="1071930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0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4C"/>
    <w:rsid w:val="000504E0"/>
    <w:rsid w:val="000C33B5"/>
    <w:rsid w:val="00120039"/>
    <w:rsid w:val="001525BF"/>
    <w:rsid w:val="00186E51"/>
    <w:rsid w:val="001A4279"/>
    <w:rsid w:val="001C3254"/>
    <w:rsid w:val="001C5A72"/>
    <w:rsid w:val="0021112D"/>
    <w:rsid w:val="00220B9F"/>
    <w:rsid w:val="00245D33"/>
    <w:rsid w:val="00281767"/>
    <w:rsid w:val="002C10D9"/>
    <w:rsid w:val="0030392C"/>
    <w:rsid w:val="00316047"/>
    <w:rsid w:val="00326A1F"/>
    <w:rsid w:val="00354F71"/>
    <w:rsid w:val="00391B35"/>
    <w:rsid w:val="00395B1A"/>
    <w:rsid w:val="003B481C"/>
    <w:rsid w:val="003E0959"/>
    <w:rsid w:val="003F0E08"/>
    <w:rsid w:val="003F6D16"/>
    <w:rsid w:val="0041003F"/>
    <w:rsid w:val="00420629"/>
    <w:rsid w:val="00423891"/>
    <w:rsid w:val="00425933"/>
    <w:rsid w:val="00427C31"/>
    <w:rsid w:val="00444A88"/>
    <w:rsid w:val="0047246D"/>
    <w:rsid w:val="004970ED"/>
    <w:rsid w:val="004A2BD9"/>
    <w:rsid w:val="004D1E8F"/>
    <w:rsid w:val="004F1769"/>
    <w:rsid w:val="004F62E5"/>
    <w:rsid w:val="0050488D"/>
    <w:rsid w:val="00510ECE"/>
    <w:rsid w:val="005146DB"/>
    <w:rsid w:val="0053713C"/>
    <w:rsid w:val="00564F9A"/>
    <w:rsid w:val="00582C62"/>
    <w:rsid w:val="005932D0"/>
    <w:rsid w:val="005B0F8A"/>
    <w:rsid w:val="005B3078"/>
    <w:rsid w:val="005B6CF5"/>
    <w:rsid w:val="00611ABB"/>
    <w:rsid w:val="006454D8"/>
    <w:rsid w:val="00646DCB"/>
    <w:rsid w:val="006A58F2"/>
    <w:rsid w:val="006B11CD"/>
    <w:rsid w:val="006B4105"/>
    <w:rsid w:val="006E42C2"/>
    <w:rsid w:val="007039E7"/>
    <w:rsid w:val="00716B96"/>
    <w:rsid w:val="00717E55"/>
    <w:rsid w:val="00771783"/>
    <w:rsid w:val="00773C62"/>
    <w:rsid w:val="0077715B"/>
    <w:rsid w:val="007A300C"/>
    <w:rsid w:val="007C27C6"/>
    <w:rsid w:val="00826BC8"/>
    <w:rsid w:val="00841D19"/>
    <w:rsid w:val="008523DE"/>
    <w:rsid w:val="0086405B"/>
    <w:rsid w:val="00876385"/>
    <w:rsid w:val="008D049D"/>
    <w:rsid w:val="008E37E6"/>
    <w:rsid w:val="00901B9B"/>
    <w:rsid w:val="0091476E"/>
    <w:rsid w:val="00914A12"/>
    <w:rsid w:val="0093644C"/>
    <w:rsid w:val="0096373B"/>
    <w:rsid w:val="009754F5"/>
    <w:rsid w:val="009C1ACC"/>
    <w:rsid w:val="00A04A21"/>
    <w:rsid w:val="00A1473D"/>
    <w:rsid w:val="00A21E50"/>
    <w:rsid w:val="00A3759D"/>
    <w:rsid w:val="00A46D19"/>
    <w:rsid w:val="00A527F2"/>
    <w:rsid w:val="00A82C55"/>
    <w:rsid w:val="00A871E7"/>
    <w:rsid w:val="00AA567A"/>
    <w:rsid w:val="00AE6D09"/>
    <w:rsid w:val="00B12FF6"/>
    <w:rsid w:val="00B21540"/>
    <w:rsid w:val="00B27750"/>
    <w:rsid w:val="00B27C5D"/>
    <w:rsid w:val="00B4043B"/>
    <w:rsid w:val="00B55EA8"/>
    <w:rsid w:val="00B668FC"/>
    <w:rsid w:val="00B83E26"/>
    <w:rsid w:val="00BB5B2C"/>
    <w:rsid w:val="00BC47F3"/>
    <w:rsid w:val="00C3663C"/>
    <w:rsid w:val="00C57E55"/>
    <w:rsid w:val="00CA1B47"/>
    <w:rsid w:val="00CA786A"/>
    <w:rsid w:val="00CC48B1"/>
    <w:rsid w:val="00CD571F"/>
    <w:rsid w:val="00CF4B71"/>
    <w:rsid w:val="00D45FD4"/>
    <w:rsid w:val="00D54F39"/>
    <w:rsid w:val="00D74C87"/>
    <w:rsid w:val="00D81F1F"/>
    <w:rsid w:val="00DB6CB8"/>
    <w:rsid w:val="00DB74FE"/>
    <w:rsid w:val="00DC0C3A"/>
    <w:rsid w:val="00DD682F"/>
    <w:rsid w:val="00DE7367"/>
    <w:rsid w:val="00E60D6A"/>
    <w:rsid w:val="00E63D36"/>
    <w:rsid w:val="00E648DF"/>
    <w:rsid w:val="00E82DEE"/>
    <w:rsid w:val="00EA1957"/>
    <w:rsid w:val="00EC0408"/>
    <w:rsid w:val="00EC3632"/>
    <w:rsid w:val="00F12B91"/>
    <w:rsid w:val="00F20ED5"/>
    <w:rsid w:val="00F42120"/>
    <w:rsid w:val="00F97EE1"/>
    <w:rsid w:val="00FC6057"/>
    <w:rsid w:val="00FE75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C2BD9B30-56D9-4088-B608-92DD742D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spacing w:line="320" w:lineRule="atLeast"/>
      <w:textAlignment w:val="baseline"/>
    </w:pPr>
    <w:rPr>
      <w:rFonts w:ascii="OrigGarmnd BT" w:hAnsi="OrigGarmnd BT"/>
      <w:sz w:val="24"/>
      <w:lang w:val="sv-SE" w:eastAsia="ar-SA"/>
    </w:rPr>
  </w:style>
  <w:style w:type="paragraph" w:styleId="Rubrik3">
    <w:name w:val="heading 3"/>
    <w:basedOn w:val="Normal"/>
    <w:next w:val="Normal"/>
    <w:qFormat/>
    <w:pPr>
      <w:keepNext/>
      <w:numPr>
        <w:ilvl w:val="2"/>
        <w:numId w:val="1"/>
      </w:numPr>
      <w:overflowPunct/>
      <w:autoSpaceDE/>
      <w:spacing w:before="240" w:after="60" w:line="240" w:lineRule="auto"/>
      <w:textAlignment w:val="auto"/>
      <w:outlineLvl w:val="2"/>
    </w:pPr>
    <w:rPr>
      <w:rFonts w:ascii="Arial" w:hAnsi="Arial" w:cs="Arial"/>
      <w:b/>
      <w:bCs/>
      <w:sz w:val="26"/>
      <w:szCs w:val="26"/>
      <w:lang w:val="en-GB"/>
    </w:r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WW8Num1z0">
    <w:name w:val="WW8Num1z0"/>
    <w:rPr>
      <w:rFonts w:ascii="Symbol" w:hAnsi="Symbol"/>
      <w:color w:val="auto"/>
    </w:rPr>
  </w:style>
  <w:style w:type="character" w:customStyle="1" w:styleId="Standardstycketeckensnitt1">
    <w:name w:val="Standardstycketeckensnitt1"/>
  </w:style>
  <w:style w:type="character" w:styleId="Sidnummer">
    <w:name w:val="page number"/>
    <w:basedOn w:val="Standardstycketeckensnitt1"/>
  </w:style>
  <w:style w:type="character" w:customStyle="1" w:styleId="RKnormalChar">
    <w:name w:val="RKnormal Char"/>
    <w:basedOn w:val="Standardstycketeckensnitt1"/>
    <w:rPr>
      <w:rFonts w:ascii="OrigGarmnd BT" w:hAnsi="OrigGarmnd BT"/>
      <w:sz w:val="24"/>
      <w:lang w:val="sv-SE" w:eastAsia="ar-SA" w:bidi="ar-SA"/>
    </w:rPr>
  </w:style>
  <w:style w:type="paragraph" w:customStyle="1" w:styleId="Heading">
    <w:name w:val="Heading"/>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after="120"/>
    </w:pPr>
  </w:style>
  <w:style w:type="paragraph" w:styleId="Lista">
    <w:name w:val="List"/>
    <w:basedOn w:val="Brdtext"/>
  </w:style>
  <w:style w:type="paragraph" w:customStyle="1"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Avsndare">
    <w:name w:val="Avsändare"/>
    <w:basedOn w:val="Normal"/>
    <w:pPr>
      <w:tabs>
        <w:tab w:val="left" w:pos="3260"/>
      </w:tabs>
      <w:spacing w:line="260" w:lineRule="exact"/>
    </w:pPr>
    <w:rPr>
      <w:rFonts w:ascii="TradeGothic" w:hAnsi="TradeGothic"/>
      <w:i/>
      <w:sz w:val="18"/>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Par-dash">
    <w:name w:val="Par-dash"/>
    <w:basedOn w:val="Normal"/>
    <w:next w:val="Normal"/>
    <w:pPr>
      <w:widowControl w:val="0"/>
      <w:overflowPunct/>
      <w:autoSpaceDE/>
      <w:spacing w:line="360" w:lineRule="auto"/>
      <w:textAlignment w:val="auto"/>
    </w:pPr>
    <w:rPr>
      <w:rFonts w:ascii="Times New Roman" w:hAnsi="Times New Roman"/>
      <w:lang w:val="en-GB"/>
    </w:rPr>
  </w:style>
  <w:style w:type="paragraph" w:customStyle="1" w:styleId="EntLogo">
    <w:name w:val="EntLogo"/>
    <w:basedOn w:val="Normal"/>
    <w:next w:val="Normal"/>
    <w:pPr>
      <w:widowControl w:val="0"/>
      <w:numPr>
        <w:numId w:val="2"/>
      </w:numPr>
      <w:overflowPunct/>
      <w:autoSpaceDE/>
      <w:spacing w:line="360" w:lineRule="auto"/>
      <w:ind w:left="0" w:firstLine="0"/>
      <w:textAlignment w:val="auto"/>
    </w:pPr>
    <w:rPr>
      <w:rFonts w:ascii="Times New Roman" w:hAnsi="Times New Roman"/>
      <w:b/>
      <w:lang w:val="en-GB"/>
    </w:rPr>
  </w:style>
  <w:style w:type="paragraph" w:customStyle="1" w:styleId="Framecontents">
    <w:name w:val="Frame contents"/>
    <w:basedOn w:val="Brd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idfot">
    <w:name w:val="footer"/>
    <w:basedOn w:val="Normal"/>
    <w:pPr>
      <w:suppressLineNumbers/>
      <w:tabs>
        <w:tab w:val="center" w:pos="4819"/>
        <w:tab w:val="right" w:pos="9638"/>
      </w:tabs>
    </w:pPr>
  </w:style>
  <w:style w:type="paragraph" w:customStyle="1" w:styleId="PreformattedText">
    <w:name w:val="Preformatted Text"/>
    <w:basedOn w:val="Normal"/>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5801</Characters>
  <Application>Microsoft Office Word</Application>
  <DocSecurity>4</DocSecurity>
  <Lines>138</Lines>
  <Paragraphs>45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2011-11-28T13:55:00Z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ActivityCategory">
    <vt:lpwstr>4.1. Europeiska unionen</vt:lpwstr>
  </property>
  <property fmtid="{D5CDD505-2E9C-101B-9397-08002B2CF9AE}" pid="4" name="RKOrdnaClass">
    <vt:lpwstr>3</vt:lpwstr>
  </property>
  <property fmtid="{D5CDD505-2E9C-101B-9397-08002B2CF9AE}" pid="5" name="RKOrdnaDepartement">
    <vt:lpwstr>Statsrådsberedningen</vt:lpwstr>
  </property>
  <property fmtid="{D5CDD505-2E9C-101B-9397-08002B2CF9AE}" pid="6" name="RKOrdnaSarskildSkyddsvard">
    <vt:lpwstr>0</vt:lpwstr>
  </property>
  <property fmtid="{D5CDD505-2E9C-101B-9397-08002B2CF9AE}" pid="7" name="display_urn:schemas-microsoft-com:office:office#Author">
    <vt:lpwstr>Frida Unenge</vt:lpwstr>
  </property>
  <property fmtid="{D5CDD505-2E9C-101B-9397-08002B2CF9AE}" pid="8" name="display_urn:schemas-microsoft-com:office:office#Editor">
    <vt:lpwstr>Frida Unenge</vt:lpwstr>
  </property>
  <property fmtid="{D5CDD505-2E9C-101B-9397-08002B2CF9AE}" pid="9" name="RKOrdnaDiarienummer">
    <vt:lpwstr/>
  </property>
  <property fmtid="{D5CDD505-2E9C-101B-9397-08002B2CF9AE}" pid="10" name="RKOrdnaSearchKeywords">
    <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xd_ProgID">
    <vt:lpwstr/>
  </property>
  <property fmtid="{D5CDD505-2E9C-101B-9397-08002B2CF9AE}" pid="15" name="_SharedFileIndex">
    <vt:lpwstr/>
  </property>
</Properties>
</file>