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E3C" w:rsidRPr="00F50328" w:rsidRDefault="00376E3C">
      <w:pPr>
        <w:pStyle w:val="Hemstlrubrik"/>
      </w:pPr>
      <w:r w:rsidRPr="00F50328">
        <w:t>Förslag till riksdagsbeslut</w:t>
      </w:r>
    </w:p>
    <w:p w:rsidR="00376E3C" w:rsidRPr="00F50328" w:rsidRDefault="00376E3C">
      <w:pPr>
        <w:pStyle w:val="Hemstlatt"/>
        <w:ind w:left="0"/>
      </w:pPr>
      <w:r w:rsidRPr="00F50328">
        <w:t>Riksdagen tillkännager för regeringen som sin mening vad som anförs i motionen om att se över bruksvärdessystemet som norm för hyressättning på bostadsmarknaden.</w:t>
      </w:r>
    </w:p>
    <w:p w:rsidR="00376E3C" w:rsidRPr="00F50328" w:rsidRDefault="00376E3C">
      <w:pPr>
        <w:pStyle w:val="Rubrik1"/>
      </w:pPr>
      <w:r w:rsidRPr="00F50328">
        <w:t>Motivering</w:t>
      </w:r>
    </w:p>
    <w:p w:rsidR="00376E3C" w:rsidRPr="00F50328" w:rsidRDefault="00376E3C">
      <w:r w:rsidRPr="00F50328">
        <w:t>Bruksvärdessystemet tillkom för runt fyrtio år sedan då den dåvarande hyre</w:t>
      </w:r>
      <w:r w:rsidRPr="00F50328">
        <w:t>s</w:t>
      </w:r>
      <w:r w:rsidRPr="00F50328">
        <w:t>regleringen från krigstiden avvecklades. Det primära syftet var att skapa ett hållbart besittningsskydd för hyresgästerna och motverka kraftiga hyreshö</w:t>
      </w:r>
      <w:r w:rsidRPr="00F50328">
        <w:t>j</w:t>
      </w:r>
      <w:r w:rsidRPr="00F50328">
        <w:t>ningar på bostadsmarknader där brist på bostäder rådde.</w:t>
      </w:r>
    </w:p>
    <w:p w:rsidR="00376E3C" w:rsidRPr="00F50328" w:rsidRDefault="00376E3C">
      <w:pPr>
        <w:pStyle w:val="Normaltindrag"/>
      </w:pPr>
      <w:r w:rsidRPr="00F50328">
        <w:t>Genom hyresregleringen har Hyresgästföreningen fått en särställning inom bostadspolitiken, genom att man medverkar i övervakningen av att reglerin</w:t>
      </w:r>
      <w:r w:rsidRPr="00F50328">
        <w:t>g</w:t>
      </w:r>
      <w:r w:rsidRPr="00F50328">
        <w:t>en efterlevs. Man har bland annat speciella funktioner genom bostadsförval</w:t>
      </w:r>
      <w:r w:rsidRPr="00F50328">
        <w:t>t</w:t>
      </w:r>
      <w:r w:rsidRPr="00F50328">
        <w:t>nings- och hyresförhandlingslagen.</w:t>
      </w:r>
    </w:p>
    <w:p w:rsidR="00376E3C" w:rsidRPr="00F50328" w:rsidRDefault="00376E3C">
      <w:pPr>
        <w:pStyle w:val="Normaltindrag"/>
      </w:pPr>
      <w:r w:rsidRPr="00F50328">
        <w:t>Bruksvärdeshyran förhandlas efter självkostnadsprincipen mellan Hyre</w:t>
      </w:r>
      <w:r w:rsidRPr="00F50328">
        <w:t>s</w:t>
      </w:r>
      <w:r w:rsidRPr="00F50328">
        <w:t>gästföreningen och de allmännyttiga, kommunala bostadsföretagen. En l</w:t>
      </w:r>
      <w:r w:rsidRPr="00F50328">
        <w:t>ä</w:t>
      </w:r>
      <w:r w:rsidRPr="00F50328">
        <w:t>genhets bruksvärde bedöms med hänsyn till dess beskaffenhet och andra faktorer i förhållande till likvärdiga lägenheter på orten, främst lägenheter ägda av allmännyttan.</w:t>
      </w:r>
    </w:p>
    <w:p w:rsidR="00376E3C" w:rsidRPr="00F50328" w:rsidRDefault="00376E3C">
      <w:pPr>
        <w:pStyle w:val="Normaltindrag"/>
      </w:pPr>
      <w:r w:rsidRPr="00F50328">
        <w:t>Hyresintäkterna ska motsvara företagens kostnader. De totala hyresintä</w:t>
      </w:r>
      <w:r w:rsidRPr="00F50328">
        <w:t>k</w:t>
      </w:r>
      <w:r w:rsidRPr="00F50328">
        <w:t>terna fördelas sedan på företagets olika lägenheter efter deras bruksvärden, vilka beror på lägenheternas storlek och standard, boendemiljö, belägenhet etcetera.</w:t>
      </w:r>
    </w:p>
    <w:p w:rsidR="00376E3C" w:rsidRPr="00F50328" w:rsidRDefault="00376E3C">
      <w:pPr>
        <w:pStyle w:val="Normaltindrag"/>
      </w:pPr>
      <w:r w:rsidRPr="00F50328">
        <w:t>Avsikten var att</w:t>
      </w:r>
      <w:r w:rsidRPr="00F50328">
        <w:rPr>
          <w:rStyle w:val="normal1"/>
          <w:rFonts w:ascii="Times New Roman" w:hAnsi="Times New Roman"/>
          <w:color w:val="000000"/>
          <w:sz w:val="24"/>
        </w:rPr>
        <w:t xml:space="preserve"> h</w:t>
      </w:r>
      <w:r w:rsidRPr="00F50328">
        <w:t xml:space="preserve">yresskillnaderna skulle reduceras genom att utgå ifrån en genomsnittlig hyresgästs bedömningar av bruksvärdet för olika lägenheter. Genom den förändring i systemet som beslutades år 1974 har förhandlingarna </w:t>
      </w:r>
      <w:r w:rsidRPr="00F50328">
        <w:lastRenderedPageBreak/>
        <w:t>avseende allmännyttan fått en styrande effekt också på resten av hyresmar</w:t>
      </w:r>
      <w:r w:rsidRPr="00F50328">
        <w:t>k</w:t>
      </w:r>
      <w:r w:rsidRPr="00F50328">
        <w:t>naden.</w:t>
      </w:r>
    </w:p>
    <w:p w:rsidR="00376E3C" w:rsidRPr="00F50328" w:rsidRDefault="00376E3C">
      <w:pPr>
        <w:pStyle w:val="Normaltindrag"/>
      </w:pPr>
      <w:r w:rsidRPr="00F50328">
        <w:t xml:space="preserve">Bruksvärdessystemet skulle bland annat uppnå det så kallade </w:t>
      </w:r>
      <w:r w:rsidRPr="00F50328">
        <w:rPr>
          <w:i/>
          <w:iCs/>
        </w:rPr>
        <w:t>fördelning</w:t>
      </w:r>
      <w:r w:rsidRPr="00F50328">
        <w:rPr>
          <w:i/>
          <w:iCs/>
        </w:rPr>
        <w:t>s</w:t>
      </w:r>
      <w:r w:rsidRPr="00F50328">
        <w:rPr>
          <w:i/>
          <w:iCs/>
        </w:rPr>
        <w:t xml:space="preserve">målet </w:t>
      </w:r>
      <w:r w:rsidRPr="00F50328">
        <w:rPr>
          <w:iCs/>
        </w:rPr>
        <w:t xml:space="preserve">med </w:t>
      </w:r>
      <w:r w:rsidRPr="00F50328">
        <w:t>avsikten att försöka utjämna skillnaderna mellan olika inkoms</w:t>
      </w:r>
      <w:r w:rsidRPr="00F50328">
        <w:t>t</w:t>
      </w:r>
      <w:r w:rsidRPr="00F50328">
        <w:t xml:space="preserve">gruppers boendestandard. Vidare syftar </w:t>
      </w:r>
      <w:r w:rsidRPr="00F50328">
        <w:rPr>
          <w:i/>
          <w:iCs/>
        </w:rPr>
        <w:t xml:space="preserve">integrationsmålet </w:t>
      </w:r>
      <w:r w:rsidRPr="00F50328">
        <w:t>till att varje b</w:t>
      </w:r>
      <w:r w:rsidRPr="00F50328">
        <w:t>o</w:t>
      </w:r>
      <w:r w:rsidRPr="00F50328">
        <w:t>stadsområde skall få en blandad sammansättning gällande invånarnas inkom</w:t>
      </w:r>
      <w:r w:rsidRPr="00F50328">
        <w:t>s</w:t>
      </w:r>
      <w:r w:rsidRPr="00F50328">
        <w:t xml:space="preserve">ter, etnicitet med mera. Slutligen handlar </w:t>
      </w:r>
      <w:r w:rsidRPr="00F50328">
        <w:rPr>
          <w:i/>
          <w:iCs/>
        </w:rPr>
        <w:t xml:space="preserve">inkomstmålet </w:t>
      </w:r>
      <w:r w:rsidRPr="00F50328">
        <w:t>om att hyran för en normallägenhet inte skall överstiga 20 procent av en genomsnittlig industria</w:t>
      </w:r>
      <w:r w:rsidRPr="00F50328">
        <w:t>r</w:t>
      </w:r>
      <w:r w:rsidRPr="00F50328">
        <w:t>betarlön.</w:t>
      </w:r>
    </w:p>
    <w:p w:rsidR="00376E3C" w:rsidRPr="00F50328" w:rsidRDefault="00376E3C">
      <w:pPr>
        <w:pStyle w:val="Normaltindrag"/>
      </w:pPr>
      <w:r w:rsidRPr="00F50328">
        <w:t xml:space="preserve">Dessa målsättningar till trots har </w:t>
      </w:r>
      <w:r w:rsidRPr="00F50328">
        <w:rPr>
          <w:rStyle w:val="normal1"/>
          <w:rFonts w:ascii="Times New Roman" w:hAnsi="Times New Roman"/>
          <w:color w:val="000000"/>
          <w:sz w:val="24"/>
        </w:rPr>
        <w:t>systemet med b</w:t>
      </w:r>
      <w:r w:rsidRPr="00F50328">
        <w:t>ruksvärdeshyror visat sig omfatta väsentliga brister.</w:t>
      </w:r>
    </w:p>
    <w:p w:rsidR="00376E3C" w:rsidRPr="00F50328" w:rsidRDefault="00376E3C">
      <w:pPr>
        <w:pStyle w:val="PunktlistaBomb"/>
        <w:tabs>
          <w:tab w:val="clear" w:pos="360"/>
        </w:tabs>
      </w:pPr>
      <w:r w:rsidRPr="00F50328">
        <w:t>I och med att den så kallade lägesfaktorn tillämpas blir många attraktiva och centralt belägna lägenheter underprissatta, samtidigt som hyran blir högre än vad en marknadsbedömning skulle leda till för mindre attraktiva lägenheter. Med andra ord subventionerar hyresgäster i vad som kan b</w:t>
      </w:r>
      <w:r w:rsidRPr="00F50328">
        <w:t>e</w:t>
      </w:r>
      <w:r w:rsidRPr="00F50328">
        <w:t>tecknas som mindre attraktiva områden, boendet för dem i mer attraktiva områden.</w:t>
      </w:r>
    </w:p>
    <w:p w:rsidR="00376E3C" w:rsidRPr="00F50328" w:rsidRDefault="00376E3C">
      <w:pPr>
        <w:pStyle w:val="PunktlistaBomb"/>
        <w:tabs>
          <w:tab w:val="clear" w:pos="360"/>
        </w:tabs>
        <w:spacing w:before="0"/>
      </w:pPr>
      <w:r w:rsidRPr="00F50328">
        <w:t>Bruksvärdessystemet bidrar vidare till att minska andelen hyresbostäder i attraktiva delar av våra tätorter, eftersom det stimulerar ombildning till b</w:t>
      </w:r>
      <w:r w:rsidRPr="00F50328">
        <w:t>o</w:t>
      </w:r>
      <w:r w:rsidRPr="00F50328">
        <w:t>stadsrätt och ger förutsättningar för olaglig handel med hyreskontrakt. Sv</w:t>
      </w:r>
      <w:r w:rsidRPr="00F50328">
        <w:t>å</w:t>
      </w:r>
      <w:r w:rsidRPr="00F50328">
        <w:t>righeterna att åtnjuta kontrakt på hyreslägenheter förstärks således.</w:t>
      </w:r>
    </w:p>
    <w:p w:rsidR="00376E3C" w:rsidRPr="00F50328" w:rsidRDefault="00376E3C">
      <w:pPr>
        <w:pStyle w:val="PunktlistaBomb"/>
        <w:tabs>
          <w:tab w:val="clear" w:pos="360"/>
        </w:tabs>
        <w:spacing w:before="0"/>
      </w:pPr>
      <w:r w:rsidRPr="00F50328">
        <w:t>Hyresskillnaderna mellan olika lägenheter har överlämnats till parterna på hyresmarknaden att besluta om inom ramen för förhandlingssystemet. Dessa har samtidigt i förhandlingarna att ta hänsyn till den normgivande allmännyttans självkostnadsbestämda hyror. Detta får till följd att bruk</w:t>
      </w:r>
      <w:r w:rsidRPr="00F50328">
        <w:t>s</w:t>
      </w:r>
      <w:r w:rsidRPr="00F50328">
        <w:t>värdessystemet befäster svårigheterna att bygga nya hyresfastigheter med tillräcklig lönsamhet, då allmännyttans låga hyror i den begränsade nypr</w:t>
      </w:r>
      <w:r w:rsidRPr="00F50328">
        <w:t>o</w:t>
      </w:r>
      <w:r w:rsidRPr="00F50328">
        <w:t>duktionen leder till att många privata investerare i stället väljer att satsa på bostadsrätter.</w:t>
      </w:r>
    </w:p>
    <w:p w:rsidR="00376E3C" w:rsidRPr="00F50328" w:rsidRDefault="00376E3C">
      <w:pPr>
        <w:pStyle w:val="PunktlistaBomb"/>
        <w:tabs>
          <w:tab w:val="clear" w:pos="360"/>
        </w:tabs>
        <w:spacing w:before="0"/>
      </w:pPr>
      <w:r w:rsidRPr="00F50328">
        <w:t>En av de orimliga effekterna är att hyresgäster betalar lägre hyra för en lägenhet i ett hus från 1920-talet – som ofta är väldigt eftertraktad – än i ett hus byggt under de så kallade miljonprogramsåren på 1960–70-talen. De</w:t>
      </w:r>
      <w:r w:rsidRPr="00F50328">
        <w:t>s</w:t>
      </w:r>
      <w:r w:rsidRPr="00F50328">
        <w:t>sa problem märks tydligast i storstäderna där bristen på bostäder är stor. Idag har hyresgästerna i exempelvis Stockholms innerstad en i viss mån oskäligt låg hyra jämfört med grannarna som bor i bostadsrätter.</w:t>
      </w:r>
    </w:p>
    <w:p w:rsidR="00376E3C" w:rsidRPr="00F50328" w:rsidRDefault="00376E3C">
      <w:pPr>
        <w:pStyle w:val="PunktlistaBomb"/>
        <w:tabs>
          <w:tab w:val="clear" w:pos="360"/>
        </w:tabs>
        <w:spacing w:before="0"/>
      </w:pPr>
      <w:r w:rsidRPr="00F50328">
        <w:t>Det minskade utbudet av attraktiva hyreslägenheter leder till en orörlig hyresmarknad med orimligt långa bostadsköer. Detta leder till att männ</w:t>
      </w:r>
      <w:r w:rsidRPr="00F50328">
        <w:t>i</w:t>
      </w:r>
      <w:r w:rsidRPr="00F50328">
        <w:t>skor ofrivilligt hänvisas till en svart marknad eller osäkra andrahandsko</w:t>
      </w:r>
      <w:r w:rsidRPr="00F50328">
        <w:t>n</w:t>
      </w:r>
      <w:r w:rsidRPr="00F50328">
        <w:t>trakt med begränsat besittningsskydd. Inte minst försvåras det för många ungdomar att starta sin boendekarriär på ett tryggt sätt. Många tvingas hyra lägenhet på den otrygga andrahandsmarknaden där man sällan får längre kontrakt än sex månader och hyrorna är betydligt högre än vad som är gängse på övriga bostadsmarknaden.</w:t>
      </w:r>
    </w:p>
    <w:p w:rsidR="00376E3C" w:rsidRPr="00F50328" w:rsidRDefault="00376E3C">
      <w:r w:rsidRPr="00F50328">
        <w:t>Sammantaget har bruksvärdessystemet inneburit att obalanserna på bostad</w:t>
      </w:r>
      <w:r w:rsidRPr="00F50328">
        <w:t>s</w:t>
      </w:r>
      <w:r w:rsidRPr="00F50328">
        <w:t>marknaden med åren blivit allt tydligare. Att avskaffa systemet med bruk</w:t>
      </w:r>
      <w:r w:rsidRPr="00F50328">
        <w:t>s</w:t>
      </w:r>
      <w:r w:rsidRPr="00F50328">
        <w:t>värdeshyror öppnar för en mer effektiv och rättvis fördelning av det befintliga beståndet av hyresrätter. Dessutom stimuleras byggherrar att bygga fler hyre</w:t>
      </w:r>
      <w:r w:rsidRPr="00F50328">
        <w:t>s</w:t>
      </w:r>
      <w:r w:rsidRPr="00F50328">
        <w:t>lägenheter, underhålla dem väl och inte minst dämpa drivkrafterna att o</w:t>
      </w:r>
      <w:r w:rsidRPr="00F50328">
        <w:t>m</w:t>
      </w:r>
      <w:r w:rsidRPr="00F50328">
        <w:t>vandla dem till bostadsrätter.</w:t>
      </w:r>
    </w:p>
    <w:p w:rsidR="00376E3C" w:rsidRPr="00F50328" w:rsidRDefault="00376E3C">
      <w:pPr>
        <w:pStyle w:val="Normaltindrag"/>
      </w:pPr>
      <w:r w:rsidRPr="00F50328">
        <w:t>Många av de människor som har svårt att etablera sig på bostadsmarkn</w:t>
      </w:r>
      <w:r w:rsidRPr="00F50328">
        <w:t>a</w:t>
      </w:r>
      <w:r w:rsidRPr="00F50328">
        <w:t>den skulle lättare få en bostad än idag, där de är hänvisade till att betala för svartkontrakt eller ta stora lån till en bostadsrätt. Detta gäller inte minst unga människor.</w:t>
      </w:r>
    </w:p>
    <w:p w:rsidR="00376E3C" w:rsidRPr="00F50328" w:rsidRDefault="00376E3C">
      <w:pPr>
        <w:pStyle w:val="Normaltindrag"/>
      </w:pPr>
      <w:r w:rsidRPr="00F50328">
        <w:t>Att avskaffa bruksvärdesprincipen för nybyggda lägenheter gör det möjligt för hyresvärden och hyresgästen att komma överens om hyran genom fö</w:t>
      </w:r>
      <w:r w:rsidRPr="00F50328">
        <w:t>r</w:t>
      </w:r>
      <w:r w:rsidRPr="00F50328">
        <w:t>handling. Hyresnivån kan säkerställas över tid genom att via kontrakt binda densamma. I sammanhanget är det av yttersta vikt att hyresgästens besit</w:t>
      </w:r>
      <w:r w:rsidRPr="00F50328">
        <w:t>t</w:t>
      </w:r>
      <w:r w:rsidRPr="00F50328">
        <w:t>ningsrätt säkerställs.</w:t>
      </w:r>
    </w:p>
    <w:p w:rsidR="00376E3C" w:rsidRPr="00F50328" w:rsidRDefault="00376E3C">
      <w:pPr>
        <w:pStyle w:val="Normaltindrag"/>
      </w:pPr>
      <w:r w:rsidRPr="00F50328">
        <w:t>Regeringen bör därför se över effekterna av ett avskaffande av bruksvä</w:t>
      </w:r>
      <w:r w:rsidRPr="00F50328">
        <w:t>r</w:t>
      </w:r>
      <w:r w:rsidRPr="00F50328">
        <w:t>dessystemet.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0328">
        <w:trPr>
          <w:cantSplit/>
        </w:trPr>
        <w:tc>
          <w:tcPr>
            <w:tcW w:w="3046" w:type="dxa"/>
          </w:tcPr>
          <w:p w:rsidR="00376E3C" w:rsidRPr="00F50328" w:rsidRDefault="00376E3C">
            <w:pPr>
              <w:pStyle w:val="UnderskriftDatum"/>
              <w:spacing w:before="240"/>
            </w:pPr>
            <w:r w:rsidRPr="00F50328">
              <w:t>Stockholm den 4 oktober 2007</w:t>
            </w:r>
          </w:p>
        </w:tc>
        <w:tc>
          <w:tcPr>
            <w:tcW w:w="3047" w:type="dxa"/>
          </w:tcPr>
          <w:p w:rsidR="00376E3C" w:rsidRPr="00F50328" w:rsidRDefault="00376E3C">
            <w:pPr>
              <w:pStyle w:val="Underskrifter"/>
              <w:spacing w:before="240"/>
            </w:pPr>
          </w:p>
        </w:tc>
      </w:tr>
      <w:tr w:rsidR="00000000" w:rsidRPr="00F50328">
        <w:trPr>
          <w:cantSplit/>
        </w:trPr>
        <w:tc>
          <w:tcPr>
            <w:tcW w:w="3046" w:type="dxa"/>
          </w:tcPr>
          <w:p w:rsidR="00376E3C" w:rsidRPr="00F50328" w:rsidRDefault="00376E3C">
            <w:pPr>
              <w:pStyle w:val="Underskrifter"/>
            </w:pPr>
            <w:r w:rsidRPr="00F50328">
              <w:t>Hans Rothenberg (m)</w:t>
            </w:r>
          </w:p>
        </w:tc>
        <w:tc>
          <w:tcPr>
            <w:tcW w:w="3046" w:type="dxa"/>
          </w:tcPr>
          <w:p w:rsidR="00376E3C" w:rsidRPr="00F50328" w:rsidRDefault="00376E3C">
            <w:pPr>
              <w:pStyle w:val="Underskrifter"/>
            </w:pPr>
            <w:r w:rsidRPr="00F50328">
              <w:t>Ulrika Karlsson i Uppsala (m)</w:t>
            </w:r>
          </w:p>
        </w:tc>
      </w:tr>
    </w:tbl>
    <w:p w:rsidR="00376E3C" w:rsidRPr="00F50328" w:rsidRDefault="00376E3C">
      <w:pPr>
        <w:pStyle w:val="Normaltindrag"/>
      </w:pPr>
    </w:p>
    <w:sectPr w:rsidR="00376E3C" w:rsidRPr="00F503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E3C" w:rsidRPr="00F50328" w:rsidRDefault="00376E3C">
      <w:r w:rsidRPr="00F50328">
        <w:separator/>
      </w:r>
    </w:p>
  </w:endnote>
  <w:endnote w:type="continuationSeparator" w:id="0">
    <w:p w:rsidR="00376E3C" w:rsidRPr="00F50328" w:rsidRDefault="00376E3C">
      <w:r w:rsidRPr="00F503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E3C" w:rsidRPr="00F50328" w:rsidRDefault="00F50328">
    <w:pPr>
      <w:pStyle w:val="Sidfot"/>
    </w:pPr>
    <w:r w:rsidRPr="00F503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2738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E3C" w:rsidRDefault="00376E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E3C" w:rsidRDefault="00376E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E3C" w:rsidRPr="00F50328" w:rsidRDefault="00F50328">
    <w:pPr>
      <w:pStyle w:val="Sidfot"/>
    </w:pPr>
    <w:r w:rsidRPr="00F503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1159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E3C" w:rsidRDefault="00376E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E3C" w:rsidRDefault="00376E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E3C" w:rsidRPr="00F50328" w:rsidRDefault="00F50328">
    <w:pPr>
      <w:pStyle w:val="Sidfot"/>
    </w:pPr>
    <w:r w:rsidRPr="00F503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627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E3C" w:rsidRDefault="00376E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E3C" w:rsidRDefault="00376E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E3C" w:rsidRPr="00F50328" w:rsidRDefault="00376E3C">
      <w:r w:rsidRPr="00F50328">
        <w:separator/>
      </w:r>
    </w:p>
  </w:footnote>
  <w:footnote w:type="continuationSeparator" w:id="0">
    <w:p w:rsidR="00376E3C" w:rsidRPr="00F50328" w:rsidRDefault="00376E3C">
      <w:r w:rsidRPr="00F503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E3C" w:rsidRPr="00F50328" w:rsidRDefault="00F50328">
    <w:pPr>
      <w:pStyle w:val="Sidhuvud"/>
    </w:pPr>
    <w:r w:rsidRPr="00F503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345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E3C" w:rsidRDefault="00376E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E3C" w:rsidRDefault="00376E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E3C" w:rsidRPr="00F50328" w:rsidRDefault="00F50328">
    <w:pPr>
      <w:pStyle w:val="Sidhuvud"/>
    </w:pPr>
    <w:r w:rsidRPr="00F503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2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E3C" w:rsidRDefault="00376E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E3C" w:rsidRDefault="00376E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E3C" w:rsidRPr="00F50328" w:rsidRDefault="00376E3C">
    <w:pPr>
      <w:pStyle w:val="FSHNormal"/>
      <w:tabs>
        <w:tab w:val="right" w:pos="5840"/>
      </w:tabs>
    </w:pPr>
    <w:r w:rsidRPr="00F50328">
      <w:br/>
    </w:r>
    <w:r w:rsidRPr="00F50328">
      <w:fldChar w:fldCharType="begin" w:fldLock="1"/>
    </w:r>
    <w:r w:rsidRPr="00F50328">
      <w:instrText xml:space="preserve"> DOCPROPERTY</w:instrText>
    </w:r>
    <w:r w:rsidRPr="00F50328">
      <w:rPr>
        <w:sz w:val="18"/>
      </w:rPr>
      <w:instrText xml:space="preserve"> "YearUser" *\charformat </w:instrText>
    </w:r>
    <w:r w:rsidRPr="00F50328">
      <w:fldChar w:fldCharType="separate"/>
    </w:r>
    <w:r w:rsidRPr="00F50328">
      <w:t>2007/08</w:t>
    </w:r>
    <w:r w:rsidRPr="00F50328">
      <w:fldChar w:fldCharType="end"/>
    </w:r>
    <w:r w:rsidRPr="00F50328">
      <w:t xml:space="preserve"> </w:t>
    </w:r>
    <w:r w:rsidRPr="00F50328">
      <w:tab/>
      <w:t xml:space="preserve">mnr: </w:t>
    </w:r>
    <w:r w:rsidRPr="00F50328">
      <w:fldChar w:fldCharType="begin" w:fldLock="1"/>
    </w:r>
    <w:r w:rsidRPr="00F50328">
      <w:instrText xml:space="preserve"> DOCPROPERTY</w:instrText>
    </w:r>
    <w:r w:rsidRPr="00F50328">
      <w:rPr>
        <w:sz w:val="18"/>
      </w:rPr>
      <w:instrText xml:space="preserve"> "Motionsnummer" *\charformat </w:instrText>
    </w:r>
    <w:r w:rsidRPr="00F50328">
      <w:fldChar w:fldCharType="separate"/>
    </w:r>
    <w:r w:rsidRPr="00F50328">
      <w:t>C323</w:t>
    </w:r>
    <w:r w:rsidRPr="00F50328">
      <w:fldChar w:fldCharType="end"/>
    </w:r>
    <w:r w:rsidRPr="00F50328">
      <w:br/>
    </w:r>
    <w:r w:rsidRPr="00F50328">
      <w:fldChar w:fldCharType="begin" w:fldLock="1"/>
    </w:r>
    <w:r w:rsidRPr="00F50328">
      <w:instrText xml:space="preserve"> DOCPROPERTY</w:instrText>
    </w:r>
    <w:r w:rsidRPr="00F50328">
      <w:rPr>
        <w:sz w:val="18"/>
      </w:rPr>
      <w:instrText xml:space="preserve"> "Samling" *\charformat </w:instrText>
    </w:r>
    <w:r w:rsidRPr="00F50328">
      <w:fldChar w:fldCharType="end"/>
    </w:r>
    <w:r w:rsidRPr="00F50328">
      <w:tab/>
      <w:t xml:space="preserve">pnr: </w:t>
    </w:r>
    <w:r w:rsidRPr="00F50328">
      <w:fldChar w:fldCharType="begin" w:fldLock="1"/>
    </w:r>
    <w:r w:rsidRPr="00F50328">
      <w:instrText xml:space="preserve"> DOCPROPERTY</w:instrText>
    </w:r>
    <w:r w:rsidRPr="00F50328">
      <w:rPr>
        <w:sz w:val="18"/>
      </w:rPr>
      <w:instrText xml:space="preserve"> "Partinummer" *\charformat </w:instrText>
    </w:r>
    <w:r w:rsidRPr="00F50328">
      <w:fldChar w:fldCharType="separate"/>
    </w:r>
    <w:r w:rsidRPr="00F50328">
      <w:t>m1428</w:t>
    </w:r>
    <w:r w:rsidRPr="00F50328">
      <w:fldChar w:fldCharType="end"/>
    </w:r>
  </w:p>
  <w:p w:rsidR="00376E3C" w:rsidRPr="00F50328" w:rsidRDefault="00376E3C">
    <w:pPr>
      <w:pStyle w:val="FSHRub1"/>
    </w:pPr>
    <w:r w:rsidRPr="00F50328">
      <w:t>Motion till riksdagen</w:t>
    </w:r>
    <w:r w:rsidRPr="00F50328">
      <w:br/>
    </w:r>
    <w:r w:rsidRPr="00F50328">
      <w:fldChar w:fldCharType="begin" w:fldLock="1"/>
    </w:r>
    <w:r w:rsidRPr="00F50328">
      <w:instrText xml:space="preserve"> DOCPROPERTY "YearUser" *\charformat </w:instrText>
    </w:r>
    <w:r w:rsidRPr="00F50328">
      <w:fldChar w:fldCharType="separate"/>
    </w:r>
    <w:r w:rsidRPr="00F50328">
      <w:t>2007/08</w:t>
    </w:r>
    <w:r w:rsidRPr="00F50328">
      <w:fldChar w:fldCharType="end"/>
    </w:r>
    <w:r w:rsidRPr="00F50328">
      <w:t>:</w:t>
    </w:r>
    <w:r w:rsidRPr="00F50328">
      <w:fldChar w:fldCharType="begin" w:fldLock="1"/>
    </w:r>
    <w:r w:rsidRPr="00F50328">
      <w:instrText xml:space="preserve"> DOCPROPERTY "Motionsnummer" *\charformat </w:instrText>
    </w:r>
    <w:r w:rsidRPr="00F50328">
      <w:fldChar w:fldCharType="separate"/>
    </w:r>
    <w:r w:rsidRPr="00F50328">
      <w:t>C323</w:t>
    </w:r>
    <w:r w:rsidRPr="00F50328">
      <w:fldChar w:fldCharType="end"/>
    </w:r>
  </w:p>
  <w:p w:rsidR="00376E3C" w:rsidRPr="00F50328" w:rsidRDefault="00376E3C">
    <w:pPr>
      <w:pStyle w:val="FSHNormalS5"/>
    </w:pPr>
    <w:r w:rsidRPr="00F50328">
      <w:fldChar w:fldCharType="begin" w:fldLock="1"/>
    </w:r>
    <w:r w:rsidRPr="00F50328">
      <w:instrText xml:space="preserve"> DOCPROPERTY "MotionarText" *\charformat </w:instrText>
    </w:r>
    <w:r w:rsidRPr="00F50328">
      <w:fldChar w:fldCharType="separate"/>
    </w:r>
    <w:r w:rsidRPr="00F50328">
      <w:t>av Hans Rothenberg och Ulrika Karlsson i Uppsala (m)</w:t>
    </w:r>
    <w:r w:rsidRPr="00F50328">
      <w:fldChar w:fldCharType="end"/>
    </w:r>
    <w:r w:rsidRPr="00F50328">
      <w:br/>
    </w:r>
    <w:r w:rsidRPr="00F50328">
      <w:fldChar w:fldCharType="begin" w:fldLock="1"/>
    </w:r>
    <w:r w:rsidRPr="00F50328">
      <w:instrText xml:space="preserve"> DOCPROPERTY "SvarFrasKort" *\charformat </w:instrText>
    </w:r>
    <w:r w:rsidRPr="00F50328">
      <w:fldChar w:fldCharType="end"/>
    </w:r>
  </w:p>
  <w:p w:rsidR="00376E3C" w:rsidRPr="00F50328" w:rsidRDefault="00376E3C">
    <w:pPr>
      <w:pStyle w:val="FSHTitel"/>
    </w:pPr>
    <w:r w:rsidRPr="00F50328">
      <w:fldChar w:fldCharType="begin" w:fldLock="1"/>
    </w:r>
    <w:r w:rsidRPr="00F50328">
      <w:instrText xml:space="preserve"> DOCPROPERTY</w:instrText>
    </w:r>
    <w:r w:rsidRPr="00F50328">
      <w:rPr>
        <w:sz w:val="18"/>
      </w:rPr>
      <w:instrText xml:space="preserve"> "RubrikSvar" *\charformat </w:instrText>
    </w:r>
    <w:r w:rsidRPr="00F50328">
      <w:fldChar w:fldCharType="separate"/>
    </w:r>
    <w:r w:rsidRPr="00F50328">
      <w:t>Avskaffande av bruksvärdessystemet</w:t>
    </w:r>
    <w:r w:rsidRPr="00F50328">
      <w:fldChar w:fldCharType="end"/>
    </w:r>
  </w:p>
  <w:p w:rsidR="00376E3C" w:rsidRPr="00F50328" w:rsidRDefault="00376E3C">
    <w:pPr>
      <w:pStyle w:val="Normal00"/>
    </w:pPr>
  </w:p>
  <w:p w:rsidR="00376E3C" w:rsidRPr="00F50328" w:rsidRDefault="00376E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F34A71"/>
    <w:multiLevelType w:val="hybridMultilevel"/>
    <w:tmpl w:val="F1BC58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3530785">
    <w:abstractNumId w:val="8"/>
  </w:num>
  <w:num w:numId="2" w16cid:durableId="427428791">
    <w:abstractNumId w:val="9"/>
  </w:num>
  <w:num w:numId="3" w16cid:durableId="221984584">
    <w:abstractNumId w:val="8"/>
  </w:num>
  <w:num w:numId="4" w16cid:durableId="271059255">
    <w:abstractNumId w:val="9"/>
  </w:num>
  <w:num w:numId="5" w16cid:durableId="888109559">
    <w:abstractNumId w:val="14"/>
  </w:num>
  <w:num w:numId="6" w16cid:durableId="948777069">
    <w:abstractNumId w:val="10"/>
  </w:num>
  <w:num w:numId="7" w16cid:durableId="151411520">
    <w:abstractNumId w:val="11"/>
  </w:num>
  <w:num w:numId="8" w16cid:durableId="1999381027">
    <w:abstractNumId w:val="12"/>
  </w:num>
  <w:num w:numId="9" w16cid:durableId="1153137733">
    <w:abstractNumId w:val="8"/>
  </w:num>
  <w:num w:numId="10" w16cid:durableId="1157452892">
    <w:abstractNumId w:val="3"/>
  </w:num>
  <w:num w:numId="11" w16cid:durableId="504587835">
    <w:abstractNumId w:val="2"/>
  </w:num>
  <w:num w:numId="12" w16cid:durableId="540821367">
    <w:abstractNumId w:val="1"/>
  </w:num>
  <w:num w:numId="13" w16cid:durableId="1438720409">
    <w:abstractNumId w:val="0"/>
  </w:num>
  <w:num w:numId="14" w16cid:durableId="309209537">
    <w:abstractNumId w:val="9"/>
  </w:num>
  <w:num w:numId="15" w16cid:durableId="300381396">
    <w:abstractNumId w:val="7"/>
  </w:num>
  <w:num w:numId="16" w16cid:durableId="697900319">
    <w:abstractNumId w:val="6"/>
  </w:num>
  <w:num w:numId="17" w16cid:durableId="1705473466">
    <w:abstractNumId w:val="5"/>
  </w:num>
  <w:num w:numId="18" w16cid:durableId="613053999">
    <w:abstractNumId w:val="4"/>
  </w:num>
  <w:num w:numId="19" w16cid:durableId="1074468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290D60C-AFE5-4372-9F7C-AF7DBD9EEEA0},{98486EF5-2A47-4A28-B96A-80352C1CD6C1}"/>
  </w:docVars>
  <w:rsids>
    <w:rsidRoot w:val="00A034BC"/>
    <w:rsid w:val="00376E3C"/>
    <w:rsid w:val="00A034BC"/>
    <w:rsid w:val="00F503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0993AC-5009-46E7-AE92-F5F0974F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customStyle="1" w:styleId="normal1">
    <w:name w:val="normal1"/>
    <w:basedOn w:val="Standardstycketeckensnitt"/>
    <w:rPr>
      <w:rFonts w:ascii="Verdana" w:hAnsi="Verdan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4717</Characters>
  <Application>Microsoft Office Word</Application>
  <DocSecurity>4</DocSecurity>
  <Lines>89</Lines>
  <Paragraphs>25</Paragraphs>
  <ScaleCrop>false</ScaleCrop>
  <HeadingPairs>
    <vt:vector size="2" baseType="variant">
      <vt:variant>
        <vt:lpstr>Rubrik</vt:lpstr>
      </vt:variant>
      <vt:variant>
        <vt:i4>1</vt:i4>
      </vt:variant>
    </vt:vector>
  </HeadingPairs>
  <TitlesOfParts>
    <vt:vector size="1" baseType="lpstr">
      <vt:lpstr>m1428</vt:lpstr>
    </vt:vector>
  </TitlesOfParts>
  <Company>Riksdagen</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m1428</dc:title>
  <dc:subject>m1428</dc:subject>
  <dc:creator>Riksdagen</dc:creator>
  <cp:keywords>Riksdagen</cp:keywords>
  <dc:description>TKG-ktrl, MSMQ4mb, PersReg-Distribution mm</dc:description>
  <cp:lastModifiedBy>Lars Brink</cp:lastModifiedBy>
  <cp:revision>2</cp:revision>
  <cp:lastPrinted>2007-11-28T08:28:00Z</cp:lastPrinted>
  <dcterms:created xsi:type="dcterms:W3CDTF">2025-12-17T04:55:00Z</dcterms:created>
  <dcterms:modified xsi:type="dcterms:W3CDTF">2025-12-17T04:55:00Z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bruksvärdessystemet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bruksvärdessystemet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Ulrika Karlsson i Uppsala (m)</vt:lpwstr>
  </property>
  <property fmtid="{D5CDD505-2E9C-101B-9397-08002B2CF9AE}" pid="26" name="MotionarLista">
    <vt:lpwstr>Rothenberg, Hans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20072008000000000109000014280069</vt:lpwstr>
  </property>
  <property fmtid="{D5CDD505-2E9C-101B-9397-08002B2CF9AE}" pid="47" name="datum">
    <vt:lpwstr>071004</vt:lpwstr>
  </property>
  <property fmtid="{D5CDD505-2E9C-101B-9397-08002B2CF9AE}" pid="48" name="avsändar-e-post">
    <vt:lpwstr>marianne.olsson@riksdagen.se</vt:lpwstr>
  </property>
  <property fmtid="{D5CDD505-2E9C-101B-9397-08002B2CF9AE}" pid="49" name="id">
    <vt:lpwstr>20072008000000000109000014280069</vt:lpwstr>
  </property>
  <property fmtid="{D5CDD505-2E9C-101B-9397-08002B2CF9AE}" pid="50" name="nummer">
    <vt:lpwstr>323</vt:lpwstr>
  </property>
  <property fmtid="{D5CDD505-2E9C-101B-9397-08002B2CF9AE}" pid="51" name="utskottsbeteckning">
    <vt:lpwstr>C</vt:lpwstr>
  </property>
  <property fmtid="{D5CDD505-2E9C-101B-9397-08002B2CF9AE}" pid="52" name="GlobalUID">
    <vt:lpwstr>{0B4C7B24-33AE-4F27-B672-91CA1659DFAF}</vt:lpwstr>
  </property>
  <property fmtid="{D5CDD505-2E9C-101B-9397-08002B2CF9AE}" pid="53" name="Överföringar">
    <vt:i4>0</vt:i4>
  </property>
  <property fmtid="{D5CDD505-2E9C-101B-9397-08002B2CF9AE}" pid="54" name="Checksum">
    <vt:lpwstr>*1006169407574*</vt:lpwstr>
  </property>
  <property fmtid="{D5CDD505-2E9C-101B-9397-08002B2CF9AE}" pid="55" name="skuggnummer">
    <vt:lpwstr>1586</vt:lpwstr>
  </property>
  <property fmtid="{D5CDD505-2E9C-101B-9397-08002B2CF9AE}" pid="56" name="urixVersion">
    <vt:lpwstr>3.2.0.8</vt:lpwstr>
  </property>
  <property fmtid="{D5CDD505-2E9C-101B-9397-08002B2CF9AE}" pid="57" name="urixOrigin">
    <vt:lpwstr>071128 09:28:48.267</vt:lpwstr>
  </property>
  <property fmtid="{D5CDD505-2E9C-101B-9397-08002B2CF9AE}" pid="58" name="urixGuid">
    <vt:lpwstr>{9363ABF0-4B13-4E06-9287-C500971F34AB}</vt:lpwstr>
  </property>
</Properties>
</file>