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3A33C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65681" w:rsidRPr="003A33C6" w:rsidRDefault="0096568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65681" w:rsidRPr="003A33C6" w:rsidRDefault="0096568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965681" w:rsidRPr="003A33C6" w:rsidRDefault="0096568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A33C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  <w:r w:rsidRPr="003A33C6">
              <w:t>2006-04-27</w:t>
            </w:r>
          </w:p>
        </w:tc>
        <w:tc>
          <w:tcPr>
            <w:tcW w:w="2347" w:type="dxa"/>
            <w:gridSpan w:val="2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65681" w:rsidRPr="003A33C6" w:rsidRDefault="0096568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A33C6">
              <w:rPr>
                <w:b/>
                <w:i w:val="0"/>
                <w:sz w:val="22"/>
              </w:rPr>
              <w:t>Utbildnings- och kulturdepartementet</w:t>
            </w: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A33C6">
              <w:rPr>
                <w:bCs/>
                <w:iCs/>
              </w:rPr>
              <w:t>Internationella sekretariatet</w:t>
            </w: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3A33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65681" w:rsidRPr="003A33C6" w:rsidRDefault="00965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65681" w:rsidRPr="003A33C6" w:rsidRDefault="00965681">
      <w:pPr>
        <w:pStyle w:val="Beskrivning"/>
        <w:framePr w:wrap="notBeside"/>
      </w:pPr>
    </w:p>
    <w:p w:rsidR="00965681" w:rsidRPr="003A33C6" w:rsidRDefault="0096568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A33C6">
        <w:t>Rådet för utbildnings-, ungdoms- och kulturfrågor den 18-19 maj 2006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Dagordningspunkt 16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 xml:space="preserve">Rubrik: Översyn av EU:s strategi för hållbar utveckling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3A33C6">
        <w:t xml:space="preserve">Dokument: </w:t>
      </w:r>
      <w:r w:rsidRPr="003A33C6">
        <w:rPr>
          <w:spacing w:val="-3"/>
          <w:szCs w:val="24"/>
        </w:rPr>
        <w:t xml:space="preserve">15796/1/05 REV 1 ENV 601 AGRI 355 ECO 159 ECOFIN 412 ENER 203 DEVGEN 254 MI 143 PECHE 285 RELEX 766 SAN 217 SOC 516 TRANS 285 RECH 242 EDUC 196 </w:t>
      </w:r>
    </w:p>
    <w:p w:rsidR="00965681" w:rsidRPr="003A33C6" w:rsidRDefault="00965681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</w:p>
    <w:p w:rsidR="00965681" w:rsidRPr="003A33C6" w:rsidRDefault="00965681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3A33C6">
        <w:rPr>
          <w:spacing w:val="-3"/>
          <w:szCs w:val="24"/>
        </w:rPr>
        <w:t xml:space="preserve">8609/06 EDUC 79 ENV 254 AGRI 154 ECO 73 ECOFIN 133 ENER 139 DEVGEN 114 MI 97 PECHE 122 RELEX 257 SAN 91 SOC 193 TRANS 100 RECH 100 POLGEN 50 </w:t>
      </w:r>
    </w:p>
    <w:p w:rsidR="00965681" w:rsidRPr="003A33C6" w:rsidRDefault="00965681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</w:p>
    <w:p w:rsidR="00965681" w:rsidRPr="003A33C6" w:rsidRDefault="00965681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3A33C6">
        <w:rPr>
          <w:spacing w:val="-3"/>
          <w:szCs w:val="24"/>
        </w:rPr>
        <w:t xml:space="preserve">8735/06 EDUC 90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 xml:space="preserve">Tidigare dokument: Fakta-PM 2005/06:FPM52 från M-dep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Tidigare behandlad vid samråd med EU-nämnden: 7 april</w:t>
      </w:r>
    </w:p>
    <w:p w:rsidR="00965681" w:rsidRPr="003A33C6" w:rsidRDefault="00965681">
      <w:pPr>
        <w:pStyle w:val="RKrubrik"/>
      </w:pPr>
      <w:r w:rsidRPr="003A33C6">
        <w:t>Bakgrund</w:t>
      </w:r>
    </w:p>
    <w:p w:rsidR="00965681" w:rsidRPr="003A33C6" w:rsidRDefault="00965681">
      <w:pPr>
        <w:pStyle w:val="RKnormal"/>
      </w:pPr>
      <w:r w:rsidRPr="003A33C6">
        <w:t xml:space="preserve">Kommissionen lade den 13 december 2005 fram sitt förslag till översyn av EU:s strategi för hållbar utveckling. Kommissionens initiativ består av </w:t>
      </w:r>
    </w:p>
    <w:p w:rsidR="00965681" w:rsidRPr="003A33C6" w:rsidRDefault="00965681">
      <w:pPr>
        <w:pStyle w:val="RKnormal"/>
      </w:pPr>
      <w:r w:rsidRPr="003A33C6">
        <w:t>ett koncentrerat huvuddokument samt tre bilagor. Den viktigaste är b</w:t>
      </w:r>
      <w:r w:rsidRPr="003A33C6">
        <w:t>i</w:t>
      </w:r>
      <w:r w:rsidRPr="003A33C6">
        <w:t>laga 2 med övergripande målsättningar, kvantitativa mål och antagna och planerade åtgärder. I bilaga 1 och 3 återges två tidigare texter: Europeiska rådets uttalande om huvudprinciper för hållbar utveckling från juni 2005 och kommissionens meddelande från februari 2005 om inriktningen på den reviderade strategin.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  <w:rPr>
          <w:szCs w:val="24"/>
        </w:rPr>
      </w:pPr>
      <w:r w:rsidRPr="003A33C6">
        <w:t>KOM:s förslag på utbildningsområdet innebär bland annat att utbildning ses som en förutsättning för att nå en hållbar utveckling. Utbildning bör bidra till ökad anställningsbarhet, innovation och konkurrenskraft gen</w:t>
      </w:r>
      <w:r w:rsidRPr="003A33C6">
        <w:t>t</w:t>
      </w:r>
      <w:r w:rsidRPr="003A33C6">
        <w:t>emot omvärlden samtidigt som det b</w:t>
      </w:r>
      <w:r w:rsidRPr="003A33C6">
        <w:t>i</w:t>
      </w:r>
      <w:r w:rsidRPr="003A33C6">
        <w:t>drar till ökade möjligheter för den enskilda in</w:t>
      </w:r>
      <w:r w:rsidRPr="003A33C6">
        <w:lastRenderedPageBreak/>
        <w:t>dividen. Mot bakgrund av FN:s årtionde för hållbar utvec</w:t>
      </w:r>
      <w:r w:rsidRPr="003A33C6">
        <w:t>k</w:t>
      </w:r>
      <w:r w:rsidRPr="003A33C6">
        <w:t>ling bör MS ta fram nationella han</w:t>
      </w:r>
      <w:r w:rsidRPr="003A33C6">
        <w:t>d</w:t>
      </w:r>
      <w:r w:rsidRPr="003A33C6">
        <w:t xml:space="preserve">lingsplaner för utbildning för hållbar utveckling. Till hjälp med detta bör </w:t>
      </w:r>
      <w:r w:rsidRPr="003A33C6">
        <w:rPr>
          <w:szCs w:val="24"/>
        </w:rPr>
        <w:t>“Education and training 2010” a</w:t>
      </w:r>
      <w:r w:rsidRPr="003A33C6">
        <w:rPr>
          <w:szCs w:val="24"/>
        </w:rPr>
        <w:t>n</w:t>
      </w:r>
      <w:r w:rsidRPr="003A33C6">
        <w:rPr>
          <w:szCs w:val="24"/>
        </w:rPr>
        <w:t xml:space="preserve">vändas som underlag. </w:t>
      </w:r>
    </w:p>
    <w:p w:rsidR="00965681" w:rsidRPr="003A33C6" w:rsidRDefault="00965681">
      <w:pPr>
        <w:pStyle w:val="RKnormal"/>
        <w:rPr>
          <w:szCs w:val="24"/>
        </w:rPr>
      </w:pPr>
    </w:p>
    <w:p w:rsidR="00965681" w:rsidRPr="003A33C6" w:rsidRDefault="00965681">
      <w:pPr>
        <w:pStyle w:val="RKnormal"/>
      </w:pPr>
      <w:r w:rsidRPr="003A33C6">
        <w:t>Vidare har hö</w:t>
      </w:r>
      <w:r w:rsidRPr="003A33C6">
        <w:t>g</w:t>
      </w:r>
      <w:r w:rsidRPr="003A33C6">
        <w:t>skolorna och universiteten en viktig roll att spela inom forskning för hållbar utveckling. Trots omfattande kunskap finns fortf</w:t>
      </w:r>
      <w:r w:rsidRPr="003A33C6">
        <w:t>a</w:t>
      </w:r>
      <w:r w:rsidRPr="003A33C6">
        <w:t>rande behov av fortsatt forskning på samspelet mellan den sociala, ek</w:t>
      </w:r>
      <w:r w:rsidRPr="003A33C6">
        <w:t>o</w:t>
      </w:r>
      <w:r w:rsidRPr="003A33C6">
        <w:t>nomiska och ekologiska dimensi</w:t>
      </w:r>
      <w:r w:rsidRPr="003A33C6">
        <w:t>o</w:t>
      </w:r>
      <w:r w:rsidRPr="003A33C6">
        <w:t>nen. Forskningen måste överbrygga gapet mellan forskning, beslutsfa</w:t>
      </w:r>
      <w:r w:rsidRPr="003A33C6">
        <w:t>t</w:t>
      </w:r>
      <w:r w:rsidRPr="003A33C6">
        <w:t>tande och implementering.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Ordförandeskapet har beslutat att strategin skall behandlas i berörda rådskonstellationer. Planen är att den reviderade strategin skall antas av Europ</w:t>
      </w:r>
      <w:r w:rsidRPr="003A33C6">
        <w:t>e</w:t>
      </w:r>
      <w:r w:rsidRPr="003A33C6">
        <w:t xml:space="preserve">iska rådet vid toppmötet den 15-16 juni.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En särskilt grupp – ordförandeskapets vänner – har tillsatts för översyn av EU-strategin för hållbar utveckling. Gruppen har behandlat förslag till frågekomplex från ordförandeskapet som vägledning för riktlinjedeba</w:t>
      </w:r>
      <w:r w:rsidRPr="003A33C6">
        <w:t>t</w:t>
      </w:r>
      <w:r w:rsidRPr="003A33C6">
        <w:t>terna i de olika rådskonstellationerna.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De tre frågorna är: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widowControl w:val="0"/>
        <w:spacing w:line="240" w:lineRule="auto"/>
        <w:ind w:left="567" w:hanging="567"/>
        <w:rPr>
          <w:lang w:eastAsia="fr-BE"/>
        </w:rPr>
      </w:pPr>
      <w:r w:rsidRPr="003A33C6">
        <w:sym w:font="Symbol" w:char="00B7"/>
      </w:r>
      <w:r w:rsidRPr="003A33C6">
        <w:tab/>
        <w:t>Anser ni att de mål, åtgärder och därmed förbundna strategii</w:t>
      </w:r>
      <w:r w:rsidRPr="003A33C6">
        <w:t>n</w:t>
      </w:r>
      <w:r w:rsidRPr="003A33C6">
        <w:t>strument som föreslås i paketet för översynen av strategin för hål</w:t>
      </w:r>
      <w:r w:rsidRPr="003A33C6">
        <w:t>l</w:t>
      </w:r>
      <w:r w:rsidRPr="003A33C6">
        <w:t>bar utveckling, särskilt i bilaga 2</w:t>
      </w:r>
      <w:r w:rsidRPr="003A33C6">
        <w:rPr>
          <w:rStyle w:val="Fotnotsreferens"/>
          <w:color w:val="000000"/>
        </w:rPr>
        <w:t xml:space="preserve"> </w:t>
      </w:r>
      <w:r w:rsidRPr="003A33C6">
        <w:t>, är lämpliga och tillräckliga för att möta de utmaningar som hållbar utveckling medför och verkning</w:t>
      </w:r>
      <w:r w:rsidRPr="003A33C6">
        <w:t>s</w:t>
      </w:r>
      <w:r w:rsidRPr="003A33C6">
        <w:t>fullt bemöta tendenser till ohållbar utveckling inom ert politiko</w:t>
      </w:r>
      <w:r w:rsidRPr="003A33C6">
        <w:t>m</w:t>
      </w:r>
      <w:r w:rsidRPr="003A33C6">
        <w:t>råde? Behövs det tydligare prioriteringar och/eller mer betydande insatser för att uppnå detta?</w:t>
      </w:r>
    </w:p>
    <w:p w:rsidR="00965681" w:rsidRPr="003A33C6" w:rsidRDefault="00965681">
      <w:pPr>
        <w:widowControl w:val="0"/>
        <w:spacing w:line="360" w:lineRule="auto"/>
        <w:rPr>
          <w:color w:val="000000"/>
          <w:lang w:eastAsia="fr-BE"/>
        </w:rPr>
      </w:pPr>
    </w:p>
    <w:p w:rsidR="00965681" w:rsidRPr="003A33C6" w:rsidRDefault="00965681">
      <w:pPr>
        <w:widowControl w:val="0"/>
        <w:spacing w:line="240" w:lineRule="auto"/>
        <w:ind w:left="567" w:hanging="567"/>
        <w:rPr>
          <w:lang w:eastAsia="fr-BE"/>
        </w:rPr>
      </w:pPr>
      <w:r w:rsidRPr="003A33C6">
        <w:sym w:font="Symbol" w:char="00B7"/>
      </w:r>
      <w:r w:rsidRPr="003A33C6">
        <w:tab/>
        <w:t>På vilket sätt kan er rådskonstellation bäst bidra till synliga resultat och mätbara framsteg i genomförandet av EU-strategin för hållbar utveckling? Vad bör göras för att förstärka synergieffekterna och förbättra samstämmigheten mellan olika strategier och processer, inklusive Lissabonagendan?</w:t>
      </w:r>
    </w:p>
    <w:p w:rsidR="00965681" w:rsidRPr="003A33C6" w:rsidRDefault="00965681">
      <w:pPr>
        <w:widowControl w:val="0"/>
        <w:spacing w:line="360" w:lineRule="auto"/>
        <w:rPr>
          <w:lang w:eastAsia="fr-BE"/>
        </w:rPr>
      </w:pPr>
    </w:p>
    <w:p w:rsidR="00965681" w:rsidRPr="003A33C6" w:rsidRDefault="00965681">
      <w:pPr>
        <w:widowControl w:val="0"/>
        <w:spacing w:line="240" w:lineRule="auto"/>
        <w:ind w:left="567" w:hanging="567"/>
        <w:rPr>
          <w:lang w:eastAsia="fr-BE"/>
        </w:rPr>
      </w:pPr>
      <w:r w:rsidRPr="003A33C6">
        <w:rPr>
          <w:color w:val="000000"/>
        </w:rPr>
        <w:sym w:font="Symbol" w:char="00B7"/>
      </w:r>
      <w:r w:rsidRPr="003A33C6">
        <w:rPr>
          <w:color w:val="000000"/>
        </w:rPr>
        <w:tab/>
        <w:t>Hur kan en ambitiös EU-strategi för hållbar utveckling säkerställa samstämmighet mellan EU</w:t>
      </w:r>
      <w:r w:rsidRPr="003A33C6">
        <w:rPr>
          <w:color w:val="000000"/>
        </w:rPr>
        <w:noBreakHyphen/>
        <w:t>interna strategier och internationella åtaganden och bidra till hållbar utveckling både inom EU och gl</w:t>
      </w:r>
      <w:r w:rsidRPr="003A33C6">
        <w:rPr>
          <w:color w:val="000000"/>
        </w:rPr>
        <w:t>o</w:t>
      </w:r>
      <w:r w:rsidRPr="003A33C6">
        <w:rPr>
          <w:color w:val="000000"/>
        </w:rPr>
        <w:t>balt, särskilt vad gäller ert specifika politikområde?</w:t>
      </w:r>
    </w:p>
    <w:p w:rsidR="00965681" w:rsidRPr="003A33C6" w:rsidRDefault="00965681">
      <w:pPr>
        <w:pStyle w:val="RKrubrik"/>
      </w:pPr>
      <w:r w:rsidRPr="003A33C6">
        <w:t>Rättslig grund och beslutsförfarande</w:t>
      </w:r>
    </w:p>
    <w:p w:rsidR="00965681" w:rsidRPr="003A33C6" w:rsidRDefault="00965681">
      <w:pPr>
        <w:pStyle w:val="RKnormal"/>
      </w:pPr>
      <w:r w:rsidRPr="003A33C6">
        <w:t>Ej aktuell</w:t>
      </w:r>
    </w:p>
    <w:p w:rsidR="00965681" w:rsidRPr="003A33C6" w:rsidRDefault="00965681">
      <w:pPr>
        <w:pStyle w:val="RKrubrik"/>
        <w:rPr>
          <w:i/>
          <w:iCs/>
        </w:rPr>
      </w:pPr>
      <w:r w:rsidRPr="003A33C6">
        <w:rPr>
          <w:i/>
          <w:iCs/>
        </w:rPr>
        <w:t>Svensk ståndpunkt</w:t>
      </w:r>
    </w:p>
    <w:p w:rsidR="00965681" w:rsidRPr="003A33C6" w:rsidRDefault="00965681">
      <w:pPr>
        <w:pStyle w:val="RKnormal"/>
      </w:pPr>
      <w:r w:rsidRPr="003A33C6">
        <w:t>Svenska ståndpunkter för EU:s hållbarhetsstrategi har tidigare red</w:t>
      </w:r>
      <w:r w:rsidRPr="003A33C6">
        <w:t>o</w:t>
      </w:r>
      <w:r w:rsidRPr="003A33C6">
        <w:t>gjorts för samt finns redovisat i det fakta-PM som distribuerats från Mi</w:t>
      </w:r>
      <w:r w:rsidRPr="003A33C6">
        <w:t>l</w:t>
      </w:r>
      <w:r w:rsidRPr="003A33C6">
        <w:t xml:space="preserve">jö- och samhällsbyggnadsdepartementet 2005/06:FPM52. 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 xml:space="preserve">För utbildningsområdet har Sverige följande ståndpunkt: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Utbildning spelar en central roll som instrument för att mä</w:t>
      </w:r>
      <w:r w:rsidRPr="003A33C6">
        <w:t>n</w:t>
      </w:r>
      <w:r w:rsidRPr="003A33C6">
        <w:t>niskor kan förstå och bidra till de förändringar som krävs för att uppnå en hållbar utveckling. Frågan om utbildningens roll i omställningen mot en hållbar samhällsutveckling bör därför ges en mer framträdande plats i str</w:t>
      </w:r>
      <w:r w:rsidRPr="003A33C6">
        <w:t>a</w:t>
      </w:r>
      <w:r w:rsidRPr="003A33C6">
        <w:t>tegin.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Utbildning för hållbar utveckling skall omfatta hela det livslånga lära</w:t>
      </w:r>
      <w:r w:rsidRPr="003A33C6">
        <w:t>n</w:t>
      </w:r>
      <w:r w:rsidRPr="003A33C6">
        <w:t>det. Det formella u</w:t>
      </w:r>
      <w:r w:rsidRPr="003A33C6">
        <w:t>t</w:t>
      </w:r>
      <w:r w:rsidRPr="003A33C6">
        <w:t>bildningssystemet på alla nivåer liksom folkbildning och vidare- och kompetensutveckling har en betydelsefull roll i att förse barn, ungdomar och vuxna med kunskap, färdighet, fö</w:t>
      </w:r>
      <w:r w:rsidRPr="003A33C6">
        <w:t>r</w:t>
      </w:r>
      <w:r w:rsidRPr="003A33C6">
        <w:t>måga och vilja att arbeta för en hållbar utveckling.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I syfte att främja en hållbar utveckling bör MS uppmuntras att lägga in mål om hållbar utveckling i samtliga delar av sina respektive utbildning</w:t>
      </w:r>
      <w:r w:rsidRPr="003A33C6">
        <w:t>s</w:t>
      </w:r>
      <w:r w:rsidRPr="003A33C6">
        <w:t>system.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Utbyte av kunskap och best practice om utbildning för hållbar utvec</w:t>
      </w:r>
      <w:r w:rsidRPr="003A33C6">
        <w:t>k</w:t>
      </w:r>
      <w:r w:rsidRPr="003A33C6">
        <w:t>ling bör uppmuntras mellan MS. Även ökad mobilitet av studera</w:t>
      </w:r>
      <w:r w:rsidRPr="003A33C6">
        <w:t>n</w:t>
      </w:r>
      <w:r w:rsidRPr="003A33C6">
        <w:t>de och lärare mellan MS bör eftersträvas i syfte att utbyta erfarenheter på omr</w:t>
      </w:r>
      <w:r w:rsidRPr="003A33C6">
        <w:t>å</w:t>
      </w:r>
      <w:r w:rsidRPr="003A33C6">
        <w:t xml:space="preserve">det.  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 xml:space="preserve">Vidare bör MS uppmuntras att fortbilda pedagogiskt verksamma inom utbildningsområdet mot utbildning för hållbar utveckling.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Sverige vill se tydligare länkar mellan processer i EU och FN och andra multilaterala fora som främjar hållbar utveckling regionalt och globalt.</w:t>
      </w:r>
    </w:p>
    <w:p w:rsidR="00965681" w:rsidRPr="003A33C6" w:rsidRDefault="00965681">
      <w:pPr>
        <w:pStyle w:val="RKnormal"/>
      </w:pPr>
      <w:r w:rsidRPr="003A33C6">
        <w:t>Det är av vikt att koppla arbetet med revideringen av EU:s hållbarhet</w:t>
      </w:r>
      <w:r w:rsidRPr="003A33C6">
        <w:t>s</w:t>
      </w:r>
      <w:r w:rsidRPr="003A33C6">
        <w:t>strategi till FN:s arbete och dekaden för utbildning för hållbar utvec</w:t>
      </w:r>
      <w:r w:rsidRPr="003A33C6">
        <w:t>k</w:t>
      </w:r>
      <w:r w:rsidRPr="003A33C6">
        <w:t xml:space="preserve">ling, perioden 2005-2014.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MS bör även uppmuntras att ta fram nationella handlingsplaner för u</w:t>
      </w:r>
      <w:r w:rsidRPr="003A33C6">
        <w:t>t</w:t>
      </w:r>
      <w:r w:rsidRPr="003A33C6">
        <w:t xml:space="preserve">bildning för hållbar utveckling och så långt det är möjligt integrera UNECE:s strategi för hållbar utveckling.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EU bör i samtal med tredje land även uppmuntra dessa till att föra in perspektiv om hållbar utveckling i sina respektive utbildningss</w:t>
      </w:r>
      <w:r w:rsidRPr="003A33C6">
        <w:t>y</w:t>
      </w:r>
      <w:r w:rsidRPr="003A33C6">
        <w:t>stem.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Ungdomsarbetslösheten i många av EU:s länder är ett pr</w:t>
      </w:r>
      <w:r w:rsidRPr="003A33C6">
        <w:t>o</w:t>
      </w:r>
      <w:r w:rsidRPr="003A33C6">
        <w:t>blem såväl idag som i ett längre perspektiv. Att säkerställa att flickor och pojkar kommer in på arbetsmarknaden är viktigt för ungdomarnas egen skull och för hela samhället, som står inför ett genom</w:t>
      </w:r>
      <w:r w:rsidRPr="003A33C6">
        <w:softHyphen/>
        <w:t>gripande gene</w:t>
      </w:r>
      <w:r w:rsidRPr="003A33C6">
        <w:softHyphen/>
        <w:t xml:space="preserve">rationsskifte. </w:t>
      </w:r>
    </w:p>
    <w:p w:rsidR="00965681" w:rsidRPr="003A33C6" w:rsidRDefault="00965681">
      <w:pPr>
        <w:pStyle w:val="RKrubrik"/>
      </w:pPr>
      <w:r w:rsidRPr="003A33C6">
        <w:t>Europaparlamentets inställning</w:t>
      </w:r>
    </w:p>
    <w:p w:rsidR="00965681" w:rsidRPr="003A33C6" w:rsidRDefault="00965681">
      <w:pPr>
        <w:pStyle w:val="RKnormal"/>
      </w:pPr>
      <w:r w:rsidRPr="003A33C6">
        <w:t>Parlamentet har ännu inte behandlat förslaget.</w:t>
      </w:r>
    </w:p>
    <w:p w:rsidR="00965681" w:rsidRPr="003A33C6" w:rsidRDefault="00965681">
      <w:pPr>
        <w:pStyle w:val="RKrubrik"/>
        <w:rPr>
          <w:i/>
          <w:iCs/>
        </w:rPr>
      </w:pPr>
      <w:r w:rsidRPr="003A33C6">
        <w:rPr>
          <w:i/>
          <w:iCs/>
        </w:rPr>
        <w:t>Förslaget</w:t>
      </w:r>
    </w:p>
    <w:p w:rsidR="00965681" w:rsidRPr="003A33C6" w:rsidRDefault="00965681">
      <w:pPr>
        <w:pStyle w:val="RKnormal"/>
      </w:pPr>
      <w:r w:rsidRPr="003A33C6">
        <w:t>Huvuddokumentet har följande innehåll. Inledningsvis konstateras att det har hänt mycket i EU sedan den första hållbarhetsstrategin 2001. Ramverket är i stort sett på plats, och för översynen bör det enligt kommissionen handla om att bygga vidare på det som finns, inte att göra något radikalt nytt. Förslagen delas upp i två breda kategorier. Den ena gäller sex huvudfrågor och den andra gäller uppföljning och hur hållba</w:t>
      </w:r>
      <w:r w:rsidRPr="003A33C6">
        <w:t>r</w:t>
      </w:r>
      <w:r w:rsidRPr="003A33C6">
        <w:t>het integreras i beslutsfattande. Huvudfrågorna är: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Klimatförändring och ren energi</w:t>
      </w: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Folkhälsa</w:t>
      </w: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Social sammanhållning, demografi och migration</w:t>
      </w: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Förvaltning av naturresurser</w:t>
      </w: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Hållbara transporter</w:t>
      </w:r>
    </w:p>
    <w:p w:rsidR="00965681" w:rsidRPr="003A33C6" w:rsidRDefault="00965681">
      <w:pPr>
        <w:pStyle w:val="RKnormal"/>
        <w:numPr>
          <w:ilvl w:val="0"/>
          <w:numId w:val="1"/>
        </w:numPr>
      </w:pPr>
      <w:r w:rsidRPr="003A33C6">
        <w:t>Global fattigdom och utveckling.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Sammanlagt finns cirka 30 förslag till prioriterade åtgärder.  Bland dem som relaterar till de sex huvudfrågorna kan nämnas ytterligare åtaganden att reducera växthusgaser, en handlingsplan för energieffektivitet, initi</w:t>
      </w:r>
      <w:r w:rsidRPr="003A33C6">
        <w:t>a</w:t>
      </w:r>
      <w:r w:rsidRPr="003A33C6">
        <w:t>tiv för ökad användning av biomassa och biobränslen, ett initiativ om demografi, fortsätta utveckla en politik för migration och integration, förslag om offentlig upphandling av ”gröna fordon”, främjande av milj</w:t>
      </w:r>
      <w:r w:rsidRPr="003A33C6">
        <w:t>ö</w:t>
      </w:r>
      <w:r w:rsidRPr="003A33C6">
        <w:t>vänlig teknologi, handlingsplan för hållbar konsumtion och produktion, se på avgiftsbeläggning av infrastruktur inklusive system för trängsela</w:t>
      </w:r>
      <w:r w:rsidRPr="003A33C6">
        <w:t>v</w:t>
      </w:r>
      <w:r w:rsidRPr="003A33C6">
        <w:t xml:space="preserve">gifter, ökning av de kvantitativa målen för bistånd samt stärkt koherens i biståndspolitiken. </w:t>
      </w: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  <w:r w:rsidRPr="003A33C6">
        <w:t>Bland förslagen i kategorin uppföljning och beslutsfattande kan nämnas att strategin följs upp vartannat år, att medlemsstaterna senast 2006 rev</w:t>
      </w:r>
      <w:r w:rsidRPr="003A33C6">
        <w:t>i</w:t>
      </w:r>
      <w:r w:rsidRPr="003A33C6">
        <w:t>derar sina nationella strategier och då uppmuntras att integrera dem med EU-nivån, att medlemsstaterna sätter upp oberoende rådgivande organ för frågor om hållbar utveckling, att alla EU-institutioner gör kons</w:t>
      </w:r>
      <w:r w:rsidRPr="003A33C6">
        <w:t>e</w:t>
      </w:r>
      <w:r w:rsidRPr="003A33C6">
        <w:t>kvensbedömningar som underlag för nya större förslag och att även medlemsstaterna i högre grad gör det, att hållbar utveckling tas in i kommissionens informationsaktiviteter samt att företagsledare och andra intressenter uppmanas att engagera sig för hållbarhetsfrågorna.</w:t>
      </w:r>
    </w:p>
    <w:p w:rsidR="00965681" w:rsidRPr="003A33C6" w:rsidRDefault="00965681">
      <w:pPr>
        <w:pStyle w:val="RKrubrik"/>
        <w:rPr>
          <w:i/>
          <w:iCs/>
        </w:rPr>
      </w:pPr>
      <w:r w:rsidRPr="003A33C6">
        <w:rPr>
          <w:i/>
          <w:iCs/>
        </w:rPr>
        <w:t>Gällande svenska regler och f</w:t>
      </w:r>
      <w:r w:rsidRPr="003A33C6">
        <w:rPr>
          <w:i/>
          <w:iCs/>
        </w:rPr>
        <w:t>örslagets effekter på dessa</w:t>
      </w:r>
    </w:p>
    <w:p w:rsidR="00965681" w:rsidRPr="003A33C6" w:rsidRDefault="00965681">
      <w:r w:rsidRPr="003A33C6">
        <w:t>Förslaget är brett och täcker en rad politikområden. Det är inte förslag till lagstiftning. Kommissionen har inte gjort någon konsekvensbedö</w:t>
      </w:r>
      <w:r w:rsidRPr="003A33C6">
        <w:t>m</w:t>
      </w:r>
      <w:r w:rsidRPr="003A33C6">
        <w:t>ning av förslaget. Någon samlad analys av effekter på svenska regler har mot den bakgrunden inte gjorts.</w:t>
      </w:r>
    </w:p>
    <w:p w:rsidR="00965681" w:rsidRPr="003A33C6" w:rsidRDefault="00965681">
      <w:pPr>
        <w:pStyle w:val="RKrubrik"/>
      </w:pPr>
      <w:r w:rsidRPr="003A33C6">
        <w:t>Ekonomiska konsekvenser</w:t>
      </w:r>
    </w:p>
    <w:p w:rsidR="00965681" w:rsidRPr="003A33C6" w:rsidRDefault="00965681">
      <w:r w:rsidRPr="003A33C6">
        <w:t>De budgetära konsekvenserna har inte analyserats.</w:t>
      </w:r>
    </w:p>
    <w:p w:rsidR="00965681" w:rsidRPr="003A33C6" w:rsidRDefault="00965681">
      <w:pPr>
        <w:pStyle w:val="RKrubrik"/>
      </w:pPr>
      <w:r w:rsidRPr="003A33C6">
        <w:t>Övrigt</w:t>
      </w:r>
    </w:p>
    <w:p w:rsidR="00965681" w:rsidRPr="003A33C6" w:rsidRDefault="00965681">
      <w:pPr>
        <w:pStyle w:val="RKnormal"/>
      </w:pPr>
      <w:r w:rsidRPr="003A33C6">
        <w:t xml:space="preserve">- </w:t>
      </w:r>
    </w:p>
    <w:p w:rsidR="00965681" w:rsidRPr="003A33C6" w:rsidRDefault="00965681">
      <w:pPr>
        <w:pStyle w:val="RKnormal"/>
        <w:rPr>
          <w:i/>
          <w:iCs/>
        </w:rPr>
      </w:pPr>
    </w:p>
    <w:p w:rsidR="00965681" w:rsidRPr="003A33C6" w:rsidRDefault="00965681">
      <w:pPr>
        <w:pStyle w:val="RKnormal"/>
        <w:ind w:left="-1134"/>
      </w:pPr>
    </w:p>
    <w:p w:rsidR="00965681" w:rsidRPr="003A33C6" w:rsidRDefault="00965681">
      <w:pPr>
        <w:pStyle w:val="RKrubrik"/>
        <w:spacing w:before="0" w:after="0"/>
      </w:pPr>
    </w:p>
    <w:p w:rsidR="00965681" w:rsidRPr="003A33C6" w:rsidRDefault="00965681">
      <w:pPr>
        <w:pStyle w:val="RKnormal"/>
      </w:pPr>
    </w:p>
    <w:p w:rsidR="00965681" w:rsidRPr="003A33C6" w:rsidRDefault="00965681">
      <w:pPr>
        <w:pStyle w:val="RKnormal"/>
      </w:pPr>
    </w:p>
    <w:sectPr w:rsidR="00965681" w:rsidRPr="003A33C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681" w:rsidRPr="003A33C6" w:rsidRDefault="00965681">
      <w:pPr>
        <w:spacing w:line="240" w:lineRule="auto"/>
      </w:pPr>
      <w:r w:rsidRPr="003A33C6">
        <w:separator/>
      </w:r>
    </w:p>
  </w:endnote>
  <w:endnote w:type="continuationSeparator" w:id="0">
    <w:p w:rsidR="00965681" w:rsidRPr="003A33C6" w:rsidRDefault="00965681">
      <w:pPr>
        <w:spacing w:line="240" w:lineRule="auto"/>
      </w:pPr>
      <w:r w:rsidRPr="003A33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681" w:rsidRPr="003A33C6" w:rsidRDefault="00965681">
      <w:pPr>
        <w:spacing w:line="240" w:lineRule="auto"/>
      </w:pPr>
      <w:r w:rsidRPr="003A33C6">
        <w:separator/>
      </w:r>
    </w:p>
  </w:footnote>
  <w:footnote w:type="continuationSeparator" w:id="0">
    <w:p w:rsidR="00965681" w:rsidRPr="003A33C6" w:rsidRDefault="00965681">
      <w:pPr>
        <w:spacing w:line="240" w:lineRule="auto"/>
      </w:pPr>
      <w:r w:rsidRPr="003A33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81" w:rsidRPr="003A33C6" w:rsidRDefault="00965681">
    <w:pPr>
      <w:pStyle w:val="Sidhuvud"/>
      <w:framePr w:wrap="around" w:vAnchor="text" w:hAnchor="margin" w:xAlign="right" w:y="1"/>
      <w:rPr>
        <w:rStyle w:val="Sidnummer"/>
      </w:rPr>
    </w:pPr>
    <w:r w:rsidRPr="003A33C6">
      <w:rPr>
        <w:rStyle w:val="Sidnummer"/>
      </w:rPr>
      <w:fldChar w:fldCharType="begin" w:fldLock="1"/>
    </w:r>
    <w:r w:rsidRPr="003A33C6">
      <w:rPr>
        <w:rStyle w:val="Sidnummer"/>
      </w:rPr>
      <w:instrText xml:space="preserve">PAGE  </w:instrText>
    </w:r>
    <w:r w:rsidRPr="003A33C6">
      <w:rPr>
        <w:rStyle w:val="Sidnummer"/>
      </w:rPr>
      <w:fldChar w:fldCharType="separate"/>
    </w:r>
    <w:r w:rsidRPr="003A33C6">
      <w:rPr>
        <w:rStyle w:val="Sidnummer"/>
      </w:rPr>
      <w:t>4</w:t>
    </w:r>
    <w:r w:rsidRPr="003A33C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3A33C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5681" w:rsidRPr="003A33C6" w:rsidRDefault="0096568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5681" w:rsidRPr="003A33C6" w:rsidRDefault="00965681">
          <w:pPr>
            <w:pStyle w:val="Sidhuvud"/>
            <w:ind w:right="360"/>
          </w:pPr>
        </w:p>
      </w:tc>
      <w:tc>
        <w:tcPr>
          <w:tcW w:w="1525" w:type="dxa"/>
        </w:tcPr>
        <w:p w:rsidR="00965681" w:rsidRPr="003A33C6" w:rsidRDefault="00965681">
          <w:pPr>
            <w:pStyle w:val="Sidhuvud"/>
            <w:ind w:right="360"/>
          </w:pPr>
        </w:p>
      </w:tc>
    </w:tr>
  </w:tbl>
  <w:p w:rsidR="00965681" w:rsidRPr="003A33C6" w:rsidRDefault="0096568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81" w:rsidRPr="003A33C6" w:rsidRDefault="00965681">
    <w:pPr>
      <w:pStyle w:val="Sidhuvud"/>
      <w:framePr w:wrap="around" w:vAnchor="text" w:hAnchor="margin" w:xAlign="right" w:y="1"/>
      <w:rPr>
        <w:rStyle w:val="Sidnummer"/>
      </w:rPr>
    </w:pPr>
    <w:r w:rsidRPr="003A33C6">
      <w:rPr>
        <w:rStyle w:val="Sidnummer"/>
      </w:rPr>
      <w:fldChar w:fldCharType="begin" w:fldLock="1"/>
    </w:r>
    <w:r w:rsidRPr="003A33C6">
      <w:rPr>
        <w:rStyle w:val="Sidnummer"/>
      </w:rPr>
      <w:instrText xml:space="preserve">PAGE  </w:instrText>
    </w:r>
    <w:r w:rsidRPr="003A33C6">
      <w:rPr>
        <w:rStyle w:val="Sidnummer"/>
      </w:rPr>
      <w:fldChar w:fldCharType="separate"/>
    </w:r>
    <w:r w:rsidRPr="003A33C6">
      <w:rPr>
        <w:rStyle w:val="Sidnummer"/>
      </w:rPr>
      <w:t>3</w:t>
    </w:r>
    <w:r w:rsidRPr="003A33C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3A33C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5681" w:rsidRPr="003A33C6" w:rsidRDefault="0096568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5681" w:rsidRPr="003A33C6" w:rsidRDefault="00965681">
          <w:pPr>
            <w:pStyle w:val="Sidhuvud"/>
            <w:ind w:right="360"/>
          </w:pPr>
        </w:p>
      </w:tc>
      <w:tc>
        <w:tcPr>
          <w:tcW w:w="1525" w:type="dxa"/>
        </w:tcPr>
        <w:p w:rsidR="00965681" w:rsidRPr="003A33C6" w:rsidRDefault="00965681">
          <w:pPr>
            <w:pStyle w:val="Sidhuvud"/>
            <w:ind w:right="360"/>
          </w:pPr>
        </w:p>
      </w:tc>
    </w:tr>
  </w:tbl>
  <w:p w:rsidR="00965681" w:rsidRPr="003A33C6" w:rsidRDefault="0096568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81" w:rsidRPr="003A33C6" w:rsidRDefault="003A33C6">
    <w:pPr>
      <w:framePr w:w="2948" w:h="1321" w:hRule="exact" w:wrap="notBeside" w:vAnchor="page" w:hAnchor="page" w:x="1362" w:y="653"/>
    </w:pPr>
    <w:r w:rsidRPr="003A33C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681" w:rsidRPr="003A33C6" w:rsidRDefault="0096568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5681" w:rsidRPr="003A33C6" w:rsidRDefault="00965681">
    <w:pPr>
      <w:rPr>
        <w:rFonts w:ascii="TradeGothic" w:hAnsi="TradeGothic"/>
        <w:b/>
        <w:bCs/>
        <w:spacing w:val="12"/>
        <w:sz w:val="22"/>
      </w:rPr>
    </w:pPr>
  </w:p>
  <w:p w:rsidR="00965681" w:rsidRPr="003A33C6" w:rsidRDefault="0096568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5681" w:rsidRPr="003A33C6" w:rsidRDefault="0096568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1F76"/>
    <w:multiLevelType w:val="hybridMultilevel"/>
    <w:tmpl w:val="37C6211E"/>
    <w:lvl w:ilvl="0" w:tplc="A1D63C3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92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Utbildnings- och kulturdepartementet"/>
    <w:docVar w:name="Regering" w:val="N"/>
  </w:docVars>
  <w:rsids>
    <w:rsidRoot w:val="00082C36"/>
    <w:rsid w:val="00082C36"/>
    <w:rsid w:val="003A33C6"/>
    <w:rsid w:val="009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2E5DB-AAF2-40CA-9D96-65BEFEF5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  <w:style w:type="character" w:styleId="Fotnotsreferens">
    <w:name w:val="footnote reference"/>
    <w:basedOn w:val="Standardstycketeckensnitt"/>
    <w:semiHidden/>
    <w:rPr>
      <w:b/>
      <w:bCs/>
      <w:vertAlign w:val="superscript"/>
    </w:rPr>
  </w:style>
  <w:style w:type="paragraph" w:styleId="Beskrivning">
    <w:name w:val="caption"/>
    <w:basedOn w:val="Normal"/>
    <w:next w:val="Normal"/>
    <w:qFormat/>
    <w:pPr>
      <w:framePr w:w="4400" w:h="2523" w:wrap="notBeside" w:vAnchor="page" w:hAnchor="page" w:x="6453" w:y="2445"/>
      <w:ind w:left="14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1161</Words>
  <Characters>7169</Characters>
  <Application>Microsoft Office Word</Application>
  <DocSecurity>4</DocSecurity>
  <Lines>193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2006-05-05T10:19:00Z</cp:lastPrinted>
  <dcterms:created xsi:type="dcterms:W3CDTF">2025-12-16T23:07:00Z</dcterms:created>
  <dcterms:modified xsi:type="dcterms:W3CDTF">2025-12-16T23:07:00Z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