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CC0BED" w:rsidRPr="003C0F8D">
        <w:tblPrEx>
          <w:tblCellMar>
            <w:top w:w="0" w:type="dxa"/>
            <w:left w:w="0" w:type="dxa"/>
            <w:bottom w:w="0" w:type="dxa"/>
            <w:right w:w="0" w:type="dxa"/>
          </w:tblCellMar>
        </w:tblPrEx>
        <w:trPr>
          <w:gridBefore w:val="1"/>
          <w:gridAfter w:val="1"/>
          <w:wBefore w:w="851" w:type="dxa"/>
          <w:wAfter w:w="850" w:type="dxa"/>
          <w:cantSplit/>
          <w:trHeight w:val="576"/>
        </w:trPr>
        <w:tc>
          <w:tcPr>
            <w:tcW w:w="9641" w:type="dxa"/>
            <w:gridSpan w:val="3"/>
          </w:tcPr>
          <w:p w:rsidR="00CC0BED" w:rsidRPr="003C0F8D" w:rsidRDefault="003C0F8D">
            <w:pPr>
              <w:pStyle w:val="EntLogo"/>
            </w:pPr>
            <w:r w:rsidRPr="003C0F8D">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C0BED" w:rsidRPr="003C0F8D">
        <w:tblPrEx>
          <w:tblCellMar>
            <w:top w:w="0" w:type="dxa"/>
            <w:left w:w="0" w:type="dxa"/>
            <w:bottom w:w="0" w:type="dxa"/>
            <w:right w:w="0" w:type="dxa"/>
          </w:tblCellMar>
        </w:tblPrEx>
        <w:trPr>
          <w:cantSplit/>
          <w:trHeight w:val="1120"/>
        </w:trPr>
        <w:tc>
          <w:tcPr>
            <w:tcW w:w="4821" w:type="dxa"/>
            <w:gridSpan w:val="2"/>
          </w:tcPr>
          <w:p w:rsidR="00CC0BED" w:rsidRPr="003C0F8D" w:rsidRDefault="00CC0BED">
            <w:pPr>
              <w:pStyle w:val="EntInstit"/>
            </w:pPr>
            <w:bookmarkStart w:id="0" w:name="Entete"/>
            <w:bookmarkEnd w:id="0"/>
            <w:r w:rsidRPr="003C0F8D">
              <w:t>COUNCIL OF</w:t>
            </w:r>
          </w:p>
          <w:p w:rsidR="00CC0BED" w:rsidRPr="003C0F8D" w:rsidRDefault="00CC0BED">
            <w:pPr>
              <w:pStyle w:val="EntInstit"/>
            </w:pPr>
            <w:r w:rsidRPr="003C0F8D">
              <w:t>THE EUROPEAN UNION</w:t>
            </w:r>
          </w:p>
        </w:tc>
        <w:tc>
          <w:tcPr>
            <w:tcW w:w="1701" w:type="dxa"/>
          </w:tcPr>
          <w:p w:rsidR="00CC0BED" w:rsidRPr="003C0F8D" w:rsidRDefault="00CC0BED">
            <w:pPr>
              <w:spacing w:line="240" w:lineRule="auto"/>
              <w:jc w:val="right"/>
              <w:rPr>
                <w:b/>
              </w:rPr>
            </w:pPr>
          </w:p>
        </w:tc>
        <w:tc>
          <w:tcPr>
            <w:tcW w:w="4820" w:type="dxa"/>
            <w:gridSpan w:val="2"/>
          </w:tcPr>
          <w:p w:rsidR="00CC0BED" w:rsidRPr="003C0F8D" w:rsidRDefault="00CC0BED">
            <w:pPr>
              <w:pStyle w:val="EntRefer"/>
            </w:pPr>
            <w:bookmarkStart w:id="1" w:name="Lieu"/>
            <w:bookmarkEnd w:id="1"/>
            <w:r w:rsidRPr="003C0F8D">
              <w:t xml:space="preserve">Brussels, </w:t>
            </w:r>
            <w:bookmarkStart w:id="2" w:name="Date"/>
            <w:bookmarkEnd w:id="2"/>
            <w:r w:rsidR="00476FF7" w:rsidRPr="003C0F8D">
              <w:t>1</w:t>
            </w:r>
            <w:r w:rsidR="00306306" w:rsidRPr="003C0F8D">
              <w:t>9</w:t>
            </w:r>
            <w:r w:rsidR="00C14331" w:rsidRPr="003C0F8D">
              <w:t xml:space="preserve"> May</w:t>
            </w:r>
            <w:r w:rsidRPr="003C0F8D">
              <w:t xml:space="preserve"> 2006 </w:t>
            </w:r>
            <w:bookmarkStart w:id="3" w:name="DateEntree"/>
            <w:bookmarkEnd w:id="3"/>
          </w:p>
          <w:p w:rsidR="00CC0BED" w:rsidRPr="003C0F8D" w:rsidRDefault="00CC0BED">
            <w:pPr>
              <w:pStyle w:val="EntRefer"/>
            </w:pPr>
            <w:bookmarkStart w:id="4" w:name="LangueOrig"/>
            <w:bookmarkEnd w:id="4"/>
          </w:p>
        </w:tc>
      </w:tr>
      <w:tr w:rsidR="00CC0BED" w:rsidRPr="003C0F8D">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CC0BED" w:rsidRPr="003C0F8D" w:rsidRDefault="00CC0BED">
            <w:pPr>
              <w:pStyle w:val="EntRefer"/>
              <w:jc w:val="center"/>
            </w:pPr>
            <w:bookmarkStart w:id="5" w:name="DossierInterInst"/>
            <w:bookmarkEnd w:id="5"/>
          </w:p>
        </w:tc>
        <w:tc>
          <w:tcPr>
            <w:tcW w:w="1701" w:type="dxa"/>
            <w:vAlign w:val="center"/>
          </w:tcPr>
          <w:p w:rsidR="00CC0BED" w:rsidRPr="003C0F8D" w:rsidRDefault="00CC0BED">
            <w:pPr>
              <w:spacing w:line="240" w:lineRule="auto"/>
              <w:rPr>
                <w:b/>
              </w:rPr>
            </w:pPr>
          </w:p>
        </w:tc>
        <w:tc>
          <w:tcPr>
            <w:tcW w:w="3970" w:type="dxa"/>
          </w:tcPr>
          <w:p w:rsidR="00CC0BED" w:rsidRPr="003C0F8D" w:rsidRDefault="0074736D">
            <w:pPr>
              <w:pStyle w:val="EntRefer"/>
            </w:pPr>
            <w:bookmarkStart w:id="6" w:name="Cote"/>
            <w:bookmarkEnd w:id="6"/>
            <w:r w:rsidRPr="003C0F8D">
              <w:t>94</w:t>
            </w:r>
            <w:r w:rsidR="00902454" w:rsidRPr="003C0F8D">
              <w:t>97</w:t>
            </w:r>
            <w:r w:rsidR="00CC0BED" w:rsidRPr="003C0F8D">
              <w:t>/06</w:t>
            </w:r>
          </w:p>
          <w:p w:rsidR="00CC0BED" w:rsidRPr="003C0F8D" w:rsidRDefault="00CC0BED">
            <w:pPr>
              <w:pStyle w:val="EntRefer"/>
            </w:pPr>
            <w:bookmarkStart w:id="7" w:name="CoteRev"/>
            <w:bookmarkEnd w:id="7"/>
          </w:p>
          <w:p w:rsidR="00CC0BED" w:rsidRPr="003C0F8D" w:rsidRDefault="00CC0BED">
            <w:pPr>
              <w:pStyle w:val="EntRefer"/>
            </w:pPr>
          </w:p>
          <w:p w:rsidR="00CC0BED" w:rsidRPr="003C0F8D" w:rsidRDefault="00CC0BED" w:rsidP="00A93CCF">
            <w:pPr>
              <w:pStyle w:val="EntRefer"/>
            </w:pPr>
            <w:bookmarkStart w:id="8" w:name="CoteSec"/>
            <w:bookmarkEnd w:id="8"/>
          </w:p>
        </w:tc>
      </w:tr>
      <w:tr w:rsidR="00CC0BED" w:rsidRPr="003C0F8D">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CC0BED" w:rsidRPr="003C0F8D" w:rsidRDefault="00CC0BED">
            <w:pPr>
              <w:pStyle w:val="EntRefer"/>
              <w:jc w:val="center"/>
            </w:pPr>
            <w:bookmarkStart w:id="9" w:name="SousEmbargo"/>
            <w:bookmarkEnd w:id="9"/>
          </w:p>
        </w:tc>
        <w:tc>
          <w:tcPr>
            <w:tcW w:w="1701" w:type="dxa"/>
            <w:vAlign w:val="center"/>
          </w:tcPr>
          <w:p w:rsidR="00CC0BED" w:rsidRPr="003C0F8D" w:rsidRDefault="00CC0BED">
            <w:pPr>
              <w:spacing w:line="240" w:lineRule="auto"/>
              <w:rPr>
                <w:b/>
              </w:rPr>
            </w:pPr>
          </w:p>
        </w:tc>
        <w:tc>
          <w:tcPr>
            <w:tcW w:w="3970" w:type="dxa"/>
          </w:tcPr>
          <w:p w:rsidR="00CC0BED" w:rsidRPr="003C0F8D" w:rsidRDefault="00CC0BED">
            <w:pPr>
              <w:pStyle w:val="EntRefer"/>
            </w:pPr>
            <w:r w:rsidRPr="003C0F8D">
              <w:t xml:space="preserve">PROCIV </w:t>
            </w:r>
            <w:r w:rsidR="00902454" w:rsidRPr="003C0F8D">
              <w:t>96</w:t>
            </w:r>
          </w:p>
          <w:p w:rsidR="00CC0BED" w:rsidRPr="003C0F8D" w:rsidRDefault="00CC0BED">
            <w:pPr>
              <w:pStyle w:val="EntRefer"/>
            </w:pPr>
            <w:r w:rsidRPr="003C0F8D">
              <w:t xml:space="preserve">COSDP </w:t>
            </w:r>
            <w:r w:rsidR="00902454" w:rsidRPr="003C0F8D">
              <w:t>3</w:t>
            </w:r>
            <w:r w:rsidR="0074736D" w:rsidRPr="003C0F8D">
              <w:t>7</w:t>
            </w:r>
            <w:r w:rsidR="00902454" w:rsidRPr="003C0F8D">
              <w:t>8</w:t>
            </w:r>
          </w:p>
          <w:p w:rsidR="00CC0BED" w:rsidRPr="003C0F8D" w:rsidRDefault="00CC0BED">
            <w:pPr>
              <w:pStyle w:val="EntRefer"/>
            </w:pPr>
            <w:r w:rsidRPr="003C0F8D">
              <w:t xml:space="preserve">JAI </w:t>
            </w:r>
            <w:r w:rsidR="00902454" w:rsidRPr="003C0F8D">
              <w:t>262</w:t>
            </w:r>
          </w:p>
          <w:p w:rsidR="00CC0BED" w:rsidRPr="003C0F8D" w:rsidRDefault="00CC0BED">
            <w:pPr>
              <w:pStyle w:val="EntRefer"/>
            </w:pPr>
            <w:r w:rsidRPr="003C0F8D">
              <w:t xml:space="preserve">PESC </w:t>
            </w:r>
            <w:r w:rsidR="00902454" w:rsidRPr="003C0F8D">
              <w:t>461</w:t>
            </w:r>
          </w:p>
        </w:tc>
      </w:tr>
    </w:tbl>
    <w:p w:rsidR="00CC0BED" w:rsidRPr="003C0F8D" w:rsidRDefault="00CC0BED">
      <w:pPr>
        <w:pStyle w:val="EntRefer"/>
      </w:pPr>
      <w:bookmarkStart w:id="10" w:name="AC"/>
    </w:p>
    <w:p w:rsidR="00CC0BED" w:rsidRPr="003C0F8D" w:rsidRDefault="00902454">
      <w:pPr>
        <w:pStyle w:val="EntRefer"/>
        <w:outlineLvl w:val="0"/>
      </w:pPr>
      <w:bookmarkStart w:id="11" w:name="Title"/>
      <w:bookmarkEnd w:id="11"/>
      <w:r w:rsidRPr="003C0F8D">
        <w:t xml:space="preserve">"I/A" ITEM </w:t>
      </w:r>
      <w:r w:rsidR="00CC0BED" w:rsidRPr="003C0F8D">
        <w:t>NOTE</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CC0BED" w:rsidRPr="003C0F8D">
        <w:tblPrEx>
          <w:tblCellMar>
            <w:top w:w="0" w:type="dxa"/>
            <w:left w:w="0" w:type="dxa"/>
            <w:bottom w:w="0" w:type="dxa"/>
            <w:right w:w="0" w:type="dxa"/>
          </w:tblCellMar>
        </w:tblPrEx>
        <w:tc>
          <w:tcPr>
            <w:tcW w:w="1701" w:type="dxa"/>
            <w:tcBorders>
              <w:top w:val="single" w:sz="4" w:space="0" w:color="auto"/>
            </w:tcBorders>
          </w:tcPr>
          <w:p w:rsidR="00CC0BED" w:rsidRPr="003C0F8D" w:rsidRDefault="00CC0BED">
            <w:pPr>
              <w:pStyle w:val="EntEmet"/>
            </w:pPr>
            <w:bookmarkStart w:id="12" w:name="Ref"/>
            <w:bookmarkStart w:id="13" w:name="RefDu"/>
            <w:r w:rsidRPr="003C0F8D">
              <w:t>from :</w:t>
            </w:r>
            <w:bookmarkEnd w:id="13"/>
          </w:p>
        </w:tc>
        <w:tc>
          <w:tcPr>
            <w:tcW w:w="7938" w:type="dxa"/>
            <w:tcBorders>
              <w:top w:val="single" w:sz="4" w:space="0" w:color="auto"/>
            </w:tcBorders>
          </w:tcPr>
          <w:p w:rsidR="00CC0BED" w:rsidRPr="003C0F8D" w:rsidRDefault="00902454">
            <w:pPr>
              <w:pStyle w:val="EntEmet"/>
            </w:pPr>
            <w:r w:rsidRPr="003C0F8D">
              <w:t xml:space="preserve">General Secretariat </w:t>
            </w:r>
          </w:p>
        </w:tc>
      </w:tr>
      <w:tr w:rsidR="00CC0BED" w:rsidRPr="003C0F8D">
        <w:tblPrEx>
          <w:tblCellMar>
            <w:top w:w="0" w:type="dxa"/>
            <w:left w:w="0" w:type="dxa"/>
            <w:bottom w:w="0" w:type="dxa"/>
            <w:right w:w="0" w:type="dxa"/>
          </w:tblCellMar>
        </w:tblPrEx>
        <w:tc>
          <w:tcPr>
            <w:tcW w:w="1701" w:type="dxa"/>
            <w:tcBorders>
              <w:bottom w:val="single" w:sz="4" w:space="0" w:color="auto"/>
            </w:tcBorders>
          </w:tcPr>
          <w:p w:rsidR="00CC0BED" w:rsidRPr="003C0F8D" w:rsidRDefault="00CC0BED">
            <w:pPr>
              <w:pStyle w:val="EntEmet"/>
            </w:pPr>
            <w:r w:rsidRPr="003C0F8D">
              <w:t>to :</w:t>
            </w:r>
          </w:p>
        </w:tc>
        <w:tc>
          <w:tcPr>
            <w:tcW w:w="7938" w:type="dxa"/>
            <w:tcBorders>
              <w:bottom w:val="single" w:sz="4" w:space="0" w:color="auto"/>
            </w:tcBorders>
          </w:tcPr>
          <w:p w:rsidR="00CC0BED" w:rsidRPr="003C0F8D" w:rsidRDefault="00902454">
            <w:pPr>
              <w:pStyle w:val="EntEmet"/>
            </w:pPr>
            <w:r w:rsidRPr="003C0F8D">
              <w:t>Permanent Representatives Committee / Council</w:t>
            </w:r>
          </w:p>
        </w:tc>
      </w:tr>
      <w:tr w:rsidR="00CC0BED" w:rsidRPr="003C0F8D">
        <w:tblPrEx>
          <w:tblCellMar>
            <w:top w:w="0" w:type="dxa"/>
            <w:left w:w="0" w:type="dxa"/>
            <w:bottom w:w="0" w:type="dxa"/>
            <w:right w:w="0" w:type="dxa"/>
          </w:tblCellMar>
        </w:tblPrEx>
        <w:tc>
          <w:tcPr>
            <w:tcW w:w="1701" w:type="dxa"/>
            <w:tcBorders>
              <w:top w:val="single" w:sz="4" w:space="0" w:color="auto"/>
              <w:bottom w:val="single" w:sz="4" w:space="0" w:color="auto"/>
            </w:tcBorders>
          </w:tcPr>
          <w:p w:rsidR="00CC0BED" w:rsidRPr="003C0F8D" w:rsidRDefault="00CC0BED">
            <w:pPr>
              <w:pStyle w:val="EntEmet"/>
            </w:pPr>
            <w:bookmarkStart w:id="14" w:name="RefRow_A"/>
            <w:r w:rsidRPr="003C0F8D">
              <w:t>No. prev. doc. :</w:t>
            </w:r>
          </w:p>
        </w:tc>
        <w:tc>
          <w:tcPr>
            <w:tcW w:w="7938" w:type="dxa"/>
            <w:tcBorders>
              <w:top w:val="single" w:sz="4" w:space="0" w:color="auto"/>
              <w:bottom w:val="single" w:sz="4" w:space="0" w:color="auto"/>
            </w:tcBorders>
          </w:tcPr>
          <w:p w:rsidR="00CC0BED" w:rsidRPr="003C0F8D" w:rsidRDefault="00902454" w:rsidP="00C14331">
            <w:pPr>
              <w:pStyle w:val="EntEmet"/>
              <w:rPr>
                <w:i/>
              </w:rPr>
            </w:pPr>
            <w:r w:rsidRPr="003C0F8D">
              <w:t xml:space="preserve">9411/06 </w:t>
            </w:r>
            <w:r w:rsidR="00C14331" w:rsidRPr="003C0F8D">
              <w:t xml:space="preserve">PROCIV </w:t>
            </w:r>
            <w:r w:rsidRPr="003C0F8D">
              <w:t>89</w:t>
            </w:r>
            <w:r w:rsidR="00C14331" w:rsidRPr="003C0F8D">
              <w:t xml:space="preserve"> COSDP </w:t>
            </w:r>
            <w:r w:rsidR="00286E53" w:rsidRPr="003C0F8D">
              <w:t>3</w:t>
            </w:r>
            <w:r w:rsidRPr="003C0F8D">
              <w:t>67</w:t>
            </w:r>
            <w:r w:rsidR="00C14331" w:rsidRPr="003C0F8D">
              <w:t xml:space="preserve"> JAI </w:t>
            </w:r>
            <w:r w:rsidR="00286E53" w:rsidRPr="003C0F8D">
              <w:t>2</w:t>
            </w:r>
            <w:r w:rsidRPr="003C0F8D">
              <w:t>54</w:t>
            </w:r>
            <w:r w:rsidR="00C14331" w:rsidRPr="003C0F8D">
              <w:t xml:space="preserve"> PESC </w:t>
            </w:r>
            <w:r w:rsidRPr="003C0F8D">
              <w:t>452 + COR 1</w:t>
            </w:r>
          </w:p>
        </w:tc>
      </w:tr>
      <w:bookmarkEnd w:id="12"/>
      <w:bookmarkEnd w:id="14"/>
      <w:tr w:rsidR="00CC0BED" w:rsidRPr="003C0F8D">
        <w:tblPrEx>
          <w:tblCellMar>
            <w:top w:w="0" w:type="dxa"/>
            <w:left w:w="0" w:type="dxa"/>
            <w:bottom w:w="0" w:type="dxa"/>
            <w:right w:w="0" w:type="dxa"/>
          </w:tblCellMar>
        </w:tblPrEx>
        <w:tc>
          <w:tcPr>
            <w:tcW w:w="1701" w:type="dxa"/>
            <w:tcBorders>
              <w:top w:val="single" w:sz="4" w:space="0" w:color="auto"/>
              <w:bottom w:val="single" w:sz="4" w:space="0" w:color="auto"/>
            </w:tcBorders>
          </w:tcPr>
          <w:p w:rsidR="00CC0BED" w:rsidRPr="003C0F8D" w:rsidRDefault="00CC0BED">
            <w:pPr>
              <w:pStyle w:val="EntEmet"/>
            </w:pPr>
            <w:r w:rsidRPr="003C0F8D">
              <w:t>Subject :</w:t>
            </w:r>
          </w:p>
        </w:tc>
        <w:tc>
          <w:tcPr>
            <w:tcW w:w="7938" w:type="dxa"/>
            <w:tcBorders>
              <w:top w:val="single" w:sz="4" w:space="0" w:color="auto"/>
              <w:bottom w:val="single" w:sz="4" w:space="0" w:color="auto"/>
            </w:tcBorders>
          </w:tcPr>
          <w:p w:rsidR="00CC0BED" w:rsidRPr="003C0F8D" w:rsidRDefault="002A60E0">
            <w:pPr>
              <w:pStyle w:val="EntEmet"/>
            </w:pPr>
            <w:bookmarkStart w:id="15" w:name="Subject"/>
            <w:bookmarkEnd w:id="15"/>
            <w:r w:rsidRPr="003C0F8D">
              <w:t xml:space="preserve">Adoption of </w:t>
            </w:r>
            <w:r w:rsidR="00BA26C0" w:rsidRPr="003C0F8D">
              <w:t>Council conclusions on reinforcing the European Union's emergency and crisis response capacities and on endorsing the manual on EU emergency and crisis coordination</w:t>
            </w:r>
          </w:p>
        </w:tc>
      </w:tr>
    </w:tbl>
    <w:p w:rsidR="00CC0BED" w:rsidRPr="003C0F8D" w:rsidRDefault="00CC0BED">
      <w:pPr>
        <w:tabs>
          <w:tab w:val="left" w:pos="3969"/>
        </w:tabs>
      </w:pPr>
    </w:p>
    <w:bookmarkEnd w:id="10"/>
    <w:p w:rsidR="00A93CCF" w:rsidRPr="003C0F8D" w:rsidRDefault="00A93CCF" w:rsidP="00A93CCF">
      <w:pPr>
        <w:tabs>
          <w:tab w:val="left" w:pos="3969"/>
        </w:tabs>
      </w:pPr>
    </w:p>
    <w:p w:rsidR="00A93CCF" w:rsidRPr="003C0F8D" w:rsidRDefault="00A93CCF" w:rsidP="00A93CCF">
      <w:pPr>
        <w:numPr>
          <w:ilvl w:val="1"/>
          <w:numId w:val="18"/>
        </w:numPr>
        <w:tabs>
          <w:tab w:val="clear" w:pos="1440"/>
          <w:tab w:val="num" w:pos="360"/>
          <w:tab w:val="left" w:pos="3969"/>
        </w:tabs>
        <w:ind w:left="360"/>
      </w:pPr>
      <w:r w:rsidRPr="003C0F8D">
        <w:rPr>
          <w:u w:val="single"/>
        </w:rPr>
        <w:t>Delegations</w:t>
      </w:r>
      <w:r w:rsidRPr="003C0F8D">
        <w:t xml:space="preserve"> will find in the </w:t>
      </w:r>
      <w:r w:rsidRPr="003C0F8D">
        <w:rPr>
          <w:u w:val="single"/>
        </w:rPr>
        <w:t>Annex</w:t>
      </w:r>
      <w:r w:rsidRPr="003C0F8D">
        <w:t xml:space="preserve"> draft Council conclusions on reinforcing the European Union's emergency and crisis response capacities and on endorsing the manual on EU emergency and crisis coordination, as agreed</w:t>
      </w:r>
      <w:r w:rsidR="00170187" w:rsidRPr="003C0F8D">
        <w:t xml:space="preserve"> by </w:t>
      </w:r>
      <w:r w:rsidR="00170187" w:rsidRPr="003C0F8D">
        <w:rPr>
          <w:u w:val="single"/>
        </w:rPr>
        <w:t>the Working Party on Civil Protection</w:t>
      </w:r>
      <w:r w:rsidR="00170187" w:rsidRPr="003C0F8D">
        <w:t xml:space="preserve"> on the basis of a draft submitted by the </w:t>
      </w:r>
      <w:r w:rsidR="00170187" w:rsidRPr="003C0F8D">
        <w:rPr>
          <w:u w:val="single"/>
        </w:rPr>
        <w:t>Presidency</w:t>
      </w:r>
      <w:r w:rsidRPr="003C0F8D">
        <w:t>.</w:t>
      </w:r>
    </w:p>
    <w:p w:rsidR="00A93CCF" w:rsidRPr="003C0F8D" w:rsidRDefault="00A93CCF" w:rsidP="00A93CCF">
      <w:pPr>
        <w:tabs>
          <w:tab w:val="left" w:pos="3969"/>
        </w:tabs>
      </w:pPr>
    </w:p>
    <w:p w:rsidR="00C14331" w:rsidRPr="003C0F8D" w:rsidRDefault="00A93CCF" w:rsidP="00A93CCF">
      <w:pPr>
        <w:numPr>
          <w:ilvl w:val="1"/>
          <w:numId w:val="18"/>
        </w:numPr>
        <w:tabs>
          <w:tab w:val="clear" w:pos="1440"/>
          <w:tab w:val="num" w:pos="360"/>
          <w:tab w:val="left" w:pos="3969"/>
        </w:tabs>
        <w:ind w:left="360"/>
      </w:pPr>
      <w:r w:rsidRPr="003C0F8D">
        <w:t xml:space="preserve">It is suggested that </w:t>
      </w:r>
      <w:r w:rsidRPr="003C0F8D">
        <w:rPr>
          <w:u w:val="single"/>
        </w:rPr>
        <w:t>the Permanent Representatives Committee</w:t>
      </w:r>
      <w:r w:rsidRPr="003C0F8D">
        <w:t xml:space="preserve"> propose that </w:t>
      </w:r>
      <w:r w:rsidRPr="003C0F8D">
        <w:rPr>
          <w:u w:val="single"/>
        </w:rPr>
        <w:t>the Council</w:t>
      </w:r>
      <w:r w:rsidRPr="003C0F8D">
        <w:t xml:space="preserve"> adopt these conclusions at one of its forthcoming meetings.</w:t>
      </w:r>
      <w:r w:rsidRPr="003C0F8D">
        <w:br/>
      </w:r>
    </w:p>
    <w:p w:rsidR="00CC0BED" w:rsidRPr="003C0F8D" w:rsidRDefault="00CC0BED">
      <w:pPr>
        <w:jc w:val="center"/>
      </w:pPr>
      <w:r w:rsidRPr="003C0F8D">
        <w:t>____________________</w:t>
      </w:r>
    </w:p>
    <w:p w:rsidR="00CC0BED" w:rsidRPr="003C0F8D" w:rsidRDefault="00CC0BED">
      <w:pPr>
        <w:spacing w:line="240" w:lineRule="auto"/>
        <w:sectPr w:rsidR="00CC0BED" w:rsidRPr="003C0F8D">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CC0BED" w:rsidRPr="003C0F8D" w:rsidRDefault="00CC0BED">
      <w:pPr>
        <w:spacing w:line="240" w:lineRule="auto"/>
        <w:jc w:val="right"/>
        <w:rPr>
          <w:b/>
          <w:u w:val="single"/>
        </w:rPr>
      </w:pPr>
      <w:r w:rsidRPr="003C0F8D">
        <w:rPr>
          <w:b/>
          <w:u w:val="single"/>
        </w:rPr>
        <w:lastRenderedPageBreak/>
        <w:t>ANNEX</w:t>
      </w:r>
    </w:p>
    <w:p w:rsidR="00CC0BED" w:rsidRPr="003C0F8D" w:rsidRDefault="00CC0BED"/>
    <w:p w:rsidR="00C14331" w:rsidRPr="003C0F8D" w:rsidRDefault="00C14331" w:rsidP="00C14331">
      <w:pPr>
        <w:jc w:val="center"/>
        <w:rPr>
          <w:b/>
        </w:rPr>
      </w:pPr>
      <w:r w:rsidRPr="003C0F8D">
        <w:rPr>
          <w:b/>
        </w:rPr>
        <w:t>DRAFT</w:t>
      </w:r>
    </w:p>
    <w:p w:rsidR="00357C0E" w:rsidRPr="003C0F8D" w:rsidRDefault="00C14331" w:rsidP="00C14331">
      <w:pPr>
        <w:jc w:val="center"/>
        <w:outlineLvl w:val="0"/>
        <w:rPr>
          <w:b/>
        </w:rPr>
      </w:pPr>
      <w:r w:rsidRPr="003C0F8D">
        <w:rPr>
          <w:b/>
        </w:rPr>
        <w:t>COUNCIL CONCLUSIONS ON REINFORCING THE EUROPEAN UNION’S EMERGENCY</w:t>
      </w:r>
      <w:r w:rsidR="00357C0E" w:rsidRPr="003C0F8D">
        <w:rPr>
          <w:b/>
        </w:rPr>
        <w:t xml:space="preserve"> </w:t>
      </w:r>
      <w:r w:rsidRPr="003C0F8D">
        <w:rPr>
          <w:b/>
        </w:rPr>
        <w:t xml:space="preserve">AND CRISIS RESPONSE CAPACITIES AND </w:t>
      </w:r>
    </w:p>
    <w:p w:rsidR="00C14331" w:rsidRPr="003C0F8D" w:rsidRDefault="00C14331" w:rsidP="00C14331">
      <w:pPr>
        <w:jc w:val="center"/>
        <w:outlineLvl w:val="0"/>
        <w:rPr>
          <w:b/>
        </w:rPr>
      </w:pPr>
      <w:r w:rsidRPr="003C0F8D">
        <w:rPr>
          <w:b/>
        </w:rPr>
        <w:t>ON ENDORSING THE MANUAL ON EU EMERGENCY AND CRISIS COORDINATION</w:t>
      </w:r>
    </w:p>
    <w:p w:rsidR="00C14331" w:rsidRPr="003C0F8D" w:rsidRDefault="00C14331" w:rsidP="00C14331">
      <w:pPr>
        <w:ind w:left="540" w:hanging="540"/>
        <w:jc w:val="both"/>
      </w:pPr>
    </w:p>
    <w:p w:rsidR="00C14331" w:rsidRPr="003C0F8D" w:rsidRDefault="00C14331" w:rsidP="00F55FF6">
      <w:pPr>
        <w:widowControl/>
        <w:numPr>
          <w:ilvl w:val="0"/>
          <w:numId w:val="15"/>
        </w:numPr>
        <w:tabs>
          <w:tab w:val="num" w:pos="567"/>
        </w:tabs>
        <w:ind w:left="567" w:hanging="567"/>
      </w:pPr>
      <w:r w:rsidRPr="003C0F8D">
        <w:t>Helping citizens in an emergency, crisis or disaster, whether natural or man-made, requires effective delivery of assistance where and when it is needed. Member States are responsible for managing emergencies, crises or disasters on their territory and determining whether they require any outside assistance. However, many major risks inside and outside the</w:t>
      </w:r>
      <w:r w:rsidR="00DC2182" w:rsidRPr="003C0F8D">
        <w:t xml:space="preserve"> European</w:t>
      </w:r>
      <w:r w:rsidRPr="003C0F8D">
        <w:t xml:space="preserve"> Union could affect one or more Member States or engage the whole </w:t>
      </w:r>
      <w:r w:rsidR="00DC2182" w:rsidRPr="003C0F8D">
        <w:t xml:space="preserve">European </w:t>
      </w:r>
      <w:r w:rsidRPr="003C0F8D">
        <w:t xml:space="preserve">Union. In such circumstances, support may be needed from other Member States and EU structures.  </w:t>
      </w:r>
    </w:p>
    <w:p w:rsidR="00C14331" w:rsidRPr="003C0F8D" w:rsidRDefault="00C14331" w:rsidP="00BA26C0">
      <w:pPr>
        <w:tabs>
          <w:tab w:val="num" w:pos="567"/>
        </w:tabs>
        <w:ind w:left="567" w:hanging="567"/>
      </w:pPr>
    </w:p>
    <w:p w:rsidR="00C14331" w:rsidRPr="003C0F8D" w:rsidRDefault="00C14331" w:rsidP="00F55FF6">
      <w:pPr>
        <w:widowControl/>
        <w:numPr>
          <w:ilvl w:val="0"/>
          <w:numId w:val="15"/>
        </w:numPr>
        <w:tabs>
          <w:tab w:val="num" w:pos="567"/>
        </w:tabs>
        <w:ind w:left="567" w:hanging="567"/>
      </w:pPr>
      <w:r w:rsidRPr="003C0F8D">
        <w:t>In addressing such situations, Member States are able to draw on existing EU mechanisms managed by the Commission, in particular the Civil Protection Monitoring and Information Centre in the Commission, as well as the Joint Situation Centre in the Council Secretariat.</w:t>
      </w:r>
    </w:p>
    <w:p w:rsidR="00C14331" w:rsidRPr="003C0F8D" w:rsidRDefault="00C14331" w:rsidP="00BA26C0">
      <w:pPr>
        <w:tabs>
          <w:tab w:val="num" w:pos="567"/>
        </w:tabs>
        <w:ind w:left="567" w:hanging="567"/>
      </w:pPr>
    </w:p>
    <w:p w:rsidR="00A93CCF" w:rsidRPr="003C0F8D" w:rsidRDefault="00A93CCF" w:rsidP="00A93CCF">
      <w:pPr>
        <w:widowControl/>
        <w:numPr>
          <w:ilvl w:val="0"/>
          <w:numId w:val="15"/>
        </w:numPr>
        <w:tabs>
          <w:tab w:val="num" w:pos="567"/>
        </w:tabs>
        <w:ind w:left="567" w:hanging="567"/>
      </w:pPr>
      <w:r w:rsidRPr="003C0F8D">
        <w:t xml:space="preserve">Following the remits given by point 2.4 of the Hague Programme of 5 November 2004 on strengthening freedom, security and justice in the European Union </w:t>
      </w:r>
      <w:r w:rsidRPr="003C0F8D">
        <w:rPr>
          <w:rStyle w:val="Fotnotsreferens"/>
        </w:rPr>
        <w:footnoteReference w:id="1"/>
      </w:r>
      <w:r w:rsidRPr="003C0F8D">
        <w:t>, the JHA Council Declaration of 13 July 2005 on the EU response to the London bombings</w:t>
      </w:r>
      <w:r w:rsidRPr="003C0F8D">
        <w:rPr>
          <w:b/>
        </w:rPr>
        <w:t xml:space="preserve"> </w:t>
      </w:r>
      <w:r w:rsidRPr="003C0F8D">
        <w:rPr>
          <w:rStyle w:val="Fotnotsreferens"/>
          <w:b w:val="0"/>
        </w:rPr>
        <w:footnoteReference w:id="2"/>
      </w:r>
      <w:r w:rsidRPr="003C0F8D">
        <w:rPr>
          <w:b/>
        </w:rPr>
        <w:t xml:space="preserve"> </w:t>
      </w:r>
      <w:r w:rsidRPr="003C0F8D">
        <w:t xml:space="preserve">and Coreper of 18 January 2006 </w:t>
      </w:r>
      <w:r w:rsidRPr="003C0F8D">
        <w:rPr>
          <w:rStyle w:val="Fotnotsreferens"/>
        </w:rPr>
        <w:footnoteReference w:id="3"/>
      </w:r>
      <w:r w:rsidRPr="003C0F8D">
        <w:t>, the Council agrees to take the following further steps to ensure that the Union can react more effectively and lend assistance when major emergencies occur inside or outside the Union:</w:t>
      </w:r>
    </w:p>
    <w:p w:rsidR="00A93CCF" w:rsidRPr="003C0F8D" w:rsidRDefault="00A93CCF" w:rsidP="00A93CCF"/>
    <w:p w:rsidR="00C14331" w:rsidRPr="003C0F8D" w:rsidRDefault="00A93CCF" w:rsidP="00A93CCF">
      <w:pPr>
        <w:widowControl/>
        <w:numPr>
          <w:ilvl w:val="1"/>
          <w:numId w:val="15"/>
        </w:numPr>
        <w:tabs>
          <w:tab w:val="clear" w:pos="360"/>
        </w:tabs>
        <w:ind w:left="1134" w:hanging="567"/>
      </w:pPr>
      <w:r w:rsidRPr="003C0F8D">
        <w:t>The Council endorses the operational EU emergency and crisis coordination manual drawn up by the Presidency in close cooperation with the Commission and the Council Secretariat. This manual sets out two strands of work:</w:t>
      </w:r>
    </w:p>
    <w:p w:rsidR="00C14331" w:rsidRPr="003C0F8D" w:rsidRDefault="00C14331" w:rsidP="00C14331">
      <w:pPr>
        <w:widowControl/>
        <w:ind w:left="720"/>
      </w:pPr>
    </w:p>
    <w:p w:rsidR="00C14331" w:rsidRPr="003C0F8D" w:rsidRDefault="00BA26C0" w:rsidP="00C14331">
      <w:pPr>
        <w:ind w:left="1080"/>
      </w:pPr>
      <w:r w:rsidRPr="003C0F8D">
        <w:br w:type="page"/>
      </w:r>
      <w:bookmarkStart w:id="22" w:name="ControlPages"/>
      <w:bookmarkEnd w:id="22"/>
      <w:r w:rsidR="00C14331" w:rsidRPr="003C0F8D">
        <w:t xml:space="preserve">Firstly, the manual contains internal arrangements for political coordination in Brussels for major emergencies inside or outside the </w:t>
      </w:r>
      <w:r w:rsidR="00137C0E" w:rsidRPr="003C0F8D">
        <w:t xml:space="preserve">European </w:t>
      </w:r>
      <w:r w:rsidR="00C14331" w:rsidRPr="003C0F8D">
        <w:t xml:space="preserve">Union. </w:t>
      </w:r>
    </w:p>
    <w:p w:rsidR="00C14331" w:rsidRPr="003C0F8D" w:rsidRDefault="00C14331" w:rsidP="00C14331">
      <w:pPr>
        <w:ind w:left="1080"/>
      </w:pPr>
      <w:r w:rsidRPr="003C0F8D">
        <w:t>These generic arrangements do not duplicate or supplant existing networks or rapid alert systems; they will help deliver a better coordinated EU response and fill any gaps by providing input for coordinated action or decisions by COREPER or the Council. The manual will be updated by the forthcoming Presidencies in cooperation with the Council Secretariat, the Commission and the Member States in the light of tests to be undertaken shortly after adoption, experience and practice.</w:t>
      </w:r>
    </w:p>
    <w:p w:rsidR="00C14331" w:rsidRPr="003C0F8D" w:rsidRDefault="00C14331" w:rsidP="00C14331">
      <w:pPr>
        <w:ind w:left="1080"/>
      </w:pPr>
    </w:p>
    <w:p w:rsidR="00C14331" w:rsidRPr="003C0F8D" w:rsidRDefault="00C14331" w:rsidP="00C14331">
      <w:pPr>
        <w:ind w:left="1134"/>
      </w:pPr>
      <w:r w:rsidRPr="003C0F8D">
        <w:t>Secondly, the manual pre-identifies 24h/7 contact points in Member States which could be called upon in the event of coordinated terrorist attacks or an influenza pandemic. It is the purpose, in the medium term, to identify the relevant</w:t>
      </w:r>
      <w:r w:rsidR="00FE5BA7" w:rsidRPr="003C0F8D">
        <w:t xml:space="preserve"> national</w:t>
      </w:r>
      <w:r w:rsidRPr="003C0F8D">
        <w:t xml:space="preserve"> contact points for all kinds of emergency and crisis situations. Moreover, the manual contains an overview of operational networks and emergency support which may help to coordinate or assist Member States in handling emergency and crisis situations. The Council encourages the Presidency, the Council Secretariat and the Commission to further develop the manual drawing on best practices under existing bilateral and multilateral arrangements and identifying gaps to be filled. A progress report should be presented to the Council by 30</w:t>
      </w:r>
      <w:r w:rsidR="00BA26C0" w:rsidRPr="003C0F8D">
        <w:t> Ju</w:t>
      </w:r>
      <w:r w:rsidRPr="003C0F8D">
        <w:t>ne</w:t>
      </w:r>
      <w:r w:rsidR="00BA26C0" w:rsidRPr="003C0F8D">
        <w:t> </w:t>
      </w:r>
      <w:r w:rsidRPr="003C0F8D">
        <w:t>2007.</w:t>
      </w:r>
    </w:p>
    <w:p w:rsidR="00C14331" w:rsidRPr="003C0F8D" w:rsidRDefault="00C14331" w:rsidP="00C14331"/>
    <w:p w:rsidR="00C14331" w:rsidRPr="003C0F8D" w:rsidRDefault="00C14331" w:rsidP="00F55FF6">
      <w:pPr>
        <w:widowControl/>
        <w:numPr>
          <w:ilvl w:val="1"/>
          <w:numId w:val="15"/>
        </w:numPr>
        <w:tabs>
          <w:tab w:val="clear" w:pos="360"/>
        </w:tabs>
        <w:ind w:left="1134" w:hanging="567"/>
      </w:pPr>
      <w:r w:rsidRPr="003C0F8D">
        <w:t>The Council invites Member States to put in place the necessary internal structures to ensure that they are in a position to respond rapidly to all requests for assistance in relation to all types of emergencies or crises.  In doing so, Member States should consider whether a single</w:t>
      </w:r>
      <w:r w:rsidR="00FE5BA7" w:rsidRPr="003C0F8D">
        <w:t xml:space="preserve"> national</w:t>
      </w:r>
      <w:r w:rsidRPr="003C0F8D">
        <w:t xml:space="preserve"> contact point for the coordination of all emergency or crisis situations would ensure greater effectiveness.</w:t>
      </w:r>
    </w:p>
    <w:p w:rsidR="00C14331" w:rsidRPr="003C0F8D" w:rsidRDefault="00C14331" w:rsidP="00C14331"/>
    <w:p w:rsidR="00C14331" w:rsidRPr="003C0F8D" w:rsidRDefault="00C14331" w:rsidP="00F55FF6">
      <w:pPr>
        <w:widowControl/>
        <w:numPr>
          <w:ilvl w:val="0"/>
          <w:numId w:val="15"/>
        </w:numPr>
        <w:tabs>
          <w:tab w:val="num" w:pos="567"/>
        </w:tabs>
        <w:ind w:left="567" w:hanging="567"/>
      </w:pPr>
      <w:r w:rsidRPr="003C0F8D">
        <w:t>Furthermore</w:t>
      </w:r>
      <w:r w:rsidRPr="003C0F8D">
        <w:rPr>
          <w:b/>
        </w:rPr>
        <w:t>,</w:t>
      </w:r>
      <w:r w:rsidRPr="003C0F8D">
        <w:t xml:space="preserve"> the Council also takes note of the contribution of civil protection to reinforcing the EU's emergency and crisis response capacities and welcomes in particular the progress on the Commission’s proposals on establishing a rapid response and preparedness instrument and on the recast of the Community's civil protection mechanism. The Council intends to work </w:t>
      </w:r>
      <w:r w:rsidR="00027734" w:rsidRPr="003C0F8D">
        <w:t>towards the</w:t>
      </w:r>
      <w:r w:rsidRPr="003C0F8D">
        <w:t xml:space="preserve"> adoption of both proposals by the end of 2006 in order to help reinforce the </w:t>
      </w:r>
      <w:r w:rsidR="00FE5BA7" w:rsidRPr="003C0F8D">
        <w:t xml:space="preserve">European </w:t>
      </w:r>
      <w:r w:rsidRPr="003C0F8D">
        <w:t xml:space="preserve">Union’s crisis response capability inside and outside the </w:t>
      </w:r>
      <w:r w:rsidR="00FE5BA7" w:rsidRPr="003C0F8D">
        <w:t xml:space="preserve">European </w:t>
      </w:r>
      <w:r w:rsidRPr="003C0F8D">
        <w:t xml:space="preserve">Union. </w:t>
      </w:r>
    </w:p>
    <w:p w:rsidR="00F55FF6" w:rsidRPr="003C0F8D" w:rsidRDefault="00C850FA" w:rsidP="00F55FF6">
      <w:pPr>
        <w:pStyle w:val="Oformateradtext"/>
        <w:rPr>
          <w:rFonts w:ascii="Times New Roman" w:hAnsi="Times New Roman" w:cs="Times New Roman"/>
          <w:sz w:val="24"/>
          <w:lang w:val="sv-SE" w:eastAsia="fr-BE"/>
        </w:rPr>
      </w:pPr>
      <w:r w:rsidRPr="003C0F8D">
        <w:rPr>
          <w:rFonts w:ascii="Times New Roman" w:hAnsi="Times New Roman" w:cs="Times New Roman"/>
          <w:sz w:val="24"/>
          <w:lang w:val="sv-SE" w:eastAsia="fr-BE"/>
        </w:rPr>
        <w:br w:type="page"/>
      </w:r>
    </w:p>
    <w:p w:rsidR="00F55FF6" w:rsidRPr="003C0F8D" w:rsidRDefault="00F55FF6" w:rsidP="00476FF7">
      <w:pPr>
        <w:widowControl/>
        <w:numPr>
          <w:ilvl w:val="0"/>
          <w:numId w:val="15"/>
        </w:numPr>
        <w:tabs>
          <w:tab w:val="num" w:pos="567"/>
        </w:tabs>
        <w:ind w:left="567" w:hanging="567"/>
      </w:pPr>
      <w:r w:rsidRPr="003C0F8D">
        <w:t>It is highlighted that the above actions of civil protection are to be regarded</w:t>
      </w:r>
      <w:r w:rsidR="00476FF7" w:rsidRPr="003C0F8D">
        <w:t xml:space="preserve"> </w:t>
      </w:r>
      <w:r w:rsidRPr="003C0F8D">
        <w:t>as a contribution to the implementation of</w:t>
      </w:r>
      <w:r w:rsidR="00E116D1" w:rsidRPr="003C0F8D">
        <w:t> the</w:t>
      </w:r>
      <w:r w:rsidRPr="003C0F8D">
        <w:t xml:space="preserve"> Tsunami Action Plan which</w:t>
      </w:r>
      <w:r w:rsidR="00476FF7" w:rsidRPr="003C0F8D">
        <w:t xml:space="preserve"> </w:t>
      </w:r>
      <w:r w:rsidRPr="003C0F8D">
        <w:t>called for the development of a European Union rapid response capability</w:t>
      </w:r>
      <w:r w:rsidR="00476FF7" w:rsidRPr="003C0F8D">
        <w:t xml:space="preserve">. They </w:t>
      </w:r>
      <w:r w:rsidRPr="003C0F8D">
        <w:t>are complemented by ongoing work on</w:t>
      </w:r>
      <w:r w:rsidR="00F24615" w:rsidRPr="003C0F8D">
        <w:t> the</w:t>
      </w:r>
      <w:r w:rsidRPr="003C0F8D">
        <w:t xml:space="preserve"> </w:t>
      </w:r>
      <w:r w:rsidR="00A93CCF" w:rsidRPr="003C0F8D">
        <w:t xml:space="preserve">General Framework for the </w:t>
      </w:r>
      <w:r w:rsidRPr="003C0F8D">
        <w:t>use of Member States' military or</w:t>
      </w:r>
      <w:r w:rsidR="00476FF7" w:rsidRPr="003C0F8D">
        <w:t xml:space="preserve"> </w:t>
      </w:r>
      <w:r w:rsidRPr="003C0F8D">
        <w:t>military chartered transportation assets and ESDP coordination tools in support</w:t>
      </w:r>
      <w:r w:rsidR="00476FF7" w:rsidRPr="003C0F8D">
        <w:t xml:space="preserve"> </w:t>
      </w:r>
      <w:r w:rsidRPr="003C0F8D">
        <w:t>of EU disaster response as well as on an improved European</w:t>
      </w:r>
      <w:r w:rsidR="00476FF7" w:rsidRPr="003C0F8D">
        <w:t xml:space="preserve"> </w:t>
      </w:r>
      <w:r w:rsidRPr="003C0F8D">
        <w:t>consular cooperation.</w:t>
      </w:r>
    </w:p>
    <w:p w:rsidR="00C14331" w:rsidRPr="003C0F8D" w:rsidRDefault="00C14331" w:rsidP="00C14331"/>
    <w:p w:rsidR="00CC0BED" w:rsidRPr="003C0F8D" w:rsidRDefault="00C14331">
      <w:pPr>
        <w:jc w:val="center"/>
      </w:pPr>
      <w:r w:rsidRPr="003C0F8D">
        <w:t>================</w:t>
      </w:r>
    </w:p>
    <w:sectPr w:rsidR="00CC0BED" w:rsidRPr="003C0F8D">
      <w:footerReference w:type="default" r:id="rId9"/>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6E4" w:rsidRPr="003C0F8D" w:rsidRDefault="00B776E4">
      <w:r w:rsidRPr="003C0F8D">
        <w:separator/>
      </w:r>
    </w:p>
  </w:endnote>
  <w:endnote w:type="continuationSeparator" w:id="0">
    <w:p w:rsidR="00B776E4" w:rsidRPr="003C0F8D" w:rsidRDefault="00B776E4">
      <w:r w:rsidRPr="003C0F8D">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6D1" w:rsidRPr="003C0F8D" w:rsidRDefault="00E116D1">
    <w:pPr>
      <w:pStyle w:val="Sidfot"/>
      <w:pBdr>
        <w:bottom w:val="single" w:sz="4" w:space="1" w:color="auto"/>
      </w:pBdr>
      <w:spacing w:after="60"/>
    </w:pPr>
  </w:p>
  <w:p w:rsidR="00E116D1" w:rsidRPr="003C0F8D" w:rsidRDefault="00E116D1">
    <w:pPr>
      <w:pStyle w:val="Sidfot"/>
    </w:pPr>
    <w:bookmarkStart w:id="16" w:name="CoteFooter"/>
    <w:bookmarkEnd w:id="16"/>
    <w:r w:rsidRPr="003C0F8D">
      <w:t>9</w:t>
    </w:r>
    <w:r w:rsidR="0074736D" w:rsidRPr="003C0F8D">
      <w:t>4</w:t>
    </w:r>
    <w:r w:rsidR="00902454" w:rsidRPr="003C0F8D">
      <w:t>97</w:t>
    </w:r>
    <w:r w:rsidRPr="003C0F8D">
      <w:t>/06</w:t>
    </w:r>
    <w:r w:rsidRPr="003C0F8D">
      <w:tab/>
    </w:r>
    <w:bookmarkStart w:id="17" w:name="SuplCote"/>
    <w:bookmarkEnd w:id="17"/>
    <w:r w:rsidRPr="003C0F8D">
      <w:tab/>
    </w:r>
    <w:bookmarkStart w:id="18" w:name="Init"/>
    <w:bookmarkEnd w:id="18"/>
    <w:r w:rsidRPr="003C0F8D">
      <w:t>TW/</w:t>
    </w:r>
    <w:r w:rsidR="0074736D" w:rsidRPr="003C0F8D">
      <w:t>jm</w:t>
    </w:r>
    <w:r w:rsidRPr="003C0F8D">
      <w:tab/>
    </w:r>
    <w:r w:rsidRPr="003C0F8D">
      <w:rPr>
        <w:rStyle w:val="Sidnummer"/>
      </w:rPr>
      <w:fldChar w:fldCharType="begin" w:fldLock="1"/>
    </w:r>
    <w:r w:rsidRPr="003C0F8D">
      <w:rPr>
        <w:rStyle w:val="Sidnummer"/>
      </w:rPr>
      <w:instrText xml:space="preserve"> PAGE </w:instrText>
    </w:r>
    <w:r w:rsidRPr="003C0F8D">
      <w:rPr>
        <w:rStyle w:val="Sidnummer"/>
      </w:rPr>
      <w:fldChar w:fldCharType="separate"/>
    </w:r>
    <w:r w:rsidR="00007CA4" w:rsidRPr="003C0F8D">
      <w:rPr>
        <w:rStyle w:val="Sidnummer"/>
      </w:rPr>
      <w:t>1</w:t>
    </w:r>
    <w:r w:rsidRPr="003C0F8D">
      <w:rPr>
        <w:rStyle w:val="Sidnummer"/>
      </w:rPr>
      <w:fldChar w:fldCharType="end"/>
    </w:r>
  </w:p>
  <w:p w:rsidR="00E116D1" w:rsidRPr="003C0F8D" w:rsidRDefault="00E116D1">
    <w:pPr>
      <w:pStyle w:val="Sidfot"/>
      <w:tabs>
        <w:tab w:val="clear" w:pos="7371"/>
      </w:tabs>
      <w:spacing w:line="280" w:lineRule="exact"/>
    </w:pPr>
    <w:r w:rsidRPr="003C0F8D">
      <w:tab/>
    </w:r>
    <w:bookmarkStart w:id="19" w:name="DG"/>
    <w:bookmarkEnd w:id="19"/>
    <w:r w:rsidRPr="003C0F8D">
      <w:t>DG I</w:t>
    </w:r>
    <w:r w:rsidRPr="003C0F8D">
      <w:tab/>
    </w:r>
    <w:bookmarkStart w:id="20" w:name="FooterCoteSec"/>
    <w:r w:rsidRPr="003C0F8D">
      <w:rPr>
        <w:b/>
        <w:position w:val="-4"/>
        <w:sz w:val="36"/>
      </w:rPr>
      <w:t xml:space="preserve"> </w:t>
    </w:r>
    <w:bookmarkEnd w:id="20"/>
    <w:r w:rsidRPr="003C0F8D">
      <w:rPr>
        <w:b/>
        <w:position w:val="-4"/>
        <w:sz w:val="36"/>
      </w:rPr>
      <w:t> </w:t>
    </w:r>
    <w:bookmarkStart w:id="21" w:name="Langue"/>
    <w:r w:rsidRPr="003C0F8D">
      <w:rPr>
        <w:b/>
        <w:position w:val="-4"/>
        <w:sz w:val="36"/>
      </w:rPr>
      <w:t>EN</w:t>
    </w:r>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6D1" w:rsidRPr="003C0F8D" w:rsidRDefault="00E116D1">
    <w:pPr>
      <w:pStyle w:val="Sidfot"/>
      <w:pBdr>
        <w:bottom w:val="single" w:sz="4" w:space="1" w:color="auto"/>
      </w:pBdr>
      <w:spacing w:after="60"/>
    </w:pPr>
  </w:p>
  <w:p w:rsidR="00E116D1" w:rsidRPr="003C0F8D" w:rsidRDefault="0074736D">
    <w:pPr>
      <w:pStyle w:val="Sidfot"/>
    </w:pPr>
    <w:r w:rsidRPr="003C0F8D">
      <w:t>94</w:t>
    </w:r>
    <w:r w:rsidR="00902454" w:rsidRPr="003C0F8D">
      <w:t>97</w:t>
    </w:r>
    <w:r w:rsidRPr="003C0F8D">
      <w:t>/</w:t>
    </w:r>
    <w:r w:rsidR="00E116D1" w:rsidRPr="003C0F8D">
      <w:t>06</w:t>
    </w:r>
    <w:r w:rsidR="00E116D1" w:rsidRPr="003C0F8D">
      <w:tab/>
    </w:r>
    <w:r w:rsidR="00E116D1" w:rsidRPr="003C0F8D">
      <w:tab/>
      <w:t>TW/</w:t>
    </w:r>
    <w:r w:rsidRPr="003C0F8D">
      <w:t>jm</w:t>
    </w:r>
    <w:r w:rsidR="00E116D1" w:rsidRPr="003C0F8D">
      <w:tab/>
    </w:r>
    <w:r w:rsidR="00E116D1" w:rsidRPr="003C0F8D">
      <w:rPr>
        <w:rStyle w:val="Sidnummer"/>
      </w:rPr>
      <w:fldChar w:fldCharType="begin" w:fldLock="1"/>
    </w:r>
    <w:r w:rsidR="00E116D1" w:rsidRPr="003C0F8D">
      <w:rPr>
        <w:rStyle w:val="Sidnummer"/>
      </w:rPr>
      <w:instrText xml:space="preserve"> PAGE </w:instrText>
    </w:r>
    <w:r w:rsidR="00E116D1" w:rsidRPr="003C0F8D">
      <w:rPr>
        <w:rStyle w:val="Sidnummer"/>
      </w:rPr>
      <w:fldChar w:fldCharType="separate"/>
    </w:r>
    <w:r w:rsidR="00007CA4" w:rsidRPr="003C0F8D">
      <w:rPr>
        <w:rStyle w:val="Sidnummer"/>
      </w:rPr>
      <w:t>3</w:t>
    </w:r>
    <w:r w:rsidR="00E116D1" w:rsidRPr="003C0F8D">
      <w:rPr>
        <w:rStyle w:val="Sidnummer"/>
      </w:rPr>
      <w:fldChar w:fldCharType="end"/>
    </w:r>
  </w:p>
  <w:p w:rsidR="00E116D1" w:rsidRPr="003C0F8D" w:rsidRDefault="00E116D1">
    <w:pPr>
      <w:pStyle w:val="Sidfot"/>
      <w:tabs>
        <w:tab w:val="clear" w:pos="7371"/>
      </w:tabs>
      <w:spacing w:line="280" w:lineRule="exact"/>
    </w:pPr>
    <w:r w:rsidRPr="003C0F8D">
      <w:t>ANNEX</w:t>
    </w:r>
    <w:r w:rsidRPr="003C0F8D">
      <w:tab/>
      <w:t>DG I</w:t>
    </w:r>
    <w:r w:rsidRPr="003C0F8D">
      <w:tab/>
    </w:r>
    <w:r w:rsidRPr="003C0F8D">
      <w:rPr>
        <w:b/>
        <w:position w:val="-4"/>
        <w:sz w:val="36"/>
      </w:rPr>
      <w:t xml:space="preserve"> </w:t>
    </w:r>
    <w:r w:rsidRPr="003C0F8D">
      <w:rPr>
        <w:b/>
        <w:position w:val="-4"/>
        <w:sz w:val="36"/>
      </w:rPr>
      <w:t> </w:t>
    </w:r>
    <w:r w:rsidRPr="003C0F8D">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6E4" w:rsidRPr="003C0F8D" w:rsidRDefault="00B776E4">
      <w:pPr>
        <w:pStyle w:val="Fotnotstext"/>
      </w:pPr>
      <w:r w:rsidRPr="003C0F8D">
        <w:separator/>
      </w:r>
    </w:p>
  </w:footnote>
  <w:footnote w:type="continuationSeparator" w:id="0">
    <w:p w:rsidR="00B776E4" w:rsidRPr="003C0F8D" w:rsidRDefault="00B776E4">
      <w:pPr>
        <w:pStyle w:val="Fotnotstext"/>
      </w:pPr>
      <w:r w:rsidRPr="003C0F8D">
        <w:separator/>
      </w:r>
    </w:p>
  </w:footnote>
  <w:footnote w:id="1">
    <w:p w:rsidR="00A93CCF" w:rsidRPr="003C0F8D" w:rsidRDefault="00A93CCF" w:rsidP="00A93CCF">
      <w:pPr>
        <w:pStyle w:val="Fotnotstext"/>
      </w:pPr>
      <w:r w:rsidRPr="003C0F8D">
        <w:rPr>
          <w:rStyle w:val="Fotnotsreferens"/>
          <w:b w:val="0"/>
        </w:rPr>
        <w:footnoteRef/>
      </w:r>
      <w:r w:rsidRPr="003C0F8D">
        <w:rPr>
          <w:b/>
        </w:rPr>
        <w:t xml:space="preserve"> </w:t>
      </w:r>
      <w:r w:rsidRPr="003C0F8D">
        <w:tab/>
        <w:t>16054/04.</w:t>
      </w:r>
    </w:p>
  </w:footnote>
  <w:footnote w:id="2">
    <w:p w:rsidR="00A93CCF" w:rsidRPr="003C0F8D" w:rsidRDefault="00A93CCF" w:rsidP="00A93CCF">
      <w:pPr>
        <w:pStyle w:val="Fotnotstext"/>
      </w:pPr>
      <w:r w:rsidRPr="003C0F8D">
        <w:rPr>
          <w:rStyle w:val="Fotnotsreferens"/>
          <w:b w:val="0"/>
        </w:rPr>
        <w:footnoteRef/>
      </w:r>
      <w:r w:rsidRPr="003C0F8D">
        <w:t xml:space="preserve"> </w:t>
      </w:r>
      <w:r w:rsidRPr="003C0F8D">
        <w:tab/>
        <w:t>11158/1/05.</w:t>
      </w:r>
    </w:p>
  </w:footnote>
  <w:footnote w:id="3">
    <w:p w:rsidR="00A93CCF" w:rsidRPr="003C0F8D" w:rsidRDefault="00A93CCF" w:rsidP="00A93CCF">
      <w:pPr>
        <w:pStyle w:val="Fotnotstext"/>
      </w:pPr>
      <w:r w:rsidRPr="003C0F8D">
        <w:rPr>
          <w:rStyle w:val="Fotnotsreferens"/>
          <w:b w:val="0"/>
        </w:rPr>
        <w:footnoteRef/>
      </w:r>
      <w:r w:rsidRPr="003C0F8D">
        <w:t xml:space="preserve"> </w:t>
      </w:r>
      <w:r w:rsidRPr="003C0F8D">
        <w:tab/>
        <w:t>5228/06.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A"/>
    <w:multiLevelType w:val="hybridMultilevel"/>
    <w:tmpl w:val="913A05C8"/>
    <w:lvl w:ilvl="0" w:tplc="0409000F">
      <w:start w:val="1"/>
      <w:numFmt w:val="decimal"/>
      <w:lvlText w:val="%1."/>
      <w:lvlJc w:val="left"/>
      <w:pPr>
        <w:tabs>
          <w:tab w:val="num" w:pos="360"/>
        </w:tabs>
        <w:ind w:left="360" w:hanging="360"/>
      </w:pPr>
    </w:lvl>
    <w:lvl w:ilvl="1" w:tplc="080C0019" w:tentative="1">
      <w:start w:val="1"/>
      <w:numFmt w:val="lowerLetter"/>
      <w:lvlText w:val="%2."/>
      <w:lvlJc w:val="left"/>
      <w:pPr>
        <w:tabs>
          <w:tab w:val="num" w:pos="720"/>
        </w:tabs>
        <w:ind w:left="720" w:hanging="360"/>
      </w:pPr>
    </w:lvl>
    <w:lvl w:ilvl="2" w:tplc="080C001B" w:tentative="1">
      <w:start w:val="1"/>
      <w:numFmt w:val="lowerRoman"/>
      <w:lvlText w:val="%3."/>
      <w:lvlJc w:val="right"/>
      <w:pPr>
        <w:tabs>
          <w:tab w:val="num" w:pos="1440"/>
        </w:tabs>
        <w:ind w:left="1440" w:hanging="180"/>
      </w:pPr>
    </w:lvl>
    <w:lvl w:ilvl="3" w:tplc="080C000F" w:tentative="1">
      <w:start w:val="1"/>
      <w:numFmt w:val="decimal"/>
      <w:lvlText w:val="%4."/>
      <w:lvlJc w:val="left"/>
      <w:pPr>
        <w:tabs>
          <w:tab w:val="num" w:pos="2160"/>
        </w:tabs>
        <w:ind w:left="2160" w:hanging="360"/>
      </w:pPr>
    </w:lvl>
    <w:lvl w:ilvl="4" w:tplc="080C0019" w:tentative="1">
      <w:start w:val="1"/>
      <w:numFmt w:val="lowerLetter"/>
      <w:lvlText w:val="%5."/>
      <w:lvlJc w:val="left"/>
      <w:pPr>
        <w:tabs>
          <w:tab w:val="num" w:pos="2880"/>
        </w:tabs>
        <w:ind w:left="2880" w:hanging="360"/>
      </w:pPr>
    </w:lvl>
    <w:lvl w:ilvl="5" w:tplc="080C001B" w:tentative="1">
      <w:start w:val="1"/>
      <w:numFmt w:val="lowerRoman"/>
      <w:lvlText w:val="%6."/>
      <w:lvlJc w:val="right"/>
      <w:pPr>
        <w:tabs>
          <w:tab w:val="num" w:pos="3600"/>
        </w:tabs>
        <w:ind w:left="3600" w:hanging="180"/>
      </w:pPr>
    </w:lvl>
    <w:lvl w:ilvl="6" w:tplc="080C000F" w:tentative="1">
      <w:start w:val="1"/>
      <w:numFmt w:val="decimal"/>
      <w:lvlText w:val="%7."/>
      <w:lvlJc w:val="left"/>
      <w:pPr>
        <w:tabs>
          <w:tab w:val="num" w:pos="4320"/>
        </w:tabs>
        <w:ind w:left="4320" w:hanging="360"/>
      </w:pPr>
    </w:lvl>
    <w:lvl w:ilvl="7" w:tplc="080C0019" w:tentative="1">
      <w:start w:val="1"/>
      <w:numFmt w:val="lowerLetter"/>
      <w:lvlText w:val="%8."/>
      <w:lvlJc w:val="left"/>
      <w:pPr>
        <w:tabs>
          <w:tab w:val="num" w:pos="5040"/>
        </w:tabs>
        <w:ind w:left="5040" w:hanging="360"/>
      </w:pPr>
    </w:lvl>
    <w:lvl w:ilvl="8" w:tplc="080C001B" w:tentative="1">
      <w:start w:val="1"/>
      <w:numFmt w:val="lowerRoman"/>
      <w:lvlText w:val="%9."/>
      <w:lvlJc w:val="right"/>
      <w:pPr>
        <w:tabs>
          <w:tab w:val="num" w:pos="5760"/>
        </w:tabs>
        <w:ind w:left="5760" w:hanging="180"/>
      </w:pPr>
    </w:lvl>
  </w:abstractNum>
  <w:abstractNum w:abstractNumId="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583184"/>
    <w:multiLevelType w:val="hybridMultilevel"/>
    <w:tmpl w:val="6584047E"/>
    <w:lvl w:ilvl="0" w:tplc="EB1AE6E0">
      <w:numFmt w:val="bullet"/>
      <w:lvlText w:val="-"/>
      <w:lvlJc w:val="left"/>
      <w:pPr>
        <w:tabs>
          <w:tab w:val="num" w:pos="720"/>
        </w:tabs>
        <w:ind w:left="720" w:hanging="360"/>
      </w:pPr>
      <w:rPr>
        <w:rFonts w:ascii="Courier New" w:eastAsia="Times New Roman" w:hAnsi="Courier New" w:cs="Courier New" w:hint="default"/>
      </w:rPr>
    </w:lvl>
    <w:lvl w:ilvl="1" w:tplc="080C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5"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7"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15:restartNumberingAfterBreak="0">
    <w:nsid w:val="4650272E"/>
    <w:multiLevelType w:val="hybridMultilevel"/>
    <w:tmpl w:val="CD2EDEDA"/>
    <w:lvl w:ilvl="0" w:tplc="0C07000F">
      <w:start w:val="1"/>
      <w:numFmt w:val="decimal"/>
      <w:lvlText w:val="%1."/>
      <w:lvlJc w:val="left"/>
      <w:pPr>
        <w:tabs>
          <w:tab w:val="num" w:pos="-360"/>
        </w:tabs>
        <w:ind w:left="-360" w:hanging="360"/>
      </w:pPr>
    </w:lvl>
    <w:lvl w:ilvl="1" w:tplc="50A2E9CE">
      <w:start w:val="5"/>
      <w:numFmt w:val="bullet"/>
      <w:lvlText w:val="-"/>
      <w:lvlJc w:val="left"/>
      <w:pPr>
        <w:tabs>
          <w:tab w:val="num" w:pos="360"/>
        </w:tabs>
        <w:ind w:left="360" w:hanging="360"/>
      </w:pPr>
      <w:rPr>
        <w:rFonts w:ascii="Arial" w:eastAsia="Times New Roman" w:hAnsi="Arial" w:cs="Arial" w:hint="default"/>
      </w:rPr>
    </w:lvl>
    <w:lvl w:ilvl="2" w:tplc="0C07001B">
      <w:start w:val="1"/>
      <w:numFmt w:val="lowerRoman"/>
      <w:lvlText w:val="%3."/>
      <w:lvlJc w:val="right"/>
      <w:pPr>
        <w:tabs>
          <w:tab w:val="num" w:pos="1080"/>
        </w:tabs>
        <w:ind w:left="1080" w:hanging="180"/>
      </w:pPr>
    </w:lvl>
    <w:lvl w:ilvl="3" w:tplc="0C07000F" w:tentative="1">
      <w:start w:val="1"/>
      <w:numFmt w:val="decimal"/>
      <w:lvlText w:val="%4."/>
      <w:lvlJc w:val="left"/>
      <w:pPr>
        <w:tabs>
          <w:tab w:val="num" w:pos="1800"/>
        </w:tabs>
        <w:ind w:left="1800" w:hanging="360"/>
      </w:pPr>
    </w:lvl>
    <w:lvl w:ilvl="4" w:tplc="0C070019" w:tentative="1">
      <w:start w:val="1"/>
      <w:numFmt w:val="lowerLetter"/>
      <w:lvlText w:val="%5."/>
      <w:lvlJc w:val="left"/>
      <w:pPr>
        <w:tabs>
          <w:tab w:val="num" w:pos="2520"/>
        </w:tabs>
        <w:ind w:left="2520" w:hanging="360"/>
      </w:pPr>
    </w:lvl>
    <w:lvl w:ilvl="5" w:tplc="0C07001B" w:tentative="1">
      <w:start w:val="1"/>
      <w:numFmt w:val="lowerRoman"/>
      <w:lvlText w:val="%6."/>
      <w:lvlJc w:val="right"/>
      <w:pPr>
        <w:tabs>
          <w:tab w:val="num" w:pos="3240"/>
        </w:tabs>
        <w:ind w:left="3240" w:hanging="180"/>
      </w:pPr>
    </w:lvl>
    <w:lvl w:ilvl="6" w:tplc="0C07000F" w:tentative="1">
      <w:start w:val="1"/>
      <w:numFmt w:val="decimal"/>
      <w:lvlText w:val="%7."/>
      <w:lvlJc w:val="left"/>
      <w:pPr>
        <w:tabs>
          <w:tab w:val="num" w:pos="3960"/>
        </w:tabs>
        <w:ind w:left="3960" w:hanging="360"/>
      </w:pPr>
    </w:lvl>
    <w:lvl w:ilvl="7" w:tplc="0C070019" w:tentative="1">
      <w:start w:val="1"/>
      <w:numFmt w:val="lowerLetter"/>
      <w:lvlText w:val="%8."/>
      <w:lvlJc w:val="left"/>
      <w:pPr>
        <w:tabs>
          <w:tab w:val="num" w:pos="4680"/>
        </w:tabs>
        <w:ind w:left="4680" w:hanging="360"/>
      </w:pPr>
    </w:lvl>
    <w:lvl w:ilvl="8" w:tplc="0C07001B" w:tentative="1">
      <w:start w:val="1"/>
      <w:numFmt w:val="lowerRoman"/>
      <w:lvlText w:val="%9."/>
      <w:lvlJc w:val="right"/>
      <w:pPr>
        <w:tabs>
          <w:tab w:val="num" w:pos="5400"/>
        </w:tabs>
        <w:ind w:left="5400" w:hanging="180"/>
      </w:pPr>
    </w:lvl>
  </w:abstractNum>
  <w:abstractNum w:abstractNumId="1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14" w15:restartNumberingAfterBreak="0">
    <w:nsid w:val="4FF06E3A"/>
    <w:multiLevelType w:val="multilevel"/>
    <w:tmpl w:val="913A05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15:restartNumberingAfterBreak="0">
    <w:nsid w:val="53B229D1"/>
    <w:multiLevelType w:val="hybridMultilevel"/>
    <w:tmpl w:val="0CDA5E84"/>
    <w:lvl w:ilvl="0" w:tplc="0409000F">
      <w:start w:val="1"/>
      <w:numFmt w:val="decimal"/>
      <w:lvlText w:val="%1."/>
      <w:lvlJc w:val="left"/>
      <w:pPr>
        <w:tabs>
          <w:tab w:val="num" w:pos="360"/>
        </w:tabs>
        <w:ind w:left="360" w:hanging="360"/>
      </w:pPr>
    </w:lvl>
    <w:lvl w:ilvl="1" w:tplc="080C0019" w:tentative="1">
      <w:start w:val="1"/>
      <w:numFmt w:val="lowerLetter"/>
      <w:lvlText w:val="%2."/>
      <w:lvlJc w:val="left"/>
      <w:pPr>
        <w:tabs>
          <w:tab w:val="num" w:pos="720"/>
        </w:tabs>
        <w:ind w:left="720" w:hanging="360"/>
      </w:pPr>
    </w:lvl>
    <w:lvl w:ilvl="2" w:tplc="080C001B" w:tentative="1">
      <w:start w:val="1"/>
      <w:numFmt w:val="lowerRoman"/>
      <w:lvlText w:val="%3."/>
      <w:lvlJc w:val="right"/>
      <w:pPr>
        <w:tabs>
          <w:tab w:val="num" w:pos="1440"/>
        </w:tabs>
        <w:ind w:left="1440" w:hanging="180"/>
      </w:pPr>
    </w:lvl>
    <w:lvl w:ilvl="3" w:tplc="080C000F" w:tentative="1">
      <w:start w:val="1"/>
      <w:numFmt w:val="decimal"/>
      <w:lvlText w:val="%4."/>
      <w:lvlJc w:val="left"/>
      <w:pPr>
        <w:tabs>
          <w:tab w:val="num" w:pos="2160"/>
        </w:tabs>
        <w:ind w:left="2160" w:hanging="360"/>
      </w:pPr>
    </w:lvl>
    <w:lvl w:ilvl="4" w:tplc="080C0019" w:tentative="1">
      <w:start w:val="1"/>
      <w:numFmt w:val="lowerLetter"/>
      <w:lvlText w:val="%5."/>
      <w:lvlJc w:val="left"/>
      <w:pPr>
        <w:tabs>
          <w:tab w:val="num" w:pos="2880"/>
        </w:tabs>
        <w:ind w:left="2880" w:hanging="360"/>
      </w:pPr>
    </w:lvl>
    <w:lvl w:ilvl="5" w:tplc="080C001B" w:tentative="1">
      <w:start w:val="1"/>
      <w:numFmt w:val="lowerRoman"/>
      <w:lvlText w:val="%6."/>
      <w:lvlJc w:val="right"/>
      <w:pPr>
        <w:tabs>
          <w:tab w:val="num" w:pos="3600"/>
        </w:tabs>
        <w:ind w:left="3600" w:hanging="180"/>
      </w:pPr>
    </w:lvl>
    <w:lvl w:ilvl="6" w:tplc="080C000F" w:tentative="1">
      <w:start w:val="1"/>
      <w:numFmt w:val="decimal"/>
      <w:lvlText w:val="%7."/>
      <w:lvlJc w:val="left"/>
      <w:pPr>
        <w:tabs>
          <w:tab w:val="num" w:pos="4320"/>
        </w:tabs>
        <w:ind w:left="4320" w:hanging="360"/>
      </w:pPr>
    </w:lvl>
    <w:lvl w:ilvl="7" w:tplc="080C0019" w:tentative="1">
      <w:start w:val="1"/>
      <w:numFmt w:val="lowerLetter"/>
      <w:lvlText w:val="%8."/>
      <w:lvlJc w:val="left"/>
      <w:pPr>
        <w:tabs>
          <w:tab w:val="num" w:pos="5040"/>
        </w:tabs>
        <w:ind w:left="5040" w:hanging="360"/>
      </w:pPr>
    </w:lvl>
    <w:lvl w:ilvl="8" w:tplc="080C001B" w:tentative="1">
      <w:start w:val="1"/>
      <w:numFmt w:val="lowerRoman"/>
      <w:lvlText w:val="%9."/>
      <w:lvlJc w:val="right"/>
      <w:pPr>
        <w:tabs>
          <w:tab w:val="num" w:pos="5760"/>
        </w:tabs>
        <w:ind w:left="5760" w:hanging="180"/>
      </w:pPr>
    </w:lvl>
  </w:abstractNum>
  <w:abstractNum w:abstractNumId="16"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7"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859544650">
    <w:abstractNumId w:val="7"/>
  </w:num>
  <w:num w:numId="2" w16cid:durableId="1746101640">
    <w:abstractNumId w:val="9"/>
  </w:num>
  <w:num w:numId="3" w16cid:durableId="1833638994">
    <w:abstractNumId w:val="17"/>
  </w:num>
  <w:num w:numId="4" w16cid:durableId="579674854">
    <w:abstractNumId w:val="4"/>
  </w:num>
  <w:num w:numId="5" w16cid:durableId="242227297">
    <w:abstractNumId w:val="11"/>
  </w:num>
  <w:num w:numId="6" w16cid:durableId="1959412942">
    <w:abstractNumId w:val="8"/>
  </w:num>
  <w:num w:numId="7" w16cid:durableId="1589731697">
    <w:abstractNumId w:val="10"/>
  </w:num>
  <w:num w:numId="8" w16cid:durableId="48959076">
    <w:abstractNumId w:val="16"/>
  </w:num>
  <w:num w:numId="9" w16cid:durableId="1152595629">
    <w:abstractNumId w:val="6"/>
  </w:num>
  <w:num w:numId="10" w16cid:durableId="1011639503">
    <w:abstractNumId w:val="1"/>
  </w:num>
  <w:num w:numId="11" w16cid:durableId="738678041">
    <w:abstractNumId w:val="5"/>
  </w:num>
  <w:num w:numId="12" w16cid:durableId="1972438162">
    <w:abstractNumId w:val="5"/>
  </w:num>
  <w:num w:numId="13" w16cid:durableId="223028524">
    <w:abstractNumId w:val="5"/>
  </w:num>
  <w:num w:numId="14" w16cid:durableId="1362364006">
    <w:abstractNumId w:val="5"/>
  </w:num>
  <w:num w:numId="15" w16cid:durableId="537935988">
    <w:abstractNumId w:val="12"/>
  </w:num>
  <w:num w:numId="16" w16cid:durableId="1483696797">
    <w:abstractNumId w:val="15"/>
  </w:num>
  <w:num w:numId="17" w16cid:durableId="1491023993">
    <w:abstractNumId w:val="13"/>
  </w:num>
  <w:num w:numId="18" w16cid:durableId="745146371">
    <w:abstractNumId w:val="3"/>
  </w:num>
  <w:num w:numId="19" w16cid:durableId="187647501">
    <w:abstractNumId w:val="2"/>
  </w:num>
  <w:num w:numId="20" w16cid:durableId="376130830">
    <w:abstractNumId w:val="0"/>
  </w:num>
  <w:num w:numId="21" w16cid:durableId="1341665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31"/>
    <w:rsid w:val="00007CA4"/>
    <w:rsid w:val="00027734"/>
    <w:rsid w:val="000667E2"/>
    <w:rsid w:val="00076288"/>
    <w:rsid w:val="000B114F"/>
    <w:rsid w:val="000E5255"/>
    <w:rsid w:val="00137087"/>
    <w:rsid w:val="00137C0E"/>
    <w:rsid w:val="00170187"/>
    <w:rsid w:val="00286E53"/>
    <w:rsid w:val="002A60E0"/>
    <w:rsid w:val="00306306"/>
    <w:rsid w:val="00333974"/>
    <w:rsid w:val="00357C0E"/>
    <w:rsid w:val="00390A17"/>
    <w:rsid w:val="003C0F8D"/>
    <w:rsid w:val="003F0C4B"/>
    <w:rsid w:val="00401E58"/>
    <w:rsid w:val="00476FF7"/>
    <w:rsid w:val="00494C2D"/>
    <w:rsid w:val="00512223"/>
    <w:rsid w:val="00551532"/>
    <w:rsid w:val="005761F3"/>
    <w:rsid w:val="0062535C"/>
    <w:rsid w:val="00640777"/>
    <w:rsid w:val="006653E8"/>
    <w:rsid w:val="006C2133"/>
    <w:rsid w:val="0074736D"/>
    <w:rsid w:val="00764481"/>
    <w:rsid w:val="00783A16"/>
    <w:rsid w:val="007A6CF5"/>
    <w:rsid w:val="007F2494"/>
    <w:rsid w:val="008D608E"/>
    <w:rsid w:val="00902454"/>
    <w:rsid w:val="00A93CCF"/>
    <w:rsid w:val="00AA03E3"/>
    <w:rsid w:val="00AC2502"/>
    <w:rsid w:val="00AE13EC"/>
    <w:rsid w:val="00B776E4"/>
    <w:rsid w:val="00BA26C0"/>
    <w:rsid w:val="00C14331"/>
    <w:rsid w:val="00C850FA"/>
    <w:rsid w:val="00CC0BED"/>
    <w:rsid w:val="00D356A3"/>
    <w:rsid w:val="00DC2182"/>
    <w:rsid w:val="00E116D1"/>
    <w:rsid w:val="00E12198"/>
    <w:rsid w:val="00E53838"/>
    <w:rsid w:val="00E83FED"/>
    <w:rsid w:val="00E97B62"/>
    <w:rsid w:val="00ED4DE4"/>
    <w:rsid w:val="00F24615"/>
    <w:rsid w:val="00F55FF6"/>
    <w:rsid w:val="00F93566"/>
    <w:rsid w:val="00FA6698"/>
    <w:rsid w:val="00FE5B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62EBAD3A-D70E-4218-872F-EBD2F879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C0"/>
    <w:pPr>
      <w:widowControl w:val="0"/>
      <w:spacing w:line="360" w:lineRule="auto"/>
    </w:pPr>
    <w:rPr>
      <w:sz w:val="24"/>
      <w:lang w:val="sv-SE" w:eastAsia="fr-BE"/>
    </w:rPr>
  </w:style>
  <w:style w:type="paragraph" w:styleId="Rubrik1">
    <w:name w:val="heading 1"/>
    <w:basedOn w:val="Normal"/>
    <w:next w:val="Normal"/>
    <w:qFormat/>
    <w:pPr>
      <w:keepNext/>
      <w:widowControl/>
      <w:numPr>
        <w:numId w:val="11"/>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2"/>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3"/>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4"/>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 w:type="paragraph" w:styleId="Ballongtext">
    <w:name w:val="Balloon Text"/>
    <w:basedOn w:val="Normal"/>
    <w:semiHidden/>
    <w:rsid w:val="00F55FF6"/>
    <w:rPr>
      <w:rFonts w:ascii="Tahoma" w:hAnsi="Tahoma" w:cs="Tahoma"/>
      <w:sz w:val="16"/>
      <w:szCs w:val="16"/>
    </w:rPr>
  </w:style>
  <w:style w:type="paragraph" w:styleId="Oformateradtext">
    <w:name w:val="Plain Text"/>
    <w:basedOn w:val="Normal"/>
    <w:rsid w:val="00F55FF6"/>
    <w:pPr>
      <w:widowControl/>
      <w:spacing w:line="240" w:lineRule="auto"/>
    </w:pPr>
    <w:rPr>
      <w:rFonts w:ascii="Arial" w:hAnsi="Arial" w:cs="Arial"/>
      <w:sz w:val="20"/>
      <w:lang w:val="de-AT" w:eastAsia="de-AT"/>
    </w:rPr>
  </w:style>
  <w:style w:type="character" w:styleId="Hyperlnk">
    <w:name w:val="Hyperlink"/>
    <w:basedOn w:val="Standardstycketeckensnitt"/>
    <w:rsid w:val="00E11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859</Words>
  <Characters>4659</Characters>
  <Application>Microsoft Office Word</Application>
  <DocSecurity>4</DocSecurity>
  <Lines>116</Lines>
  <Paragraphs>41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2006-05-19T10:06:00Z</cp:lastPrinted>
  <dcterms:created xsi:type="dcterms:W3CDTF">2025-12-16T23:12:00Z</dcterms:created>
  <dcterms:modified xsi:type="dcterms:W3CDTF">2025-12-16T23:12:00Z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