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A5A11" w:rsidRDefault="006E04A4">
      <w:pPr>
        <w:pStyle w:val="Dokumentbeteckning"/>
        <w:rPr>
          <w:u w:val="single"/>
        </w:rPr>
      </w:pPr>
      <w:r w:rsidRPr="004A5A11">
        <w:fldChar w:fldCharType="begin" w:fldLock="1"/>
      </w:r>
      <w:r w:rsidRPr="004A5A11">
        <w:instrText xml:space="preserve"> DOCPROPERTY "DocumentYear" </w:instrText>
      </w:r>
      <w:r w:rsidRPr="004A5A11">
        <w:fldChar w:fldCharType="separate"/>
      </w:r>
      <w:r w:rsidR="000C2537" w:rsidRPr="004A5A11">
        <w:t>2011/12</w:t>
      </w:r>
      <w:r w:rsidRPr="004A5A11">
        <w:fldChar w:fldCharType="end"/>
      </w:r>
      <w:r w:rsidRPr="004A5A11">
        <w:t>:</w:t>
      </w:r>
      <w:r w:rsidRPr="004A5A11">
        <w:fldChar w:fldCharType="begin" w:fldLock="1"/>
      </w:r>
      <w:r w:rsidRPr="004A5A11">
        <w:instrText xml:space="preserve"> DOCPROPERTY "DocumentNumber" </w:instrText>
      </w:r>
      <w:r w:rsidRPr="004A5A11">
        <w:fldChar w:fldCharType="separate"/>
      </w:r>
      <w:r w:rsidR="000C2537" w:rsidRPr="004A5A11">
        <w:t>56</w:t>
      </w:r>
      <w:r w:rsidRPr="004A5A11">
        <w:fldChar w:fldCharType="end"/>
      </w:r>
    </w:p>
    <w:p w:rsidR="006E04A4" w:rsidRPr="004A5A11" w:rsidRDefault="006E04A4">
      <w:pPr>
        <w:pStyle w:val="Datum"/>
        <w:outlineLvl w:val="0"/>
      </w:pPr>
      <w:r w:rsidRPr="004A5A11">
        <w:fldChar w:fldCharType="begin" w:fldLock="1"/>
      </w:r>
      <w:r w:rsidRPr="004A5A11">
        <w:instrText xml:space="preserve"> DOCPROPERTY "DocumentDate" </w:instrText>
      </w:r>
      <w:r w:rsidRPr="004A5A11">
        <w:fldChar w:fldCharType="separate"/>
      </w:r>
      <w:r w:rsidR="000C2537" w:rsidRPr="004A5A11">
        <w:t>Tisdagen den 17 januari 2012</w:t>
      </w:r>
      <w:r w:rsidRPr="004A5A1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A5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A5A11" w:rsidRDefault="00EF7BFA">
            <w:pPr>
              <w:pStyle w:val="Plenum"/>
              <w:tabs>
                <w:tab w:val="clear" w:pos="1418"/>
              </w:tabs>
            </w:pPr>
            <w:r w:rsidRPr="004A5A11">
              <w:t>Kl.</w:t>
            </w:r>
          </w:p>
        </w:tc>
        <w:tc>
          <w:tcPr>
            <w:tcW w:w="851" w:type="dxa"/>
          </w:tcPr>
          <w:p w:rsidR="006E04A4" w:rsidRPr="004A5A11" w:rsidRDefault="00EF7B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5A11">
              <w:t>13.00</w:t>
            </w:r>
          </w:p>
        </w:tc>
        <w:tc>
          <w:tcPr>
            <w:tcW w:w="397" w:type="dxa"/>
          </w:tcPr>
          <w:p w:rsidR="006E04A4" w:rsidRPr="004A5A1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A5A11" w:rsidRDefault="00EF7BF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A5A11">
              <w:t>Minnesåret Raoul Wallenberg</w:t>
            </w:r>
            <w:r w:rsidRPr="004A5A11">
              <w:rPr>
                <w:sz w:val="24"/>
              </w:rPr>
              <w:t xml:space="preserve"> </w:t>
            </w:r>
          </w:p>
        </w:tc>
      </w:tr>
      <w:tr w:rsidR="00EF7BFA" w:rsidRPr="004A5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F7BFA" w:rsidRPr="004A5A11" w:rsidRDefault="00EF7BF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F7BFA" w:rsidRPr="004A5A11" w:rsidRDefault="00EF7BF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F7BFA" w:rsidRPr="004A5A11" w:rsidRDefault="00EF7BF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F7BFA" w:rsidRPr="004A5A11" w:rsidRDefault="00EF7BFA">
            <w:pPr>
              <w:pStyle w:val="Plenum"/>
              <w:tabs>
                <w:tab w:val="clear" w:pos="1418"/>
              </w:tabs>
              <w:ind w:right="1"/>
            </w:pPr>
            <w:r w:rsidRPr="004A5A11">
              <w:t>Interpellationssvar</w:t>
            </w:r>
            <w:r w:rsidR="003E3E3C" w:rsidRPr="004A5A11">
              <w:t xml:space="preserve"> </w:t>
            </w:r>
            <w:r w:rsidR="003E3E3C" w:rsidRPr="004A5A11">
              <w:rPr>
                <w:sz w:val="24"/>
              </w:rPr>
              <w:t>(uppehåll för gruppmöten ca kl. 16.00-18.00)</w:t>
            </w:r>
          </w:p>
        </w:tc>
      </w:tr>
    </w:tbl>
    <w:p w:rsidR="006E04A4" w:rsidRPr="004A5A11" w:rsidRDefault="006E04A4">
      <w:pPr>
        <w:pStyle w:val="StreckLngt"/>
      </w:pPr>
      <w:r w:rsidRPr="004A5A11">
        <w:tab/>
      </w:r>
    </w:p>
    <w:p w:rsidR="003E3E3C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3E3C" w:rsidRPr="004A5A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3E3C" w:rsidRPr="004A5A11" w:rsidRDefault="003E3E3C" w:rsidP="003E3E3C">
            <w:pPr>
              <w:pStyle w:val="FlistaNrRubrik"/>
            </w:pPr>
          </w:p>
        </w:tc>
        <w:tc>
          <w:tcPr>
            <w:tcW w:w="6237" w:type="dxa"/>
          </w:tcPr>
          <w:p w:rsidR="003E3E3C" w:rsidRPr="004A5A11" w:rsidRDefault="003E3E3C">
            <w:pPr>
              <w:pStyle w:val="HuvudrubrikEnsam"/>
            </w:pPr>
            <w:bookmarkStart w:id="1" w:name="TypRubrik"/>
            <w:bookmarkEnd w:id="1"/>
            <w:r w:rsidRPr="004A5A11">
              <w:t>Ceremoni</w:t>
            </w:r>
          </w:p>
        </w:tc>
        <w:tc>
          <w:tcPr>
            <w:tcW w:w="2481" w:type="dxa"/>
          </w:tcPr>
          <w:p w:rsidR="003E3E3C" w:rsidRPr="004A5A11" w:rsidRDefault="003E3E3C" w:rsidP="002F05E8">
            <w:pPr>
              <w:pStyle w:val="HuvudrubrikKolumn3"/>
            </w:pPr>
          </w:p>
        </w:tc>
      </w:tr>
    </w:tbl>
    <w:p w:rsidR="003E3E3C" w:rsidRPr="004A5A11" w:rsidRDefault="003E3E3C">
      <w:pPr>
        <w:pStyle w:val="Blankrad"/>
      </w:pPr>
      <w:bookmarkStart w:id="2" w:name="StartText"/>
      <w:bookmarkEnd w:id="2"/>
      <w:r w:rsidRPr="004A5A11">
        <w:t>     </w:t>
      </w:r>
    </w:p>
    <w:p w:rsidR="003E3E3C" w:rsidRPr="004A5A11" w:rsidRDefault="003E3E3C">
      <w:pPr>
        <w:pStyle w:val="Blankrad"/>
      </w:pPr>
      <w:r w:rsidRPr="004A5A11">
        <w:t>     </w:t>
      </w:r>
    </w:p>
    <w:p w:rsidR="003E3E3C" w:rsidRPr="004A5A11" w:rsidRDefault="003E3E3C">
      <w:pPr>
        <w:pStyle w:val="Blankrad"/>
      </w:pPr>
      <w:bookmarkStart w:id="3" w:name="Start"/>
      <w:bookmarkEnd w:id="3"/>
      <w:r w:rsidRPr="004A5A1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704" w:rsidRPr="004A5A11" w:rsidTr="002F05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704" w:rsidRPr="004A5A11" w:rsidRDefault="00EB3704" w:rsidP="002F05E8">
            <w:pPr>
              <w:pStyle w:val="HuvudrubrikFlisteNr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HuvudrubrikEnsam"/>
            </w:pPr>
            <w:r w:rsidRPr="004A5A11">
              <w:t>Meddelande om frågestund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HuvudrubrikKolumn3"/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Underrubrik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Underrubrik"/>
            </w:pPr>
            <w:r w:rsidRPr="004A5A11">
              <w:t>Torsdagen den 19 januari kl. 14.00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Underrubrik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Frågor besvaras av:</w:t>
            </w:r>
          </w:p>
          <w:p w:rsidR="00EB3704" w:rsidRPr="004A5A11" w:rsidRDefault="00EB3704" w:rsidP="002F05E8">
            <w:r w:rsidRPr="004A5A11">
              <w:t>Statsrådet Peter Norman (M)</w:t>
            </w:r>
          </w:p>
          <w:p w:rsidR="00EB3704" w:rsidRPr="004A5A11" w:rsidRDefault="00EB3704" w:rsidP="002F05E8">
            <w:r w:rsidRPr="004A5A11">
              <w:t>Landsbygdsminister Eskil Erlandsson (C)</w:t>
            </w:r>
          </w:p>
          <w:p w:rsidR="00EB3704" w:rsidRPr="004A5A11" w:rsidRDefault="00EB3704" w:rsidP="002F05E8">
            <w:r w:rsidRPr="004A5A11">
              <w:t>Socialminister Göran Hägglund (KD)</w:t>
            </w:r>
          </w:p>
          <w:p w:rsidR="00EB3704" w:rsidRPr="004A5A11" w:rsidRDefault="00EB3704" w:rsidP="002F05E8">
            <w:r w:rsidRPr="004A5A11">
              <w:t>Statsrådet Tobias Billström (M)</w:t>
            </w:r>
          </w:p>
          <w:p w:rsidR="00EB3704" w:rsidRPr="004A5A11" w:rsidRDefault="00EB3704" w:rsidP="002F05E8">
            <w:r w:rsidRPr="004A5A11">
              <w:t>Statsrådet Ewa Björling (M)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</w:tbl>
    <w:p w:rsidR="00EB3704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704" w:rsidRPr="004A5A11" w:rsidTr="002F05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704" w:rsidRPr="004A5A11" w:rsidRDefault="00EB3704" w:rsidP="002F05E8">
            <w:pPr>
              <w:pStyle w:val="HuvudrubrikFlisteNr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HuvudrubrikEnsam"/>
            </w:pPr>
            <w:bookmarkStart w:id="4" w:name="Start_FördröjdaInterpellationer"/>
            <w:bookmarkEnd w:id="4"/>
            <w:r w:rsidRPr="004A5A11">
              <w:t>Anmälan om fördröjda svar på interpellationer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HuvudrubrikKolumn3"/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2011/12:181 av Monica Green (S)</w:t>
            </w:r>
          </w:p>
          <w:p w:rsidR="00EB3704" w:rsidRPr="004A5A11" w:rsidRDefault="00EB3704" w:rsidP="002F05E8">
            <w:r w:rsidRPr="004A5A11">
              <w:t>Ökade klyftor i samhället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2011/12:182 av Peter Persson (S)</w:t>
            </w:r>
          </w:p>
          <w:p w:rsidR="00EB3704" w:rsidRPr="004A5A11" w:rsidRDefault="00EB3704" w:rsidP="002F05E8">
            <w:r w:rsidRPr="004A5A11">
              <w:t>Utrikes födda och jobben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2011/12:183 av Peter Persson (S)</w:t>
            </w:r>
          </w:p>
          <w:p w:rsidR="00EB3704" w:rsidRPr="004A5A11" w:rsidRDefault="00EB3704" w:rsidP="002F05E8">
            <w:r w:rsidRPr="004A5A11">
              <w:t>Den ekonomiska ojämlikheten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2011/12:184 av Peter Persson (S)</w:t>
            </w:r>
          </w:p>
          <w:p w:rsidR="00EB3704" w:rsidRPr="004A5A11" w:rsidRDefault="00EB3704" w:rsidP="002F05E8">
            <w:r w:rsidRPr="004A5A11">
              <w:t>Förtidspensionerade och arbetslösa som del av det nya utanförskapet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</w:tbl>
    <w:p w:rsidR="00EB3704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704" w:rsidRPr="004A5A11" w:rsidTr="002F05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704" w:rsidRPr="004A5A11" w:rsidRDefault="00EB3704" w:rsidP="002F05E8">
            <w:pPr>
              <w:pStyle w:val="HuvudrubrikFlisteNr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Huvudrubrik"/>
            </w:pPr>
            <w:bookmarkStart w:id="5" w:name="Start_HänvisningTillUtskott"/>
            <w:bookmarkEnd w:id="5"/>
            <w:r w:rsidRPr="004A5A11">
              <w:t>Ärenden för hänvisning till utskott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HuvudrubrikKolumn3"/>
            </w:pPr>
            <w:r w:rsidRPr="004A5A11">
              <w:t>Förslag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renderubrik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renderubrik"/>
            </w:pPr>
            <w:r w:rsidRPr="004A5A11">
              <w:t>Propositioner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renderubrik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2011/12:53 Barns möjlighet att få vård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>CU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2011/12:58 Eftersök av vilt vid sammanstötning med spårbundna fordon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>MJU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renderubrik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renderubrik"/>
            </w:pPr>
            <w:r w:rsidRPr="004A5A11">
              <w:t>Skrivelser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renderubrik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2011/12:48 Integritetsskydd vid signalspaning i försvarsunderrättelseverksamhet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>FöU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2011/12:52 Riksrevisionens rapport om statliga myndigheters tjänsteexport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>FiU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2011/12:57 Riksrevisionens rapport om statens styrning mot en likvärdig betygssättning i grundskolan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>UbU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renderubrik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renderubrik"/>
            </w:pPr>
            <w:r w:rsidRPr="004A5A11">
              <w:t>EU-dokument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renderubrik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750 Förslag till Europaparlamentets och rådets förordning om inrättande, som en del av fonden för inre säkerhet, av ett instrument för ekonomiskt</w:t>
            </w:r>
            <w:r w:rsidR="00301C5B" w:rsidRPr="004A5A11">
              <w:t xml:space="preserve"> </w:t>
            </w:r>
            <w:r w:rsidRPr="004A5A11">
              <w:t>stöd för yttre gränser och viseringar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6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JuU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751 Förslag till Europaparlamentets och rådets förordning om inrättande av asyl- och migrationsfonden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6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SfU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752 Förslag till Europaparlamentets och rådets förordning om allmänna bestämmelser för asyl- och migrationsfonden och om ett instrument för</w:t>
            </w:r>
            <w:r w:rsidR="00301C5B" w:rsidRPr="004A5A11">
              <w:t xml:space="preserve"> </w:t>
            </w:r>
            <w:r w:rsidRPr="004A5A11">
              <w:t>ekonomiskt stöd till polissamarbete, förebyggande och bekämpande av brottslighet samt krishantering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6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JuU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753 Förslag till Europaparlamentets och rådets förordning om inrättande, som en del av fonden för inre säkerhet, av ett instrument för ekonomiskt</w:t>
            </w:r>
            <w:r w:rsidR="00301C5B" w:rsidRPr="004A5A11">
              <w:t xml:space="preserve"> </w:t>
            </w:r>
            <w:r w:rsidRPr="004A5A11">
              <w:t>stöd till polissamarbete, förebyggande och bekämpande av brottslighet samt krishantering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6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JuU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838 Förslag till Europaparlamentets och rådets förordning om inrättande av ett instrument för stöd inför anslutningen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 xml:space="preserve">KOM(2011) 839 Förslag till Europaparlamentets och rådets förordning om inrättande av ett europeiskt </w:t>
            </w:r>
            <w:r w:rsidR="00301C5B" w:rsidRPr="004A5A11">
              <w:t>g</w:t>
            </w:r>
            <w:r w:rsidRPr="004A5A11">
              <w:t>rannskapsinstrument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840 Förslag till Europaparlamentets och rådets förordning om inrättande av ett finansieringsinstrument för utvecklingsarbete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842 Förslag till Europaparlamentets och rådets förordning om fastställande av gemensamma bestämmelser och förfaranden för genomförandet av</w:t>
            </w:r>
            <w:r w:rsidR="00301C5B" w:rsidRPr="004A5A11">
              <w:t xml:space="preserve"> </w:t>
            </w:r>
            <w:r w:rsidRPr="004A5A11">
              <w:t>Europeiska unionens instrument för yttre åtgärder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843 Förslag till Europaparlamentets och rådets förordning om inrättande av ett partnerskapsinstrument för samarbete med tredjeländer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844 Förslag till Europaparlamentets och rådets förordning om inrättande av ett finansieringsinstrument för främjande av demokrati och mänskliga</w:t>
            </w:r>
            <w:r w:rsidR="00301C5B" w:rsidRPr="004A5A11">
              <w:t xml:space="preserve"> </w:t>
            </w:r>
            <w:r w:rsidRPr="004A5A11">
              <w:t>rättigheter i hela världen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845 Förslag till Europaparlamentets och rådets förordning om inrättande av ett stabilitetsinstrument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860 Förslag till Europaparlamentets och rådets förordning om europeiska riskkapitalfonder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7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862 Förslag till Europaparlamentets och rådets förordning om europeiska fonder för socialt företagande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7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866 Förslag till Europaparlamentets och rådets beslut om allvarliga gränsöverskridande hot mot människors hälsa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7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SoU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880 Förslag till rådets beslut om inrättande av ett flerårigt ramprogram</w:t>
            </w:r>
            <w:r w:rsidR="00301C5B" w:rsidRPr="004A5A11">
              <w:t xml:space="preserve"> </w:t>
            </w:r>
            <w:r w:rsidRPr="004A5A11">
              <w:t>för Europeiska unionens byrå för grundläggande rättigheter 2013–2017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 mars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KU 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KOM(2011) 881 Förslag till rådets direktiv om konsulärt skydd för EU-medborgare utomlands</w:t>
            </w:r>
          </w:p>
          <w:p w:rsidR="00EB3704" w:rsidRPr="004A5A11" w:rsidRDefault="00EB3704" w:rsidP="002F05E8">
            <w:r w:rsidRPr="004A5A11">
              <w:rPr>
                <w:i/>
              </w:rPr>
              <w:t>Åttaveckorsfristen för att avge ett motiverat yttrande går ut den 15 februari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883 Förslag till Europaparlamentets och rådets direktiv om ändring av direktiv 2005/36/EG om erkännande av yrkeskvalifikationer och förordning [...] om administrativt samarbete genom informationssystemet för den inre marknaden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8 mars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UbU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884 Förslag till rådets förordning om inrättande av programmet ”Ett Europa för medborgarna” för perioden 2014–2020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15 februari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KU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895 Förslag till Europaparlamentets och rådets direktiv om upphandling av enheter som är verksamma på områdena vatten, energi, transporter och posttjänster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8 mars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896 Förslag till Europaparlamentets och rådets direktiv om offentlig upphandling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8 mars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897 Förslag till Europaparlamentets och rådets direktiv om tilldelning av koncessioner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7 mars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903 Förslag till Europaparlamentets och rådets förordning om europeisk befolkningsstatistik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15 februari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FiU </w:t>
            </w:r>
          </w:p>
        </w:tc>
      </w:tr>
      <w:tr w:rsidR="00301C5B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C5B" w:rsidRPr="004A5A11" w:rsidRDefault="00301C5B" w:rsidP="002F05E8">
            <w:pPr>
              <w:pStyle w:val="FlistaNrText"/>
            </w:pPr>
          </w:p>
        </w:tc>
        <w:tc>
          <w:tcPr>
            <w:tcW w:w="6237" w:type="dxa"/>
          </w:tcPr>
          <w:p w:rsidR="00301C5B" w:rsidRPr="004A5A11" w:rsidRDefault="00301C5B" w:rsidP="002F05E8">
            <w:r w:rsidRPr="004A5A11">
              <w:t>KOM(2011) 925 Förslag till Europaparlamentets och rådets beslut om makroekonomiskt stöd till Kirgizistan</w:t>
            </w:r>
          </w:p>
          <w:p w:rsidR="00301C5B" w:rsidRPr="004A5A11" w:rsidRDefault="00301C5B" w:rsidP="002F05E8">
            <w:r w:rsidRPr="004A5A11">
              <w:rPr>
                <w:i/>
              </w:rPr>
              <w:t>Åttaveckorsfristen för att avge ett motiverat yttrande går ut den 15 februari</w:t>
            </w:r>
          </w:p>
        </w:tc>
        <w:tc>
          <w:tcPr>
            <w:tcW w:w="2481" w:type="dxa"/>
          </w:tcPr>
          <w:p w:rsidR="00301C5B" w:rsidRPr="004A5A11" w:rsidRDefault="00301C5B" w:rsidP="002F05E8">
            <w:pPr>
              <w:rPr>
                <w:spacing w:val="-4"/>
              </w:rPr>
            </w:pPr>
            <w:r w:rsidRPr="004A5A11">
              <w:rPr>
                <w:spacing w:val="-4"/>
              </w:rPr>
              <w:t xml:space="preserve">UU </w:t>
            </w:r>
          </w:p>
        </w:tc>
      </w:tr>
    </w:tbl>
    <w:p w:rsidR="00EB3704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704" w:rsidRPr="004A5A11" w:rsidTr="002F05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704" w:rsidRPr="004A5A11" w:rsidRDefault="00EB3704" w:rsidP="002F05E8">
            <w:pPr>
              <w:pStyle w:val="HuvudrubrikFlisteNr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Huvudrubrik"/>
            </w:pPr>
            <w:bookmarkStart w:id="6" w:name="Start_ÄrendenFörBordläggning"/>
            <w:bookmarkEnd w:id="6"/>
            <w:r w:rsidRPr="004A5A11">
              <w:t>Ärenden för bordläggning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HuvudrubrikKolumn3"/>
            </w:pPr>
            <w:r w:rsidRPr="004A5A11">
              <w:t>Reservationer</w:t>
            </w: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renderubrik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renderubrik"/>
            </w:pPr>
            <w:r w:rsidRPr="004A5A11">
              <w:t>Konstitutionsutskottets betänkanden</w:t>
            </w:r>
            <w:r w:rsidR="00301C5B" w:rsidRPr="004A5A11">
              <w:t xml:space="preserve"> och utlåtande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renderubrik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2011/12:KU4 Uppföljning av riksdagens tillämpning av subsidiaritetsprincipen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2011/12:KU5 Förbindelserna mellan Europeiska kommissionen och de nationella parlamenten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2011/12:KU10 Granskning av statsrådens tjänsteutövning och regeringsärendenas handläggning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</w:tbl>
    <w:p w:rsidR="00EB3704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704" w:rsidRPr="004A5A11" w:rsidTr="002F05E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704" w:rsidRPr="004A5A11" w:rsidRDefault="00EB3704" w:rsidP="002F05E8">
            <w:pPr>
              <w:pStyle w:val="HuvudrubrikFlisteNr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Huvudrubrik"/>
            </w:pPr>
            <w:bookmarkStart w:id="7" w:name="Start_Interpellationer"/>
            <w:bookmarkEnd w:id="7"/>
            <w:r w:rsidRPr="004A5A11">
              <w:t>Svar på interpellation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HuvudrubrikKolumn3"/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Besvaradav"/>
            </w:pPr>
          </w:p>
        </w:tc>
        <w:tc>
          <w:tcPr>
            <w:tcW w:w="6237" w:type="dxa"/>
          </w:tcPr>
          <w:p w:rsidR="00EB3704" w:rsidRPr="004A5A11" w:rsidRDefault="00EB3704" w:rsidP="002F05E8">
            <w:pPr>
              <w:pStyle w:val="Besvaradav"/>
            </w:pPr>
            <w:r w:rsidRPr="004A5A11">
              <w:t>Arbetsmarknadsminister Hillevi Engström (M)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pStyle w:val="Besvaradav"/>
              <w:rPr>
                <w:spacing w:val="-4"/>
              </w:rPr>
            </w:pPr>
          </w:p>
        </w:tc>
      </w:tr>
      <w:tr w:rsidR="00EB3704" w:rsidRPr="004A5A11" w:rsidTr="002F05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704" w:rsidRPr="004A5A11" w:rsidRDefault="00EB3704" w:rsidP="002F05E8">
            <w:pPr>
              <w:pStyle w:val="FlistaNrText"/>
            </w:pPr>
          </w:p>
        </w:tc>
        <w:tc>
          <w:tcPr>
            <w:tcW w:w="6237" w:type="dxa"/>
          </w:tcPr>
          <w:p w:rsidR="00EB3704" w:rsidRPr="004A5A11" w:rsidRDefault="00EB3704" w:rsidP="002F05E8">
            <w:r w:rsidRPr="004A5A11">
              <w:t>2011/12:125 av Patrik Björck (S)</w:t>
            </w:r>
          </w:p>
          <w:p w:rsidR="00EB3704" w:rsidRPr="004A5A11" w:rsidRDefault="00EB3704" w:rsidP="002F05E8">
            <w:r w:rsidRPr="004A5A11">
              <w:t>Lagen om anställningsskydd</w:t>
            </w:r>
          </w:p>
        </w:tc>
        <w:tc>
          <w:tcPr>
            <w:tcW w:w="2481" w:type="dxa"/>
          </w:tcPr>
          <w:p w:rsidR="00EB3704" w:rsidRPr="004A5A11" w:rsidRDefault="00EB3704" w:rsidP="002F05E8">
            <w:pPr>
              <w:rPr>
                <w:spacing w:val="-4"/>
              </w:rPr>
            </w:pPr>
          </w:p>
        </w:tc>
      </w:tr>
    </w:tbl>
    <w:p w:rsidR="00EB3704" w:rsidRPr="004A5A11" w:rsidRDefault="00EB3704" w:rsidP="00F221DA">
      <w:pPr>
        <w:pStyle w:val="Blankrad"/>
      </w:pPr>
      <w:r w:rsidRPr="004A5A11">
        <w:t>     </w:t>
      </w:r>
    </w:p>
    <w:p w:rsidR="00517888" w:rsidRPr="004A5A11" w:rsidRDefault="00EB3704" w:rsidP="00F221DA">
      <w:pPr>
        <w:pStyle w:val="Blankrad"/>
      </w:pPr>
      <w:r w:rsidRPr="004A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A5A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A5A1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A5A11" w:rsidRDefault="006E04A4" w:rsidP="00D016E9">
            <w:pPr>
              <w:pStyle w:val="StreckMitten"/>
            </w:pPr>
            <w:r w:rsidRPr="004A5A11">
              <w:tab/>
            </w:r>
            <w:r w:rsidRPr="004A5A11">
              <w:tab/>
            </w:r>
          </w:p>
        </w:tc>
      </w:tr>
    </w:tbl>
    <w:p w:rsidR="006E04A4" w:rsidRPr="004A5A11" w:rsidRDefault="006E04A4" w:rsidP="003675A0">
      <w:pPr>
        <w:pStyle w:val="Blankrad"/>
      </w:pPr>
    </w:p>
    <w:sectPr w:rsidR="006E04A4" w:rsidRPr="004A5A1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921" w:rsidRPr="004A5A11" w:rsidRDefault="007F6921">
      <w:r w:rsidRPr="004A5A11">
        <w:separator/>
      </w:r>
    </w:p>
  </w:endnote>
  <w:endnote w:type="continuationSeparator" w:id="0">
    <w:p w:rsidR="007F6921" w:rsidRPr="004A5A11" w:rsidRDefault="007F6921">
      <w:r w:rsidRPr="004A5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537" w:rsidRPr="004A5A11" w:rsidRDefault="000C2537">
    <w:pPr>
      <w:pStyle w:val="Sidhuvud"/>
      <w:jc w:val="center"/>
    </w:pPr>
    <w:r w:rsidRPr="004A5A11">
      <w:fldChar w:fldCharType="begin" w:fldLock="1"/>
    </w:r>
    <w:r w:rsidRPr="004A5A11">
      <w:instrText xml:space="preserve"> PAGE </w:instrText>
    </w:r>
    <w:r w:rsidRPr="004A5A11">
      <w:fldChar w:fldCharType="separate"/>
    </w:r>
    <w:r w:rsidR="002F05E8" w:rsidRPr="004A5A11">
      <w:t>2</w:t>
    </w:r>
    <w:r w:rsidRPr="004A5A11">
      <w:fldChar w:fldCharType="end"/>
    </w:r>
    <w:r w:rsidRPr="004A5A11">
      <w:t xml:space="preserve"> (</w:t>
    </w:r>
    <w:r w:rsidRPr="004A5A11">
      <w:fldChar w:fldCharType="begin" w:fldLock="1"/>
    </w:r>
    <w:r w:rsidRPr="004A5A11">
      <w:instrText xml:space="preserve"> NUMPAGES </w:instrText>
    </w:r>
    <w:r w:rsidRPr="004A5A11">
      <w:fldChar w:fldCharType="separate"/>
    </w:r>
    <w:r w:rsidR="002F05E8" w:rsidRPr="004A5A11">
      <w:t>5</w:t>
    </w:r>
    <w:r w:rsidRPr="004A5A11">
      <w:fldChar w:fldCharType="end"/>
    </w:r>
    <w:r w:rsidRPr="004A5A11">
      <w:t>)</w:t>
    </w:r>
  </w:p>
  <w:p w:rsidR="000C2537" w:rsidRPr="004A5A11" w:rsidRDefault="000C25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537" w:rsidRPr="004A5A11" w:rsidRDefault="000C2537">
    <w:pPr>
      <w:pStyle w:val="Sidhuvud"/>
      <w:jc w:val="center"/>
    </w:pPr>
    <w:r w:rsidRPr="004A5A11">
      <w:fldChar w:fldCharType="begin" w:fldLock="1"/>
    </w:r>
    <w:r w:rsidRPr="004A5A11">
      <w:instrText xml:space="preserve"> PAGE </w:instrText>
    </w:r>
    <w:r w:rsidRPr="004A5A11">
      <w:fldChar w:fldCharType="separate"/>
    </w:r>
    <w:r w:rsidR="002F05E8" w:rsidRPr="004A5A11">
      <w:t>1</w:t>
    </w:r>
    <w:r w:rsidRPr="004A5A11">
      <w:fldChar w:fldCharType="end"/>
    </w:r>
    <w:r w:rsidRPr="004A5A11">
      <w:t xml:space="preserve"> (</w:t>
    </w:r>
    <w:r w:rsidRPr="004A5A11">
      <w:fldChar w:fldCharType="begin" w:fldLock="1"/>
    </w:r>
    <w:r w:rsidRPr="004A5A11">
      <w:instrText xml:space="preserve"> NUMPAGES </w:instrText>
    </w:r>
    <w:r w:rsidRPr="004A5A11">
      <w:fldChar w:fldCharType="separate"/>
    </w:r>
    <w:r w:rsidR="002F05E8" w:rsidRPr="004A5A11">
      <w:t>5</w:t>
    </w:r>
    <w:r w:rsidRPr="004A5A11">
      <w:fldChar w:fldCharType="end"/>
    </w:r>
    <w:r w:rsidRPr="004A5A11">
      <w:t>)</w:t>
    </w:r>
  </w:p>
  <w:p w:rsidR="000C2537" w:rsidRPr="004A5A11" w:rsidRDefault="000C2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921" w:rsidRPr="004A5A11" w:rsidRDefault="007F6921">
      <w:r w:rsidRPr="004A5A11">
        <w:separator/>
      </w:r>
    </w:p>
  </w:footnote>
  <w:footnote w:type="continuationSeparator" w:id="0">
    <w:p w:rsidR="007F6921" w:rsidRPr="004A5A11" w:rsidRDefault="007F6921">
      <w:r w:rsidRPr="004A5A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537" w:rsidRPr="004A5A11" w:rsidRDefault="000C2537">
    <w:pPr>
      <w:pStyle w:val="Sidhuvud"/>
      <w:tabs>
        <w:tab w:val="clear" w:pos="4536"/>
      </w:tabs>
    </w:pPr>
    <w:r w:rsidRPr="004A5A11">
      <w:fldChar w:fldCharType="begin" w:fldLock="1"/>
    </w:r>
    <w:r w:rsidRPr="004A5A11">
      <w:instrText xml:space="preserve"> DOCPROPERTY "DocumentDate" </w:instrText>
    </w:r>
    <w:r w:rsidRPr="004A5A11">
      <w:fldChar w:fldCharType="separate"/>
    </w:r>
    <w:r w:rsidRPr="004A5A11">
      <w:t>Tisdagen den 17 januari 2012</w:t>
    </w:r>
    <w:r w:rsidRPr="004A5A11">
      <w:fldChar w:fldCharType="end"/>
    </w:r>
    <w:r w:rsidRPr="004A5A11">
      <w:tab/>
    </w:r>
  </w:p>
  <w:p w:rsidR="000C2537" w:rsidRPr="004A5A11" w:rsidRDefault="000C25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5A11">
      <w:rPr>
        <w:sz w:val="12"/>
      </w:rPr>
      <w:tab/>
    </w:r>
  </w:p>
  <w:p w:rsidR="000C2537" w:rsidRPr="004A5A11" w:rsidRDefault="000C2537"/>
  <w:p w:rsidR="000C2537" w:rsidRPr="004A5A11" w:rsidRDefault="000C2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537" w:rsidRPr="004A5A11" w:rsidRDefault="004A5A1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A5A1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537" w:rsidRPr="004A5A11" w:rsidRDefault="000C2537">
    <w:pPr>
      <w:pStyle w:val="Dokumentrubrik"/>
      <w:spacing w:after="360"/>
    </w:pPr>
    <w:r w:rsidRPr="004A5A11">
      <w:t>Föredragningslista</w:t>
    </w:r>
  </w:p>
  <w:p w:rsidR="000C2537" w:rsidRPr="004A5A11" w:rsidRDefault="000C2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5053395">
    <w:abstractNumId w:val="5"/>
  </w:num>
  <w:num w:numId="2" w16cid:durableId="730545238">
    <w:abstractNumId w:val="2"/>
  </w:num>
  <w:num w:numId="3" w16cid:durableId="1775978472">
    <w:abstractNumId w:val="4"/>
  </w:num>
  <w:num w:numId="4" w16cid:durableId="1114178512">
    <w:abstractNumId w:val="1"/>
  </w:num>
  <w:num w:numId="5" w16cid:durableId="1924753432">
    <w:abstractNumId w:val="0"/>
  </w:num>
  <w:num w:numId="6" w16cid:durableId="863329614">
    <w:abstractNumId w:val="3"/>
  </w:num>
  <w:num w:numId="7" w16cid:durableId="1011490063">
    <w:abstractNumId w:val="3"/>
  </w:num>
  <w:num w:numId="8" w16cid:durableId="193982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69B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2537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2C3F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5E8"/>
    <w:rsid w:val="002F0948"/>
    <w:rsid w:val="002F0C89"/>
    <w:rsid w:val="002F19EC"/>
    <w:rsid w:val="002F2D1A"/>
    <w:rsid w:val="002F7486"/>
    <w:rsid w:val="00301C5B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3E3C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A5A11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921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7F5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1C0A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50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9BE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3704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EF7BFA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8961-02B1-4B5C-81AE-957E018B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983</Words>
  <Characters>6115</Characters>
  <Application>Microsoft Office Word</Application>
  <DocSecurity>4</DocSecurity>
  <Lines>291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2012-01-16T14:15:00Z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januari 2012</vt:lpwstr>
  </property>
  <property fmtid="{D5CDD505-2E9C-101B-9397-08002B2CF9AE}" pid="3" name="DocumentNumber">
    <vt:lpwstr>56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2012-01-17</vt:lpwstr>
  </property>
  <property fmtid="{D5CDD505-2E9C-101B-9397-08002B2CF9AE}" pid="7" name="DatumAvgörande">
    <vt:lpwstr>2012-01-17</vt:lpwstr>
  </property>
  <property fmtid="{D5CDD505-2E9C-101B-9397-08002B2CF9AE}" pid="8" name="Publicerare">
    <vt:lpwstr>eh0524aa</vt:lpwstr>
  </property>
</Properties>
</file>