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F6639">
        <w:tblPrEx>
          <w:tblCellMar>
            <w:top w:w="0" w:type="dxa"/>
            <w:left w:w="0" w:type="dxa"/>
            <w:bottom w:w="0" w:type="dxa"/>
            <w:right w:w="0" w:type="dxa"/>
          </w:tblCellMar>
        </w:tblPrEx>
        <w:trPr>
          <w:gridAfter w:val="2"/>
          <w:wAfter w:w="1758" w:type="dxa"/>
          <w:cantSplit/>
          <w:trHeight w:val="1320"/>
        </w:trPr>
        <w:tc>
          <w:tcPr>
            <w:tcW w:w="5897" w:type="dxa"/>
          </w:tcPr>
          <w:p w:rsidR="00AF6639" w:rsidRPr="00AF6639" w:rsidRDefault="00AF6639">
            <w:pPr>
              <w:pStyle w:val="HuvudRubrik"/>
            </w:pPr>
            <w:r w:rsidRPr="00AF6639">
              <w:t>Regeringskansliet</w:t>
            </w:r>
          </w:p>
          <w:p w:rsidR="00AF6639" w:rsidRPr="00AF6639" w:rsidRDefault="00AF6639">
            <w:pPr>
              <w:pStyle w:val="HuvudRubrik"/>
            </w:pPr>
            <w:r w:rsidRPr="00AF6639">
              <w:t>Faktapromemoria  2009/10:FPM111</w:t>
            </w:r>
          </w:p>
        </w:tc>
      </w:tr>
      <w:tr w:rsidR="00000000" w:rsidRPr="00AF6639">
        <w:tblPrEx>
          <w:tblCellMar>
            <w:top w:w="0" w:type="dxa"/>
            <w:left w:w="0" w:type="dxa"/>
            <w:bottom w:w="0" w:type="dxa"/>
            <w:right w:w="0" w:type="dxa"/>
          </w:tblCellMar>
        </w:tblPrEx>
        <w:trPr>
          <w:gridAfter w:val="2"/>
          <w:wAfter w:w="1758" w:type="dxa"/>
          <w:cantSplit/>
          <w:trHeight w:val="240"/>
        </w:trPr>
        <w:tc>
          <w:tcPr>
            <w:tcW w:w="5897" w:type="dxa"/>
          </w:tcPr>
          <w:p w:rsidR="00AF6639" w:rsidRPr="00AF6639" w:rsidRDefault="00AF6639">
            <w:pPr>
              <w:pStyle w:val="HuvudRubrik"/>
              <w:rPr>
                <w:sz w:val="28"/>
              </w:rPr>
            </w:pPr>
            <w:r w:rsidRPr="00AF6639">
              <w:t>Normalskattesats på mervärdesskatteområdet</w:t>
            </w:r>
          </w:p>
        </w:tc>
      </w:tr>
      <w:tr w:rsidR="00000000" w:rsidRPr="00AF6639">
        <w:tblPrEx>
          <w:tblCellMar>
            <w:top w:w="0" w:type="dxa"/>
            <w:left w:w="0" w:type="dxa"/>
            <w:bottom w:w="0" w:type="dxa"/>
            <w:right w:w="0" w:type="dxa"/>
          </w:tblCellMar>
        </w:tblPrEx>
        <w:trPr>
          <w:cantSplit/>
          <w:trHeight w:val="285"/>
        </w:trPr>
        <w:tc>
          <w:tcPr>
            <w:tcW w:w="7655" w:type="dxa"/>
            <w:gridSpan w:val="3"/>
          </w:tcPr>
          <w:p w:rsidR="00AF6639" w:rsidRPr="00AF6639" w:rsidRDefault="00AF6639">
            <w:pPr>
              <w:pStyle w:val="Departement"/>
              <w:rPr>
                <w:sz w:val="28"/>
              </w:rPr>
            </w:pPr>
            <w:r w:rsidRPr="00AF6639">
              <w:t>Finansdepartementet</w:t>
            </w:r>
          </w:p>
        </w:tc>
      </w:tr>
      <w:tr w:rsidR="00000000" w:rsidRPr="00AF6639">
        <w:tblPrEx>
          <w:tblCellMar>
            <w:top w:w="0" w:type="dxa"/>
            <w:left w:w="0" w:type="dxa"/>
            <w:bottom w:w="0" w:type="dxa"/>
            <w:right w:w="0" w:type="dxa"/>
          </w:tblCellMar>
        </w:tblPrEx>
        <w:trPr>
          <w:cantSplit/>
          <w:trHeight w:val="240"/>
        </w:trPr>
        <w:tc>
          <w:tcPr>
            <w:tcW w:w="7655" w:type="dxa"/>
            <w:gridSpan w:val="3"/>
          </w:tcPr>
          <w:p w:rsidR="00AF6639" w:rsidRPr="00AF6639" w:rsidRDefault="00AF6639">
            <w:pPr>
              <w:pStyle w:val="Dokumentdatum"/>
            </w:pPr>
            <w:r w:rsidRPr="00AF6639">
              <w:t>2010-08-26</w:t>
            </w:r>
          </w:p>
        </w:tc>
      </w:tr>
      <w:tr w:rsidR="00000000" w:rsidRPr="00AF6639">
        <w:tblPrEx>
          <w:tblCellMar>
            <w:top w:w="0" w:type="dxa"/>
            <w:left w:w="0" w:type="dxa"/>
            <w:bottom w:w="0" w:type="dxa"/>
            <w:right w:w="0" w:type="dxa"/>
          </w:tblCellMar>
        </w:tblPrEx>
        <w:trPr>
          <w:cantSplit/>
          <w:trHeight w:val="726"/>
        </w:trPr>
        <w:tc>
          <w:tcPr>
            <w:tcW w:w="7655" w:type="dxa"/>
            <w:gridSpan w:val="3"/>
            <w:vAlign w:val="bottom"/>
          </w:tcPr>
          <w:p w:rsidR="00AF6639" w:rsidRPr="00AF6639" w:rsidRDefault="00AF6639">
            <w:pPr>
              <w:pStyle w:val="Dokumentbeteckning"/>
            </w:pPr>
            <w:r w:rsidRPr="00AF6639">
              <w:t>Dokumentbeteckning</w:t>
            </w:r>
          </w:p>
        </w:tc>
      </w:tr>
      <w:tr w:rsidR="00000000" w:rsidRPr="00AF6639">
        <w:tblPrEx>
          <w:tblCellMar>
            <w:top w:w="0" w:type="dxa"/>
            <w:left w:w="0" w:type="dxa"/>
            <w:bottom w:w="0" w:type="dxa"/>
            <w:right w:w="0" w:type="dxa"/>
          </w:tblCellMar>
        </w:tblPrEx>
        <w:trPr>
          <w:gridAfter w:val="1"/>
          <w:wAfter w:w="1560" w:type="dxa"/>
          <w:trHeight w:val="120"/>
        </w:trPr>
        <w:tc>
          <w:tcPr>
            <w:tcW w:w="6095" w:type="dxa"/>
            <w:gridSpan w:val="2"/>
          </w:tcPr>
          <w:p w:rsidR="00AF6639" w:rsidRPr="00AF6639" w:rsidRDefault="00AF6639">
            <w:bookmarkStart w:id="0" w:name="KomNr"/>
            <w:bookmarkEnd w:id="0"/>
            <w:r w:rsidRPr="00AF6639">
              <w:t>KOM(2010) 331</w:t>
            </w:r>
          </w:p>
        </w:tc>
      </w:tr>
      <w:tr w:rsidR="00000000" w:rsidRPr="00AF6639">
        <w:tblPrEx>
          <w:tblCellMar>
            <w:top w:w="0" w:type="dxa"/>
            <w:left w:w="0" w:type="dxa"/>
            <w:bottom w:w="0" w:type="dxa"/>
            <w:right w:w="0" w:type="dxa"/>
          </w:tblCellMar>
        </w:tblPrEx>
        <w:trPr>
          <w:gridAfter w:val="1"/>
          <w:wAfter w:w="1560" w:type="dxa"/>
          <w:trHeight w:val="120"/>
        </w:trPr>
        <w:tc>
          <w:tcPr>
            <w:tcW w:w="6095" w:type="dxa"/>
            <w:gridSpan w:val="2"/>
          </w:tcPr>
          <w:p w:rsidR="00AF6639" w:rsidRPr="00AF6639" w:rsidRDefault="00AF6639">
            <w:pPr>
              <w:pStyle w:val="Dokumentbeteckning-titel"/>
            </w:pPr>
            <w:r w:rsidRPr="00AF6639">
              <w:t>Förslag till rådets direktiv om ändring av direktiv 2006/112/EG om ett gemensamt system för mervärdesskatt, när det gäller varaktigheten för skattskyldigheten att efterleva miniminivån på normalskattesatsen</w:t>
            </w:r>
          </w:p>
        </w:tc>
      </w:tr>
    </w:tbl>
    <w:p w:rsidR="00AF6639" w:rsidRPr="00AF6639" w:rsidRDefault="00AF6639"/>
    <w:p w:rsidR="00AF6639" w:rsidRPr="00AF6639" w:rsidRDefault="00AF6639">
      <w:pPr>
        <w:pStyle w:val="Rubrik1"/>
        <w:numPr>
          <w:ilvl w:val="0"/>
          <w:numId w:val="0"/>
        </w:numPr>
      </w:pPr>
      <w:r w:rsidRPr="00AF6639">
        <w:t>Sammanfattning</w:t>
      </w:r>
    </w:p>
    <w:p w:rsidR="00AF6639" w:rsidRPr="00AF6639" w:rsidRDefault="00AF6639">
      <w:r w:rsidRPr="00AF6639">
        <w:t>Kommissionen föreslår att miniminivån om 15 procent för normalskattesatsen förlängs i ytterligare fem år, från och med den 1 januari 2011 till och med den 31 december 2015. Detta innebär att den nuvarande nedre gränsen för normalskattesatsen ska gälla under ytterligare en femårsperiod. Regeringen har inga invändningar mot kommissionens förslag.</w:t>
      </w:r>
    </w:p>
    <w:p w:rsidR="00AF6639" w:rsidRPr="00AF6639" w:rsidRDefault="00AF6639"/>
    <w:p w:rsidR="00AF6639" w:rsidRPr="00AF6639" w:rsidRDefault="00AF6639">
      <w:pPr>
        <w:pStyle w:val="Rubrik1"/>
      </w:pPr>
      <w:r w:rsidRPr="00AF6639">
        <w:t>Förslaget</w:t>
      </w:r>
    </w:p>
    <w:p w:rsidR="00AF6639" w:rsidRPr="00AF6639" w:rsidRDefault="00AF6639">
      <w:pPr>
        <w:pStyle w:val="Rubrik2"/>
      </w:pPr>
      <w:r w:rsidRPr="00AF6639">
        <w:t>Ärendets bakgrund</w:t>
      </w:r>
    </w:p>
    <w:p w:rsidR="00AF6639" w:rsidRPr="00AF6639" w:rsidRDefault="00AF6639">
      <w:r w:rsidRPr="00AF6639">
        <w:t>Kommissionen föreslog år 1993 ett slutligt, harmoniserat mervärdesskattesystem. Rådet kunde emellertid inte enas om kommissionens förslag och i stället beslutade man att anta en s.k. övergångsordning. Vad gäller mervärdesskattesatserna infördes ett system med minimiskattesatser enligt vilket normalskattesatsen under perioden den 1 januari 1993 till den 31 december 1996 inte fick vara lägre än 15 procent. Denna bestämmelse har förlängts fyra gånger och gäller fram till den 31 december 2010. Kommissionen för</w:t>
      </w:r>
      <w:r w:rsidRPr="00AF6639">
        <w:t xml:space="preserve">väntas under hösten offentliggöra en grönbok om en ny mervärdesskattestrategi, som ska utgöra startskottet för ett samråd om en framtida skatteharmonisering. Kommissionen anser att ett riktigt beslut om normalskattesatsen för </w:t>
      </w:r>
      <w:r w:rsidRPr="00AF6639">
        <w:lastRenderedPageBreak/>
        <w:t>mervärdesskatt i EU kan fattas först när resultatet av den processen är klar och har därför lagt fram ett förslag om förlängning av den gällande bestämmelsen om miniminvån för normalskattesatsen.</w:t>
      </w:r>
    </w:p>
    <w:p w:rsidR="00AF6639" w:rsidRPr="00AF6639" w:rsidRDefault="00AF6639"/>
    <w:p w:rsidR="00AF6639" w:rsidRPr="00AF6639" w:rsidRDefault="00AF6639">
      <w:pPr>
        <w:pStyle w:val="Rubrik2"/>
      </w:pPr>
      <w:r w:rsidRPr="00AF6639">
        <w:t>Förslagets innehåll</w:t>
      </w:r>
    </w:p>
    <w:p w:rsidR="00AF6639" w:rsidRPr="00AF6639" w:rsidRDefault="00AF6639">
      <w:r w:rsidRPr="00AF6639">
        <w:t xml:space="preserve">Kommissionen föreslår att miniminivån om 15 procent för normalskattesatsen förlängs i ytterligare fem år, från och med den 1 januari 2011 till och med den 31 december 2015. Detta innebär att den nuvarande nedre gränsen för normalskattesatsen ska gälla under ytterligare en femårsperiod. </w:t>
      </w:r>
    </w:p>
    <w:p w:rsidR="00AF6639" w:rsidRPr="00AF6639" w:rsidRDefault="00AF6639"/>
    <w:p w:rsidR="00AF6639" w:rsidRPr="00AF6639" w:rsidRDefault="00AF6639">
      <w:pPr>
        <w:pStyle w:val="Rubrik2"/>
        <w:numPr>
          <w:ilvl w:val="0"/>
          <w:numId w:val="0"/>
        </w:numPr>
      </w:pPr>
      <w:r w:rsidRPr="00AF6639">
        <w:t>1.3 Gällande svenska regler och förslagets effekt på dessa</w:t>
      </w:r>
    </w:p>
    <w:p w:rsidR="00AF6639" w:rsidRPr="00AF6639" w:rsidRDefault="00AF6639">
      <w:r w:rsidRPr="00AF6639">
        <w:t>Sverige tillämpar en normalskattesats om 25 procent, en reducerad skattesats om 12 procent och en reducerad skattesats om 6 procent. Med 12 procent beskattas bl.a. rumsuthyrning och livsmedel. Med 6 procent beskattas bl.a. böcker. Vilken skattesats som ska tillämpas på en vara eller en tjänst framgår av 7 kap. 1 § mervärdesskattelagen (1994:200). Den svenska skattesatsstrukturen påverkas inte av kommissionens förslag.</w:t>
      </w:r>
    </w:p>
    <w:p w:rsidR="00AF6639" w:rsidRPr="00AF6639" w:rsidRDefault="00AF6639"/>
    <w:p w:rsidR="00AF6639" w:rsidRPr="00AF6639" w:rsidRDefault="00AF6639">
      <w:pPr>
        <w:pStyle w:val="Rubrik2"/>
      </w:pPr>
      <w:r w:rsidRPr="00AF6639">
        <w:t>Budgetära konsekvenser / Konsekvensanalys</w:t>
      </w:r>
    </w:p>
    <w:p w:rsidR="00AF6639" w:rsidRPr="00AF6639" w:rsidRDefault="00AF6639">
      <w:r w:rsidRPr="00AF6639">
        <w:t>Eftersom den svenska skattesatsstrukturen inte påverkas av kommissionens förslag har detta inte heller några budgetära konsekvenser.</w:t>
      </w:r>
    </w:p>
    <w:p w:rsidR="00AF6639" w:rsidRPr="00AF6639" w:rsidRDefault="00AF6639"/>
    <w:p w:rsidR="00AF6639" w:rsidRPr="00AF6639" w:rsidRDefault="00AF6639">
      <w:pPr>
        <w:pStyle w:val="Rubrik1"/>
      </w:pPr>
      <w:r w:rsidRPr="00AF6639">
        <w:t>Ståndpunkter</w:t>
      </w:r>
    </w:p>
    <w:p w:rsidR="00AF6639" w:rsidRPr="00AF6639" w:rsidRDefault="00AF6639">
      <w:pPr>
        <w:pStyle w:val="Rubrik2"/>
      </w:pPr>
      <w:r w:rsidRPr="00AF6639">
        <w:t>Preliminär svensk ståndpunkt</w:t>
      </w:r>
    </w:p>
    <w:p w:rsidR="00AF6639" w:rsidRPr="00AF6639" w:rsidRDefault="00AF6639">
      <w:r w:rsidRPr="00AF6639">
        <w:t xml:space="preserve">Regeringen har inga invändningar mot kommissionens förslag. </w:t>
      </w:r>
    </w:p>
    <w:p w:rsidR="00AF6639" w:rsidRPr="00AF6639" w:rsidRDefault="00AF6639"/>
    <w:p w:rsidR="00AF6639" w:rsidRPr="00AF6639" w:rsidRDefault="00AF6639">
      <w:pPr>
        <w:pStyle w:val="Rubrik2"/>
      </w:pPr>
      <w:r w:rsidRPr="00AF6639">
        <w:t>Medlemsstaternas ståndpunkter</w:t>
      </w:r>
    </w:p>
    <w:p w:rsidR="00AF6639" w:rsidRPr="00AF6639" w:rsidRDefault="00AF6639">
      <w:r w:rsidRPr="00AF6639">
        <w:t>Förslaget har ännu inte behandlats i rådsarbetsgruppen för skattefrågor och övriga medlemsstaters ståndpunkter är inte kända.</w:t>
      </w:r>
    </w:p>
    <w:p w:rsidR="00AF6639" w:rsidRPr="00AF6639" w:rsidRDefault="00AF6639"/>
    <w:p w:rsidR="00AF6639" w:rsidRPr="00AF6639" w:rsidRDefault="00AF6639">
      <w:pPr>
        <w:pStyle w:val="Rubrik2"/>
      </w:pPr>
      <w:r w:rsidRPr="00AF6639">
        <w:t>Institutionernas ståndpunkter</w:t>
      </w:r>
    </w:p>
    <w:p w:rsidR="00AF6639" w:rsidRPr="00AF6639" w:rsidRDefault="00AF6639">
      <w:r w:rsidRPr="00AF6639">
        <w:t>Instutitionerna har ännu inte lämnat några yttranden.</w:t>
      </w:r>
    </w:p>
    <w:p w:rsidR="00AF6639" w:rsidRPr="00AF6639" w:rsidRDefault="00AF6639"/>
    <w:p w:rsidR="00AF6639" w:rsidRPr="00AF6639" w:rsidRDefault="00AF6639">
      <w:pPr>
        <w:pStyle w:val="Rubrik2"/>
      </w:pPr>
      <w:r w:rsidRPr="00AF6639">
        <w:t>Remissinstansernas ståndpunkter</w:t>
      </w:r>
    </w:p>
    <w:p w:rsidR="00AF6639" w:rsidRPr="00AF6639" w:rsidRDefault="00AF6639">
      <w:r w:rsidRPr="00AF6639">
        <w:t>Remissbehandling av förslaget är inte aktuellt.</w:t>
      </w:r>
    </w:p>
    <w:p w:rsidR="00AF6639" w:rsidRPr="00AF6639" w:rsidRDefault="00AF6639"/>
    <w:p w:rsidR="00AF6639" w:rsidRPr="00AF6639" w:rsidRDefault="00AF6639">
      <w:pPr>
        <w:pStyle w:val="Rubrik1"/>
      </w:pPr>
      <w:r w:rsidRPr="00AF6639">
        <w:t>Förslagets förutsättningar</w:t>
      </w:r>
    </w:p>
    <w:p w:rsidR="00AF6639" w:rsidRPr="00AF6639" w:rsidRDefault="00AF6639">
      <w:pPr>
        <w:pStyle w:val="Rubrik2"/>
      </w:pPr>
      <w:r w:rsidRPr="00AF6639">
        <w:t>Rättslig grund och beslutsförfarande</w:t>
      </w:r>
    </w:p>
    <w:p w:rsidR="00AF6639" w:rsidRPr="00AF6639" w:rsidRDefault="00AF6639">
      <w:r w:rsidRPr="00AF6639">
        <w:t>Av artikel 113 i fördraget om Europeiska unionens funktionssätt följer att rådet enhälligt efter att ha hört Europaparlamentet och ekonomiska och sociala kommittén ska anta bestämmelser om harmonisering av lagstiftningen om bl.a. omsättningsskatter, i den mån en sådan harmonisering är nödvändig för att säkerställa att den inre marknaden upprättas och fungerar och för att undvika snedvridning av konkurrensen.</w:t>
      </w:r>
    </w:p>
    <w:p w:rsidR="00AF6639" w:rsidRPr="00AF6639" w:rsidRDefault="00AF6639"/>
    <w:p w:rsidR="00AF6639" w:rsidRPr="00AF6639" w:rsidRDefault="00AF6639">
      <w:pPr>
        <w:pStyle w:val="Rubrik2"/>
      </w:pPr>
      <w:r w:rsidRPr="00AF6639">
        <w:t>Subsidiaritets- och proportionalitetsprincipen</w:t>
      </w:r>
    </w:p>
    <w:p w:rsidR="00AF6639" w:rsidRPr="00AF6639" w:rsidRDefault="00AF6639">
      <w:r w:rsidRPr="00AF6639">
        <w:t>Kommissionen anför att EU genom mervärdesskattedirektivet redan fastställt harmoniserade bestämmelser om tillämpningen av mervärdesskattesatser och att dessa bara får ändras eller förlängas genom en EU-rättsakt. Därför anser kommissionen att det bara är en åtgärd på EU-nivå som kan uppnå förslagets mål och därför anser kommissionens att förslaget är förenligt med subsidiaritetsprincipen. Regeringen delar kommissionens uppfattning angående subsidiaritetsprincipen.</w:t>
      </w:r>
    </w:p>
    <w:p w:rsidR="00AF6639" w:rsidRPr="00AF6639" w:rsidRDefault="00AF6639">
      <w:r w:rsidRPr="00AF6639">
        <w:t>Eftersom förslaget enbart förlänger perioden för tillämpning av en befintlig bestämmelse anser kommissionen att åtgärden står i proportion till syftet. Förslaget innebär inga budgetkostnader för EU och varken företag eller konsumenter får någon ny finansiell börda. Regeringen delar kommissionens uppfattning angående proportionalitetsprincipen.</w:t>
      </w:r>
    </w:p>
    <w:p w:rsidR="00AF6639" w:rsidRPr="00AF6639" w:rsidRDefault="00AF6639"/>
    <w:p w:rsidR="00AF6639" w:rsidRPr="00AF6639" w:rsidRDefault="00AF6639">
      <w:pPr>
        <w:pStyle w:val="Rubrik1"/>
      </w:pPr>
      <w:r w:rsidRPr="00AF6639">
        <w:t>Övrigt</w:t>
      </w:r>
    </w:p>
    <w:p w:rsidR="00AF6639" w:rsidRPr="00AF6639" w:rsidRDefault="00AF6639">
      <w:pPr>
        <w:pStyle w:val="Rubrik2"/>
      </w:pPr>
      <w:r w:rsidRPr="00AF6639">
        <w:t>Fortsatt behandling av ärendet</w:t>
      </w:r>
    </w:p>
    <w:p w:rsidR="00AF6639" w:rsidRPr="00AF6639" w:rsidRDefault="00AF6639">
      <w:r w:rsidRPr="00AF6639">
        <w:t>Det är inte känt när förslaget kommer att behandlas i rådsarbetsgruppen för skatter.</w:t>
      </w:r>
    </w:p>
    <w:p w:rsidR="00AF6639" w:rsidRPr="00AF6639" w:rsidRDefault="00AF6639"/>
    <w:p w:rsidR="00AF6639" w:rsidRPr="00AF6639" w:rsidRDefault="00AF6639">
      <w:pPr>
        <w:pStyle w:val="Rubrik2"/>
      </w:pPr>
      <w:r w:rsidRPr="00AF6639">
        <w:t>Fackuttryck/termer</w:t>
      </w:r>
    </w:p>
    <w:p w:rsidR="00AF6639" w:rsidRPr="00AF6639" w:rsidRDefault="00AF6639">
      <w:r w:rsidRPr="00AF6639">
        <w:t>-</w:t>
      </w:r>
    </w:p>
    <w:sectPr w:rsidR="00000000" w:rsidRPr="00AF6639">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6639" w:rsidRPr="00AF6639" w:rsidRDefault="00AF6639">
      <w:r w:rsidRPr="00AF6639">
        <w:separator/>
      </w:r>
    </w:p>
  </w:endnote>
  <w:endnote w:type="continuationSeparator" w:id="0">
    <w:p w:rsidR="00AF6639" w:rsidRPr="00AF6639" w:rsidRDefault="00AF6639">
      <w:r w:rsidRPr="00AF66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639" w:rsidRPr="00AF6639" w:rsidRDefault="00AF663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639" w:rsidRPr="00AF6639" w:rsidRDefault="00AF6639">
    <w:pPr>
      <w:pStyle w:val="SidfotH"/>
      <w:framePr w:wrap="around"/>
    </w:pPr>
    <w:r w:rsidRPr="00AF6639">
      <w:t>3</w:t>
    </w:r>
  </w:p>
  <w:p w:rsidR="00AF6639" w:rsidRPr="00AF6639" w:rsidRDefault="00AF663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639" w:rsidRPr="00AF6639" w:rsidRDefault="00AF6639">
    <w:pPr>
      <w:pStyle w:val="SidfotH"/>
      <w:framePr w:wrap="around"/>
    </w:pPr>
    <w:r w:rsidRPr="00AF6639">
      <w:t>1</w:t>
    </w:r>
  </w:p>
  <w:p w:rsidR="00AF6639" w:rsidRPr="00AF6639" w:rsidRDefault="00AF66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6639" w:rsidRPr="00AF6639" w:rsidRDefault="00AF6639">
      <w:r w:rsidRPr="00AF6639">
        <w:separator/>
      </w:r>
    </w:p>
  </w:footnote>
  <w:footnote w:type="continuationSeparator" w:id="0">
    <w:p w:rsidR="00AF6639" w:rsidRPr="00AF6639" w:rsidRDefault="00AF6639">
      <w:r w:rsidRPr="00AF66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639" w:rsidRPr="00AF6639" w:rsidRDefault="00AF663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639" w:rsidRPr="00AF6639" w:rsidRDefault="00AF6639">
    <w:pPr>
      <w:pStyle w:val="Kantrubrik"/>
      <w:framePr w:h="1157" w:hRule="exact" w:wrap="around" w:y="738"/>
    </w:pPr>
    <w:r w:rsidRPr="00AF6639">
      <w:t>2009/10:FPM111</w:t>
    </w:r>
  </w:p>
  <w:p w:rsidR="00AF6639" w:rsidRPr="00AF6639" w:rsidRDefault="00AF663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639" w:rsidRPr="00AF6639" w:rsidRDefault="00AF6639">
    <w:pPr>
      <w:pStyle w:val="Sidhuvud"/>
    </w:pPr>
    <w:r w:rsidRPr="00AF6639">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7612180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6639" w:rsidRDefault="00AF663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13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F6639" w:rsidRDefault="00AF6639">
                    <w:pPr>
                      <w:pStyle w:val="Logo"/>
                    </w:pPr>
                    <w:r>
                      <w:object w:dxaOrig="840" w:dyaOrig="1545">
                        <v:shape id="_x0000_i1025" type="#_x0000_t75" style="width:42pt;height:77.5pt" filled="t">
                          <v:imagedata r:id="rId1" o:title=""/>
                        </v:shape>
                        <o:OLEObject Type="Embed" ProgID="Word.Picture.8" ShapeID="_x0000_i1025" DrawAspect="Content" ObjectID="_182753013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57251869">
    <w:abstractNumId w:val="4"/>
  </w:num>
  <w:num w:numId="2" w16cid:durableId="371155258">
    <w:abstractNumId w:val="1"/>
  </w:num>
  <w:num w:numId="3" w16cid:durableId="789125376">
    <w:abstractNumId w:val="2"/>
  </w:num>
  <w:num w:numId="4" w16cid:durableId="1084035718">
    <w:abstractNumId w:val="3"/>
  </w:num>
  <w:num w:numId="5" w16cid:durableId="1668943818">
    <w:abstractNumId w:val="5"/>
  </w:num>
  <w:num w:numId="6" w16cid:durableId="2122142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8-26"/>
    <w:docVar w:name="Ar" w:val="2010/11"/>
    <w:docVar w:name="Dep" w:val="Finansdepartementet"/>
    <w:docVar w:name="DepWeb" w:val="Finansdepartementet"/>
    <w:docVar w:name="GDB1" w:val="KOM(2010) 33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direktiv om ändring av direktiv 2006/112/EG om ett gemensamt system för mervärdesskatt, när det gäller varaktigheten för skattskyldigheten att efterleva miniminivån på normalskattesats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331"/>
    <w:docVar w:name="Nr" w:val="111"/>
    <w:docVar w:name="RD_APPVERSION" w:val="3.00"/>
    <w:docVar w:name="Rub" w:val="Normalskattesats på mervärdesskatteområdet"/>
    <w:docVar w:name="UppDat" w:val="2010-08-26"/>
    <w:docVar w:name="Utsk" w:val="Skatteutskottet"/>
  </w:docVars>
  <w:rsids>
    <w:rsidRoot w:val="00572277"/>
    <w:rsid w:val="00572277"/>
    <w:rsid w:val="00AF663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6A55C96-C233-4FB3-951D-365FBE437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599</Words>
  <Characters>3976</Characters>
  <Application>Microsoft Office Word</Application>
  <DocSecurity>4</DocSecurity>
  <Lines>96</Lines>
  <Paragraphs>44</Paragraphs>
  <ScaleCrop>false</ScaleCrop>
  <HeadingPairs>
    <vt:vector size="2" baseType="variant">
      <vt:variant>
        <vt:lpstr>Rubrik</vt:lpstr>
      </vt:variant>
      <vt:variant>
        <vt:i4>1</vt:i4>
      </vt:variant>
    </vt:vector>
  </HeadingPairs>
  <TitlesOfParts>
    <vt:vector size="1" baseType="lpstr">
      <vt:lpstr>FPM_200910__111</vt:lpstr>
    </vt:vector>
  </TitlesOfParts>
  <Company>RD-DTSL</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FPM_200910__111</dc:title>
  <dc:subject>FPM_200910__111</dc:subject>
  <dc:creator>Riksdagen</dc:creator>
  <cp:keywords>Riksdagen</cp:keywords>
  <dc:description>KP2004-version.  Ändringarna påverkar enbart användningen inom Riksdagen. 050429 nya departement DTSL.</dc:description>
  <cp:lastModifiedBy>Lars Brink</cp:lastModifiedBy>
  <cp:revision>2</cp:revision>
  <cp:lastPrinted>2010-08-26T08:17:00Z</cp:lastPrinted>
  <dcterms:created xsi:type="dcterms:W3CDTF">2025-12-17T23:18:00Z</dcterms:created>
  <dcterms:modified xsi:type="dcterms:W3CDTF">2025-12-17T23:18:00Z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111</vt:lpwstr>
  </property>
  <property fmtid="{D5CDD505-2E9C-101B-9397-08002B2CF9AE}" pid="4" name="GDB1">
    <vt:lpwstr>KOM(2010) 331</vt:lpwstr>
  </property>
  <property fmtid="{D5CDD505-2E9C-101B-9397-08002B2CF9AE}" pid="5" name="GDT1">
    <vt:lpwstr> </vt:lpwstr>
  </property>
  <property fmtid="{D5CDD505-2E9C-101B-9397-08002B2CF9AE}" pid="6" name="Dep">
    <vt:lpwstr>Finansdepartementet</vt:lpwstr>
  </property>
  <property fmtid="{D5CDD505-2E9C-101B-9397-08002B2CF9AE}" pid="7" name="Rub">
    <vt:lpwstr>Normalskattesats på mervärdesskatteområdet</vt:lpwstr>
  </property>
  <property fmtid="{D5CDD505-2E9C-101B-9397-08002B2CF9AE}" pid="8" name="UppDat">
    <vt:lpwstr>2010-08-26</vt:lpwstr>
  </property>
  <property fmtid="{D5CDD505-2E9C-101B-9397-08002B2CF9AE}" pid="9" name="AnkDat">
    <vt:lpwstr>2010-08-26</vt:lpwstr>
  </property>
  <property fmtid="{D5CDD505-2E9C-101B-9397-08002B2CF9AE}" pid="10" name="Utsk">
    <vt:lpwstr>Skatteutskottet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6;0;0;264</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Finansdepartementet</vt:lpwstr>
  </property>
  <property fmtid="{D5CDD505-2E9C-101B-9397-08002B2CF9AE}" pid="46" name="RKOrdnaActivityCategory">
    <vt:lpwstr>4.1. Europeiska unionen</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ies>
</file>