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40A792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F46E94">
              <w:rPr>
                <w:b/>
              </w:rPr>
              <w:t>8</w:t>
            </w:r>
            <w:bookmarkStart w:id="0" w:name="_GoBack"/>
            <w:bookmarkEnd w:id="0"/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F7EB77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10</w:t>
            </w:r>
            <w:r w:rsidR="004D2A50">
              <w:t>-</w:t>
            </w:r>
            <w:r w:rsidR="00107FF8">
              <w:t>1</w:t>
            </w:r>
            <w:r w:rsidR="00040301">
              <w:t>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AB0432B" w:rsidR="00141DA2" w:rsidRPr="0012669A" w:rsidRDefault="00040301" w:rsidP="008C57B9">
            <w:r>
              <w:t>8.30</w:t>
            </w:r>
            <w:r w:rsidR="00197781" w:rsidRPr="0012669A">
              <w:t>–</w:t>
            </w:r>
            <w:r w:rsidR="004D15DF">
              <w:t>1</w:t>
            </w:r>
            <w:r>
              <w:t>2.40</w:t>
            </w:r>
          </w:p>
        </w:tc>
      </w:tr>
      <w:tr w:rsidR="00040301" w:rsidRPr="0012669A" w14:paraId="368C2DDF" w14:textId="77777777" w:rsidTr="008B7A6E">
        <w:tc>
          <w:tcPr>
            <w:tcW w:w="2057" w:type="dxa"/>
          </w:tcPr>
          <w:p w14:paraId="141B6CEB" w14:textId="4A33672A" w:rsidR="00040301" w:rsidRPr="0012669A" w:rsidRDefault="00040301" w:rsidP="00F65DF8">
            <w:r w:rsidRPr="00040301">
              <w:t>Ajournering</w:t>
            </w:r>
          </w:p>
        </w:tc>
        <w:tc>
          <w:tcPr>
            <w:tcW w:w="6391" w:type="dxa"/>
          </w:tcPr>
          <w:p w14:paraId="7B2E33F5" w14:textId="4FE7E088" w:rsidR="00040301" w:rsidRDefault="00040301" w:rsidP="008C57B9">
            <w:r>
              <w:t>9.40–10.00</w:t>
            </w:r>
          </w:p>
        </w:tc>
      </w:tr>
      <w:tr w:rsidR="004D15DF" w:rsidRPr="0012669A" w14:paraId="644068EB" w14:textId="77777777" w:rsidTr="008B7A6E">
        <w:tc>
          <w:tcPr>
            <w:tcW w:w="2057" w:type="dxa"/>
          </w:tcPr>
          <w:p w14:paraId="338F0EDF" w14:textId="7DDF7544" w:rsidR="004D15DF" w:rsidRPr="0012669A" w:rsidRDefault="004D15DF" w:rsidP="00F65DF8">
            <w:r>
              <w:t>Ajournering</w:t>
            </w:r>
          </w:p>
        </w:tc>
        <w:tc>
          <w:tcPr>
            <w:tcW w:w="6391" w:type="dxa"/>
          </w:tcPr>
          <w:p w14:paraId="123A5E4D" w14:textId="5CF2016B" w:rsidR="004D15DF" w:rsidRDefault="004D15DF" w:rsidP="008C57B9">
            <w:r>
              <w:t>11.</w:t>
            </w:r>
            <w:r w:rsidR="00040301">
              <w:t>2</w:t>
            </w:r>
            <w:r>
              <w:t>0–11.</w:t>
            </w:r>
            <w:r w:rsidR="00040301">
              <w:t>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52C72" w:rsidRPr="0012669A" w14:paraId="62616F9A" w14:textId="77777777" w:rsidTr="00B83053">
        <w:trPr>
          <w:trHeight w:val="567"/>
        </w:trPr>
        <w:tc>
          <w:tcPr>
            <w:tcW w:w="567" w:type="dxa"/>
          </w:tcPr>
          <w:p w14:paraId="14D80A37" w14:textId="04889D21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7B2202E9" w14:textId="77777777" w:rsidR="00107FF8" w:rsidRDefault="00040301" w:rsidP="00040301">
            <w:pPr>
              <w:ind w:right="68"/>
              <w:rPr>
                <w:b/>
              </w:rPr>
            </w:pPr>
            <w:r w:rsidRPr="00040301">
              <w:rPr>
                <w:b/>
              </w:rPr>
              <w:t>Effekter av att försenade eller uteblivna stöd med anledning coronaviruset</w:t>
            </w:r>
          </w:p>
          <w:p w14:paraId="5D6842A2" w14:textId="77777777" w:rsidR="00040301" w:rsidRDefault="00040301" w:rsidP="00040301">
            <w:pPr>
              <w:ind w:right="68"/>
              <w:rPr>
                <w:b/>
              </w:rPr>
            </w:pPr>
          </w:p>
          <w:p w14:paraId="32DBF011" w14:textId="0888F3FF" w:rsidR="00040301" w:rsidRDefault="00040301" w:rsidP="00040301">
            <w:pPr>
              <w:ind w:right="68"/>
            </w:pPr>
            <w:r w:rsidRPr="00040301">
              <w:t xml:space="preserve">Generaldirektör Anders </w:t>
            </w:r>
            <w:proofErr w:type="spellStart"/>
            <w:r w:rsidRPr="00040301">
              <w:t>Sjelvgren</w:t>
            </w:r>
            <w:proofErr w:type="spellEnd"/>
            <w:r w:rsidR="00B751B7">
              <w:t xml:space="preserve"> och </w:t>
            </w:r>
            <w:r w:rsidR="00B751B7" w:rsidRPr="00B751B7">
              <w:t>enhetschef Per Lindkvist</w:t>
            </w:r>
            <w:r w:rsidR="00B751B7">
              <w:t>,</w:t>
            </w:r>
            <w:r w:rsidR="00B751B7" w:rsidRPr="00B751B7">
              <w:t xml:space="preserve"> </w:t>
            </w:r>
            <w:r w:rsidRPr="00040301">
              <w:t>Boverket, generaldirektör Katrin Westling Palm</w:t>
            </w:r>
            <w:r w:rsidR="00B751B7">
              <w:t xml:space="preserve"> och </w:t>
            </w:r>
            <w:r w:rsidR="00B751B7" w:rsidRPr="00B751B7">
              <w:t>områdeschef, Fredric Brolin</w:t>
            </w:r>
            <w:r w:rsidR="00B751B7">
              <w:t>,</w:t>
            </w:r>
            <w:r w:rsidR="00B751B7" w:rsidRPr="00B751B7">
              <w:t xml:space="preserve"> </w:t>
            </w:r>
            <w:r w:rsidRPr="00040301">
              <w:t xml:space="preserve">Skatteverket och biträdande rikskronofogde Cecilia </w:t>
            </w:r>
            <w:proofErr w:type="spellStart"/>
            <w:r w:rsidRPr="00040301">
              <w:t>Hegethorn</w:t>
            </w:r>
            <w:proofErr w:type="spellEnd"/>
            <w:r w:rsidRPr="00040301">
              <w:t xml:space="preserve"> Mogensen, Kronofogdemyndigheten</w:t>
            </w:r>
            <w:r>
              <w:t xml:space="preserve">, </w:t>
            </w:r>
            <w:r w:rsidRPr="00040301">
              <w:t>var uppkopplade per videolänk och lämnade information och svarade på frågor om</w:t>
            </w:r>
            <w:r w:rsidR="00B83BED">
              <w:t xml:space="preserve"> </w:t>
            </w:r>
            <w:r>
              <w:t>e</w:t>
            </w:r>
            <w:r w:rsidRPr="00040301">
              <w:t>ffekter av att försenade eller uteblivna stöd med anledning coronaviruset</w:t>
            </w:r>
            <w:r>
              <w:t>.</w:t>
            </w:r>
          </w:p>
          <w:p w14:paraId="3F0C9FF6" w14:textId="2178D04D" w:rsidR="00040301" w:rsidRPr="00040301" w:rsidRDefault="00040301" w:rsidP="00040301">
            <w:pPr>
              <w:ind w:right="68"/>
            </w:pPr>
          </w:p>
        </w:tc>
      </w:tr>
      <w:tr w:rsidR="002A6687" w:rsidRPr="0012669A" w14:paraId="23809863" w14:textId="77777777" w:rsidTr="00B83053">
        <w:trPr>
          <w:trHeight w:val="567"/>
        </w:trPr>
        <w:tc>
          <w:tcPr>
            <w:tcW w:w="567" w:type="dxa"/>
          </w:tcPr>
          <w:p w14:paraId="25591BCB" w14:textId="7D17308A" w:rsidR="002A6687" w:rsidRDefault="002A66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F12E5E5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En möjlighet till ny anmälan om avstämning av stöd vid korttidsarbete och ett nytt förfarande vid sen anmälan om avstämning (NU6)</w:t>
            </w:r>
          </w:p>
          <w:p w14:paraId="230A6E51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6236D105" w14:textId="35BC97DA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fortsatte behandlingen av proposition 2021/22:14 om en möjlighet till ny anmälan om avstämning av stöd vid korttidsarbete och ett nytt förfarande vid sen anmälan om avstämning</w:t>
            </w:r>
            <w:r>
              <w:rPr>
                <w:sz w:val="24"/>
                <w:szCs w:val="24"/>
              </w:rPr>
              <w:t>.</w:t>
            </w:r>
          </w:p>
          <w:p w14:paraId="1F1A47C3" w14:textId="77777777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7D09945D" w14:textId="77777777" w:rsidR="002A6687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Ärendet bordlades.</w:t>
            </w:r>
          </w:p>
          <w:p w14:paraId="668BFD48" w14:textId="4E3FB4D8" w:rsidR="00040301" w:rsidRPr="00107FF8" w:rsidRDefault="00040301" w:rsidP="00040301">
            <w:pPr>
              <w:pStyle w:val="Kommentarer"/>
              <w:rPr>
                <w:b/>
              </w:rPr>
            </w:pPr>
          </w:p>
        </w:tc>
      </w:tr>
      <w:tr w:rsidR="00040301" w:rsidRPr="0012669A" w14:paraId="6D33F61A" w14:textId="77777777" w:rsidTr="00B83053">
        <w:trPr>
          <w:trHeight w:val="567"/>
        </w:trPr>
        <w:tc>
          <w:tcPr>
            <w:tcW w:w="567" w:type="dxa"/>
          </w:tcPr>
          <w:p w14:paraId="07B5AECD" w14:textId="76492910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4410376B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D2AE38E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31071B11" w14:textId="77777777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2021/22:7.</w:t>
            </w:r>
          </w:p>
          <w:p w14:paraId="5FFFA398" w14:textId="6FB94132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</w:tc>
      </w:tr>
      <w:tr w:rsidR="00040301" w:rsidRPr="0012669A" w14:paraId="3281F28E" w14:textId="77777777" w:rsidTr="00B83053">
        <w:trPr>
          <w:trHeight w:val="567"/>
        </w:trPr>
        <w:tc>
          <w:tcPr>
            <w:tcW w:w="567" w:type="dxa"/>
          </w:tcPr>
          <w:p w14:paraId="30415DAB" w14:textId="22B0E617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81C0D0D" w14:textId="7DB26D8E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Riksrevisionens rapport om transportbidraget (NU5)</w:t>
            </w:r>
          </w:p>
          <w:p w14:paraId="4121E5F5" w14:textId="4C7FCE21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5E13B7EE" w14:textId="55684486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fortsatte behandlingen av proposition 2020/21:210 om</w:t>
            </w:r>
          </w:p>
          <w:p w14:paraId="3B3296EA" w14:textId="725BE121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Riksrevisionens rapport om transportbidraget</w:t>
            </w:r>
            <w:r>
              <w:rPr>
                <w:sz w:val="24"/>
                <w:szCs w:val="24"/>
              </w:rPr>
              <w:t>.</w:t>
            </w:r>
          </w:p>
          <w:p w14:paraId="49D8A646" w14:textId="176FABDD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32210E5C" w14:textId="6E365F2E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fattade beslut i ärendet. Förslag till betänkande nr 5 justerades.</w:t>
            </w:r>
          </w:p>
          <w:p w14:paraId="36EE49A5" w14:textId="6E8C0200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0C35A9A6" w14:textId="01B9EB4C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5484799B" w14:textId="793A1596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445B0A03" w14:textId="77777777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56B32AE8" w14:textId="472D9825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</w:tc>
      </w:tr>
      <w:tr w:rsidR="00040301" w:rsidRPr="0012669A" w14:paraId="529D206B" w14:textId="77777777" w:rsidTr="00B83053">
        <w:trPr>
          <w:trHeight w:val="567"/>
        </w:trPr>
        <w:tc>
          <w:tcPr>
            <w:tcW w:w="567" w:type="dxa"/>
          </w:tcPr>
          <w:p w14:paraId="0B614B0D" w14:textId="3316AE7C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4BF3587E" w14:textId="78FCDDA2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Kommissionens förslag till reviderat direktiv för förnybara energikällor</w:t>
            </w:r>
            <w:r>
              <w:rPr>
                <w:b/>
                <w:sz w:val="24"/>
                <w:szCs w:val="24"/>
              </w:rPr>
              <w:t xml:space="preserve"> (NU9)</w:t>
            </w:r>
          </w:p>
          <w:p w14:paraId="17CF9779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5884DF10" w14:textId="23CE5AB6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fortsatte granskningen av kommissionens meddelande om förslag till reviderat direktiv för förnybara energikällor </w:t>
            </w:r>
            <w:proofErr w:type="gramStart"/>
            <w:r w:rsidRPr="00040301">
              <w:rPr>
                <w:sz w:val="24"/>
                <w:szCs w:val="24"/>
              </w:rPr>
              <w:t>COM(</w:t>
            </w:r>
            <w:proofErr w:type="gramEnd"/>
            <w:r w:rsidRPr="00040301">
              <w:rPr>
                <w:sz w:val="24"/>
                <w:szCs w:val="24"/>
              </w:rPr>
              <w:t xml:space="preserve">2021) </w:t>
            </w:r>
            <w:r>
              <w:rPr>
                <w:sz w:val="24"/>
                <w:szCs w:val="24"/>
              </w:rPr>
              <w:t>557</w:t>
            </w:r>
            <w:r w:rsidRPr="00040301">
              <w:rPr>
                <w:sz w:val="24"/>
                <w:szCs w:val="24"/>
              </w:rPr>
              <w:t>.</w:t>
            </w:r>
          </w:p>
          <w:p w14:paraId="2E7B4145" w14:textId="77777777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27394994" w14:textId="4E584CF5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fattade beslut i ärendet. Förslag till </w:t>
            </w:r>
            <w:r>
              <w:rPr>
                <w:sz w:val="24"/>
                <w:szCs w:val="24"/>
              </w:rPr>
              <w:t>utlåta</w:t>
            </w:r>
            <w:r w:rsidRPr="00040301">
              <w:rPr>
                <w:sz w:val="24"/>
                <w:szCs w:val="24"/>
              </w:rPr>
              <w:t xml:space="preserve">nde nr </w:t>
            </w:r>
            <w:r>
              <w:rPr>
                <w:sz w:val="24"/>
                <w:szCs w:val="24"/>
              </w:rPr>
              <w:t>9</w:t>
            </w:r>
            <w:r w:rsidRPr="00040301">
              <w:rPr>
                <w:sz w:val="24"/>
                <w:szCs w:val="24"/>
              </w:rPr>
              <w:t xml:space="preserve"> justerades.</w:t>
            </w:r>
          </w:p>
          <w:p w14:paraId="2C8D2EDE" w14:textId="3F4BC8A6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29925740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Reservation anmäldes</w:t>
            </w:r>
          </w:p>
          <w:p w14:paraId="6E2A01F9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5C9A917C" w14:textId="6B1DF72D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dels</w:t>
            </w:r>
            <w:r w:rsidRPr="006712DF">
              <w:rPr>
                <w:sz w:val="24"/>
                <w:szCs w:val="24"/>
              </w:rPr>
              <w:t xml:space="preserve"> av </w:t>
            </w:r>
            <w:r>
              <w:rPr>
                <w:sz w:val="24"/>
                <w:szCs w:val="24"/>
              </w:rPr>
              <w:t>S-, V-</w:t>
            </w:r>
            <w:r w:rsidRPr="006712DF">
              <w:rPr>
                <w:sz w:val="24"/>
                <w:szCs w:val="24"/>
              </w:rPr>
              <w:t xml:space="preserve"> och </w:t>
            </w:r>
            <w:r>
              <w:rPr>
                <w:sz w:val="24"/>
                <w:szCs w:val="24"/>
              </w:rPr>
              <w:t>MP</w:t>
            </w:r>
            <w:r w:rsidRPr="006712DF">
              <w:rPr>
                <w:sz w:val="24"/>
                <w:szCs w:val="24"/>
              </w:rPr>
              <w:t>-ledamöterna,</w:t>
            </w:r>
            <w:r>
              <w:rPr>
                <w:sz w:val="24"/>
                <w:szCs w:val="24"/>
              </w:rPr>
              <w:t xml:space="preserve"> dels av SD-ledamöterna.</w:t>
            </w:r>
          </w:p>
          <w:p w14:paraId="30CC2EC5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595D6584" w14:textId="5D2E23FA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Särskilt yttrande anmäldes</w:t>
            </w:r>
          </w:p>
          <w:p w14:paraId="4E270842" w14:textId="4A74AF08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796BA4B0" w14:textId="1385443C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 SD-ledamöterna.</w:t>
            </w:r>
          </w:p>
          <w:p w14:paraId="2E88D697" w14:textId="5BC86D0F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</w:tc>
      </w:tr>
      <w:tr w:rsidR="00040301" w:rsidRPr="0012669A" w14:paraId="5AA02871" w14:textId="77777777" w:rsidTr="00B83053">
        <w:trPr>
          <w:trHeight w:val="567"/>
        </w:trPr>
        <w:tc>
          <w:tcPr>
            <w:tcW w:w="567" w:type="dxa"/>
          </w:tcPr>
          <w:p w14:paraId="7C5FD3BA" w14:textId="557CDD5B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0BB089E9" w14:textId="77777777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Kommissionens meddelande om en långsiktig vision för EU:s landsbygdsområden (NU8)</w:t>
            </w:r>
          </w:p>
          <w:p w14:paraId="48AED59F" w14:textId="77777777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777A4953" w14:textId="7179DAEC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fortsatte granskningen av kommissionens meddelande om en långsiktig vision för EU:s landsbygdsområden </w:t>
            </w:r>
            <w:proofErr w:type="gramStart"/>
            <w:r w:rsidRPr="00040301">
              <w:rPr>
                <w:sz w:val="24"/>
                <w:szCs w:val="24"/>
              </w:rPr>
              <w:t>COM(</w:t>
            </w:r>
            <w:proofErr w:type="gramEnd"/>
            <w:r w:rsidRPr="00040301">
              <w:rPr>
                <w:sz w:val="24"/>
                <w:szCs w:val="24"/>
              </w:rPr>
              <w:t>2021) 345.</w:t>
            </w:r>
          </w:p>
          <w:p w14:paraId="6AD086CB" w14:textId="5CD00BB6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  <w:p w14:paraId="345E2999" w14:textId="705C0670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fattade beslut i ärendet. Förslag till utlåtande nr </w:t>
            </w:r>
            <w:r>
              <w:rPr>
                <w:sz w:val="24"/>
                <w:szCs w:val="24"/>
              </w:rPr>
              <w:t>8</w:t>
            </w:r>
            <w:r w:rsidRPr="00040301">
              <w:rPr>
                <w:sz w:val="24"/>
                <w:szCs w:val="24"/>
              </w:rPr>
              <w:t xml:space="preserve"> justerades.</w:t>
            </w:r>
          </w:p>
          <w:p w14:paraId="156FF46C" w14:textId="03007EEC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4511D33D" w14:textId="24436ECD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Reservation anmäldes</w:t>
            </w:r>
          </w:p>
          <w:p w14:paraId="49FE7654" w14:textId="420E55C6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3AFD5DEE" w14:textId="3B87164A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 av M- och KD-ledamöterna,</w:t>
            </w:r>
          </w:p>
          <w:p w14:paraId="486ED5D8" w14:textId="5F0EABD0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50E23D6D" w14:textId="5C121DD5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 av SD-ledamöterna,</w:t>
            </w:r>
          </w:p>
          <w:p w14:paraId="3E0F5B68" w14:textId="6E327540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20C91B9A" w14:textId="4DC3CC50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3 av C-ledamöterna,</w:t>
            </w:r>
          </w:p>
          <w:p w14:paraId="6B81E6C3" w14:textId="717EAE8A" w:rsidR="006712DF" w:rsidRDefault="006712DF" w:rsidP="00040301">
            <w:pPr>
              <w:pStyle w:val="Kommentarer"/>
              <w:rPr>
                <w:sz w:val="24"/>
                <w:szCs w:val="24"/>
              </w:rPr>
            </w:pPr>
          </w:p>
          <w:p w14:paraId="23FACCF6" w14:textId="45358598" w:rsidR="006712DF" w:rsidRPr="00040301" w:rsidRDefault="006712DF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4 av L-ledamoten.</w:t>
            </w:r>
          </w:p>
          <w:p w14:paraId="034A7611" w14:textId="764606A8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040301" w:rsidRPr="0012669A" w14:paraId="0CDBCC58" w14:textId="77777777" w:rsidTr="00B83053">
        <w:trPr>
          <w:trHeight w:val="567"/>
        </w:trPr>
        <w:tc>
          <w:tcPr>
            <w:tcW w:w="567" w:type="dxa"/>
          </w:tcPr>
          <w:p w14:paraId="3375429C" w14:textId="19EFC181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93CCA25" w14:textId="09054379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Lagstiftningsåtgärder med anledning av EU:s taxonomiförordning</w:t>
            </w:r>
          </w:p>
          <w:p w14:paraId="76374444" w14:textId="4142E462" w:rsidR="00C06CD1" w:rsidRDefault="00C06CD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74A4A485" w14:textId="29FA3786" w:rsidR="00C06CD1" w:rsidRPr="00C06CD1" w:rsidRDefault="00C06CD1" w:rsidP="00C06CD1">
            <w:pPr>
              <w:pStyle w:val="Kommentarer"/>
              <w:rPr>
                <w:sz w:val="24"/>
                <w:szCs w:val="24"/>
              </w:rPr>
            </w:pPr>
            <w:r w:rsidRPr="00C06CD1">
              <w:rPr>
                <w:sz w:val="24"/>
                <w:szCs w:val="24"/>
              </w:rPr>
              <w:t xml:space="preserve">Utskottet behandlade fråga om yttrande till </w:t>
            </w:r>
            <w:r>
              <w:rPr>
                <w:sz w:val="24"/>
                <w:szCs w:val="24"/>
              </w:rPr>
              <w:t>finansutskottet</w:t>
            </w:r>
            <w:r w:rsidRPr="00C06CD1">
              <w:rPr>
                <w:sz w:val="24"/>
                <w:szCs w:val="24"/>
              </w:rPr>
              <w:t xml:space="preserve"> över </w:t>
            </w:r>
            <w:r>
              <w:rPr>
                <w:sz w:val="24"/>
                <w:szCs w:val="24"/>
              </w:rPr>
              <w:t xml:space="preserve">proposition 2021/22:11 </w:t>
            </w:r>
            <w:r w:rsidRPr="00C06CD1">
              <w:rPr>
                <w:sz w:val="24"/>
                <w:szCs w:val="24"/>
              </w:rPr>
              <w:t xml:space="preserve">om </w:t>
            </w:r>
            <w:r>
              <w:rPr>
                <w:sz w:val="24"/>
                <w:szCs w:val="24"/>
              </w:rPr>
              <w:t>l</w:t>
            </w:r>
            <w:r w:rsidRPr="00C06CD1">
              <w:rPr>
                <w:sz w:val="24"/>
                <w:szCs w:val="24"/>
              </w:rPr>
              <w:t>agstiftningsåtgärder med anledning av EU:s taxonomiförordning</w:t>
            </w:r>
          </w:p>
          <w:p w14:paraId="6B486B70" w14:textId="77777777" w:rsidR="00C06CD1" w:rsidRPr="00C06CD1" w:rsidRDefault="00C06CD1" w:rsidP="00C06CD1">
            <w:pPr>
              <w:pStyle w:val="Kommentarer"/>
              <w:rPr>
                <w:sz w:val="24"/>
                <w:szCs w:val="24"/>
              </w:rPr>
            </w:pPr>
          </w:p>
          <w:p w14:paraId="3E404ADC" w14:textId="151CC1F0" w:rsidR="00C06CD1" w:rsidRDefault="00C06CD1" w:rsidP="00C06CD1">
            <w:pPr>
              <w:pStyle w:val="Kommentarer"/>
              <w:rPr>
                <w:b/>
                <w:sz w:val="24"/>
                <w:szCs w:val="24"/>
              </w:rPr>
            </w:pPr>
            <w:r w:rsidRPr="00C06CD1">
              <w:rPr>
                <w:sz w:val="24"/>
                <w:szCs w:val="24"/>
              </w:rPr>
              <w:t xml:space="preserve">Utskottet beslutade att </w:t>
            </w:r>
            <w:r>
              <w:rPr>
                <w:sz w:val="24"/>
                <w:szCs w:val="24"/>
              </w:rPr>
              <w:t xml:space="preserve">inte </w:t>
            </w:r>
            <w:r w:rsidRPr="00C06CD1">
              <w:rPr>
                <w:sz w:val="24"/>
                <w:szCs w:val="24"/>
              </w:rPr>
              <w:t>yttra sig.</w:t>
            </w:r>
          </w:p>
          <w:p w14:paraId="3489284C" w14:textId="1C23C782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C06CD1" w:rsidRPr="0012669A" w14:paraId="324EA8F2" w14:textId="77777777" w:rsidTr="00B83053">
        <w:trPr>
          <w:trHeight w:val="567"/>
        </w:trPr>
        <w:tc>
          <w:tcPr>
            <w:tcW w:w="567" w:type="dxa"/>
          </w:tcPr>
          <w:p w14:paraId="3041BCFD" w14:textId="797697E9" w:rsidR="00C06CD1" w:rsidRDefault="00C06CD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25BEC4E1" w14:textId="77777777" w:rsidR="00C06CD1" w:rsidRPr="00C06CD1" w:rsidRDefault="00C06CD1" w:rsidP="00C06CD1">
            <w:pPr>
              <w:pStyle w:val="Kommentarer"/>
              <w:rPr>
                <w:b/>
                <w:sz w:val="24"/>
                <w:szCs w:val="24"/>
              </w:rPr>
            </w:pPr>
            <w:r w:rsidRPr="00C06CD1">
              <w:rPr>
                <w:b/>
                <w:sz w:val="24"/>
                <w:szCs w:val="24"/>
              </w:rPr>
              <w:t>Ajournering av sammanträdet</w:t>
            </w:r>
          </w:p>
          <w:p w14:paraId="2293C25C" w14:textId="77777777" w:rsidR="00C06CD1" w:rsidRPr="00C06CD1" w:rsidRDefault="00C06CD1" w:rsidP="00C06CD1">
            <w:pPr>
              <w:pStyle w:val="Kommentarer"/>
              <w:rPr>
                <w:b/>
                <w:sz w:val="24"/>
                <w:szCs w:val="24"/>
              </w:rPr>
            </w:pPr>
          </w:p>
          <w:p w14:paraId="64FBFE10" w14:textId="60956D88" w:rsidR="00C06CD1" w:rsidRPr="00C06CD1" w:rsidRDefault="00C06CD1" w:rsidP="00B83BED">
            <w:pPr>
              <w:pStyle w:val="Kommentarer"/>
              <w:rPr>
                <w:sz w:val="24"/>
                <w:szCs w:val="24"/>
              </w:rPr>
            </w:pPr>
            <w:r w:rsidRPr="00C06CD1">
              <w:rPr>
                <w:sz w:val="24"/>
                <w:szCs w:val="24"/>
              </w:rPr>
              <w:t xml:space="preserve">Sammanträdet ajournerades mellan kl. </w:t>
            </w:r>
            <w:r>
              <w:rPr>
                <w:sz w:val="24"/>
                <w:szCs w:val="24"/>
              </w:rPr>
              <w:t>9.40</w:t>
            </w:r>
            <w:r w:rsidRPr="00C06CD1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0</w:t>
            </w:r>
            <w:r w:rsidRPr="00C06CD1">
              <w:rPr>
                <w:sz w:val="24"/>
                <w:szCs w:val="24"/>
              </w:rPr>
              <w:t>.00.</w:t>
            </w:r>
            <w:r w:rsidR="00B83B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040301" w:rsidRPr="0012669A" w14:paraId="6CF7E855" w14:textId="77777777" w:rsidTr="00B83053">
        <w:trPr>
          <w:trHeight w:val="567"/>
        </w:trPr>
        <w:tc>
          <w:tcPr>
            <w:tcW w:w="567" w:type="dxa"/>
          </w:tcPr>
          <w:p w14:paraId="034B1AE7" w14:textId="19E6AABB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CD1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640B4327" w14:textId="77777777" w:rsid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Medgivande att närvara</w:t>
            </w:r>
            <w:r>
              <w:rPr>
                <w:b/>
                <w:sz w:val="24"/>
                <w:szCs w:val="24"/>
              </w:rPr>
              <w:br/>
            </w:r>
          </w:p>
          <w:p w14:paraId="7353B29B" w14:textId="5C6384AE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 xml:space="preserve">Utskottet medgav att </w:t>
            </w:r>
            <w:r>
              <w:rPr>
                <w:sz w:val="24"/>
                <w:szCs w:val="24"/>
              </w:rPr>
              <w:t>försvarsutskottets</w:t>
            </w:r>
            <w:r w:rsidRPr="00040301">
              <w:rPr>
                <w:sz w:val="24"/>
                <w:szCs w:val="24"/>
              </w:rPr>
              <w:t xml:space="preserve"> ledamöter och kansli fick närvara digitalt under sammanträdet vid punkt </w:t>
            </w:r>
            <w:r w:rsidR="006712D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och </w:t>
            </w:r>
            <w:r w:rsidR="006712DF">
              <w:rPr>
                <w:sz w:val="24"/>
                <w:szCs w:val="24"/>
              </w:rPr>
              <w:t>11</w:t>
            </w:r>
            <w:r w:rsidRPr="00040301">
              <w:rPr>
                <w:sz w:val="24"/>
                <w:szCs w:val="24"/>
              </w:rPr>
              <w:t xml:space="preserve"> på föredragningslistan.</w:t>
            </w:r>
            <w:r w:rsidRPr="00040301">
              <w:rPr>
                <w:sz w:val="24"/>
                <w:szCs w:val="24"/>
              </w:rPr>
              <w:br/>
            </w:r>
          </w:p>
        </w:tc>
      </w:tr>
      <w:tr w:rsidR="00C06CD1" w:rsidRPr="0012669A" w14:paraId="022B266C" w14:textId="77777777" w:rsidTr="00B83053">
        <w:trPr>
          <w:trHeight w:val="567"/>
        </w:trPr>
        <w:tc>
          <w:tcPr>
            <w:tcW w:w="567" w:type="dxa"/>
          </w:tcPr>
          <w:p w14:paraId="7851DEE3" w14:textId="58AA5D78" w:rsidR="00C06CD1" w:rsidRDefault="00C06CD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020" w:type="dxa"/>
          </w:tcPr>
          <w:p w14:paraId="546E4B0D" w14:textId="77777777" w:rsidR="00C06CD1" w:rsidRDefault="00C06CD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C06CD1">
              <w:rPr>
                <w:b/>
                <w:sz w:val="24"/>
                <w:szCs w:val="24"/>
              </w:rPr>
              <w:t>Effekter för svensk kärnkraft av beslut om mellanlagring och slutförvar</w:t>
            </w:r>
          </w:p>
          <w:p w14:paraId="4EB9C55F" w14:textId="77777777" w:rsidR="00C06CD1" w:rsidRDefault="00C06CD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71F89A05" w14:textId="6F8A41B3" w:rsidR="00C06CD1" w:rsidRDefault="00C06CD1" w:rsidP="00040301">
            <w:pPr>
              <w:pStyle w:val="Kommentarer"/>
              <w:rPr>
                <w:sz w:val="24"/>
                <w:szCs w:val="24"/>
              </w:rPr>
            </w:pPr>
            <w:r w:rsidRPr="00C06CD1">
              <w:rPr>
                <w:sz w:val="24"/>
                <w:szCs w:val="24"/>
              </w:rPr>
              <w:t xml:space="preserve">Verkställande direktör Johan Dasht och kommunikationschef Anna </w:t>
            </w:r>
            <w:proofErr w:type="spellStart"/>
            <w:r w:rsidRPr="00C06CD1">
              <w:rPr>
                <w:sz w:val="24"/>
                <w:szCs w:val="24"/>
              </w:rPr>
              <w:t>Porelius</w:t>
            </w:r>
            <w:proofErr w:type="spellEnd"/>
            <w:r w:rsidRPr="00C06CD1">
              <w:rPr>
                <w:sz w:val="24"/>
                <w:szCs w:val="24"/>
              </w:rPr>
              <w:t xml:space="preserve">, Svensk kärnbränslehantering AB (SKB), generaldirektör Nina </w:t>
            </w:r>
            <w:proofErr w:type="spellStart"/>
            <w:r w:rsidRPr="00C06CD1">
              <w:rPr>
                <w:sz w:val="24"/>
                <w:szCs w:val="24"/>
              </w:rPr>
              <w:t>Cromnier</w:t>
            </w:r>
            <w:proofErr w:type="spellEnd"/>
            <w:r>
              <w:rPr>
                <w:sz w:val="24"/>
                <w:szCs w:val="24"/>
              </w:rPr>
              <w:t xml:space="preserve"> och s</w:t>
            </w:r>
            <w:r w:rsidRPr="00C06CD1">
              <w:rPr>
                <w:sz w:val="24"/>
                <w:szCs w:val="24"/>
              </w:rPr>
              <w:t>enior strategisk rådgivare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06CD1">
              <w:rPr>
                <w:sz w:val="24"/>
                <w:szCs w:val="24"/>
              </w:rPr>
              <w:t>Gerhardsson</w:t>
            </w:r>
            <w:r>
              <w:rPr>
                <w:sz w:val="24"/>
                <w:szCs w:val="24"/>
              </w:rPr>
              <w:t xml:space="preserve">, </w:t>
            </w:r>
            <w:r w:rsidRPr="00C06CD1">
              <w:rPr>
                <w:sz w:val="24"/>
                <w:szCs w:val="24"/>
              </w:rPr>
              <w:t>Strålsäkerhetsmyndigheten (SSM), ordförande kommunstyrelsen Andreas Erlandsson, Oskarshamns kommun,</w:t>
            </w:r>
            <w:r w:rsidR="00A718BD">
              <w:t xml:space="preserve"> </w:t>
            </w:r>
            <w:r w:rsidR="00A718BD">
              <w:rPr>
                <w:sz w:val="24"/>
                <w:szCs w:val="24"/>
              </w:rPr>
              <w:t>o</w:t>
            </w:r>
            <w:r w:rsidR="00A718BD" w:rsidRPr="00A718BD">
              <w:rPr>
                <w:sz w:val="24"/>
                <w:szCs w:val="24"/>
              </w:rPr>
              <w:t>rdförande Carl-Reinhold Bråkenhielm</w:t>
            </w:r>
            <w:r w:rsidRPr="00C06CD1">
              <w:rPr>
                <w:sz w:val="24"/>
                <w:szCs w:val="24"/>
              </w:rPr>
              <w:t xml:space="preserve"> </w:t>
            </w:r>
            <w:r w:rsidR="00A718BD">
              <w:rPr>
                <w:sz w:val="24"/>
                <w:szCs w:val="24"/>
              </w:rPr>
              <w:t xml:space="preserve">och </w:t>
            </w:r>
            <w:r w:rsidRPr="00C06CD1">
              <w:rPr>
                <w:sz w:val="24"/>
                <w:szCs w:val="24"/>
              </w:rPr>
              <w:t xml:space="preserve">juridiskt sakkunnig Ingvar Persson, Kärnavfallsrådet, ordförande Åsa Lindstrand och kanslichef Johan Swahn, Miljöorganisationernas kärnavfallsgranskning (MKG), strategichef Andreas Regnell och senior </w:t>
            </w:r>
            <w:r w:rsidR="00A718BD" w:rsidRPr="00A718BD">
              <w:rPr>
                <w:sz w:val="24"/>
                <w:szCs w:val="24"/>
              </w:rPr>
              <w:t xml:space="preserve">policyrådgivare </w:t>
            </w:r>
            <w:r w:rsidRPr="00C06CD1">
              <w:rPr>
                <w:sz w:val="24"/>
                <w:szCs w:val="24"/>
              </w:rPr>
              <w:t>Michelle von Gyllenpalm, Vattenfall AB och generaldirektör Robert Andrén,</w:t>
            </w:r>
            <w:r w:rsidR="00A718BD">
              <w:t xml:space="preserve"> </w:t>
            </w:r>
            <w:r w:rsidR="00A718BD" w:rsidRPr="00A718BD">
              <w:rPr>
                <w:sz w:val="24"/>
                <w:szCs w:val="24"/>
              </w:rPr>
              <w:t>enhetschef Susanne</w:t>
            </w:r>
            <w:r w:rsidR="00A718BD">
              <w:rPr>
                <w:sz w:val="24"/>
                <w:szCs w:val="24"/>
              </w:rPr>
              <w:t xml:space="preserve"> K</w:t>
            </w:r>
            <w:r w:rsidR="00A718BD" w:rsidRPr="00A718BD">
              <w:rPr>
                <w:sz w:val="24"/>
                <w:szCs w:val="24"/>
              </w:rPr>
              <w:t>arlsson</w:t>
            </w:r>
            <w:r w:rsidR="00A718BD">
              <w:rPr>
                <w:sz w:val="24"/>
                <w:szCs w:val="24"/>
              </w:rPr>
              <w:t xml:space="preserve"> och </w:t>
            </w:r>
            <w:r w:rsidRPr="00C06CD1">
              <w:rPr>
                <w:sz w:val="24"/>
                <w:szCs w:val="24"/>
              </w:rPr>
              <w:t xml:space="preserve"> </w:t>
            </w:r>
            <w:r w:rsidR="00A718BD">
              <w:rPr>
                <w:sz w:val="24"/>
                <w:szCs w:val="24"/>
              </w:rPr>
              <w:t>t</w:t>
            </w:r>
            <w:r w:rsidR="00A718BD" w:rsidRPr="00A718BD">
              <w:rPr>
                <w:sz w:val="24"/>
                <w:szCs w:val="24"/>
              </w:rPr>
              <w:t xml:space="preserve">illförordnad enhetschef </w:t>
            </w:r>
            <w:r w:rsidR="00A718BD">
              <w:rPr>
                <w:sz w:val="24"/>
                <w:szCs w:val="24"/>
              </w:rPr>
              <w:t xml:space="preserve">Martin Johansson, </w:t>
            </w:r>
            <w:r w:rsidRPr="00C06CD1">
              <w:rPr>
                <w:sz w:val="24"/>
                <w:szCs w:val="24"/>
              </w:rPr>
              <w:t>Energimyndigheten</w:t>
            </w:r>
            <w:r>
              <w:rPr>
                <w:sz w:val="24"/>
                <w:szCs w:val="24"/>
              </w:rPr>
              <w:t xml:space="preserve">, </w:t>
            </w:r>
            <w:r w:rsidRPr="00C06CD1">
              <w:rPr>
                <w:sz w:val="24"/>
                <w:szCs w:val="24"/>
              </w:rPr>
              <w:t>var uppkopplade per videolänk och lämnade information och svarade på frågor om</w:t>
            </w:r>
            <w:r>
              <w:rPr>
                <w:sz w:val="24"/>
                <w:szCs w:val="24"/>
              </w:rPr>
              <w:t xml:space="preserve"> e</w:t>
            </w:r>
            <w:r w:rsidRPr="00C06CD1">
              <w:rPr>
                <w:sz w:val="24"/>
                <w:szCs w:val="24"/>
              </w:rPr>
              <w:t>ffekter för svensk kärnkraft av beslut om mellanlagring och slutförvar</w:t>
            </w:r>
            <w:r>
              <w:rPr>
                <w:sz w:val="24"/>
                <w:szCs w:val="24"/>
              </w:rPr>
              <w:t>.</w:t>
            </w:r>
          </w:p>
          <w:p w14:paraId="77E0B275" w14:textId="7F42EB5F" w:rsidR="00C06CD1" w:rsidRPr="00C06CD1" w:rsidRDefault="00C06CD1" w:rsidP="00C06CD1">
            <w:pPr>
              <w:pStyle w:val="Kommentarer"/>
              <w:rPr>
                <w:sz w:val="24"/>
                <w:szCs w:val="24"/>
              </w:rPr>
            </w:pPr>
          </w:p>
        </w:tc>
      </w:tr>
      <w:tr w:rsidR="006712DF" w:rsidRPr="0012669A" w14:paraId="638E7749" w14:textId="77777777" w:rsidTr="00B83053">
        <w:trPr>
          <w:trHeight w:val="567"/>
        </w:trPr>
        <w:tc>
          <w:tcPr>
            <w:tcW w:w="567" w:type="dxa"/>
          </w:tcPr>
          <w:p w14:paraId="44855EA3" w14:textId="7C28B663" w:rsidR="006712DF" w:rsidRDefault="006712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66C7D479" w14:textId="77777777" w:rsidR="006712DF" w:rsidRPr="006712DF" w:rsidRDefault="006712DF" w:rsidP="006712DF">
            <w:pPr>
              <w:pStyle w:val="Kommentarer"/>
              <w:rPr>
                <w:b/>
                <w:sz w:val="24"/>
                <w:szCs w:val="24"/>
              </w:rPr>
            </w:pPr>
            <w:r w:rsidRPr="006712DF">
              <w:rPr>
                <w:b/>
                <w:sz w:val="24"/>
                <w:szCs w:val="24"/>
              </w:rPr>
              <w:t>En möjlighet till ny anmälan om avstämning av stöd vid korttidsarbete och ett nytt förfarande vid sen anmälan om avstämning (NU6)</w:t>
            </w:r>
          </w:p>
          <w:p w14:paraId="1B2F1048" w14:textId="77777777" w:rsidR="006712DF" w:rsidRPr="006712DF" w:rsidRDefault="006712DF" w:rsidP="006712DF">
            <w:pPr>
              <w:pStyle w:val="Kommentarer"/>
              <w:rPr>
                <w:b/>
                <w:sz w:val="24"/>
                <w:szCs w:val="24"/>
              </w:rPr>
            </w:pPr>
          </w:p>
          <w:p w14:paraId="6C5A2D5E" w14:textId="2A980C8E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Utskottet fortsatte behandlingen av proposition 2021/22:14 om en möjlighet till ny anmälan om avstämning av stöd vid korttidsarbete och ett nytt förfarande vid sen anmälan om avstämning</w:t>
            </w:r>
            <w:r>
              <w:rPr>
                <w:sz w:val="24"/>
                <w:szCs w:val="24"/>
              </w:rPr>
              <w:t>.</w:t>
            </w:r>
          </w:p>
          <w:p w14:paraId="262660BB" w14:textId="2959A1CE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44EFA17A" w14:textId="15F1C41F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 xml:space="preserve">Utskottet fattade beslut i ärendet. Förslag till utlåtande nr </w:t>
            </w:r>
            <w:r>
              <w:rPr>
                <w:sz w:val="24"/>
                <w:szCs w:val="24"/>
              </w:rPr>
              <w:t>6</w:t>
            </w:r>
            <w:r w:rsidRPr="006712DF">
              <w:rPr>
                <w:sz w:val="24"/>
                <w:szCs w:val="24"/>
              </w:rPr>
              <w:t xml:space="preserve"> justerades.</w:t>
            </w:r>
          </w:p>
          <w:p w14:paraId="38129FD6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3D8A9867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>Reservation anmäldes</w:t>
            </w:r>
          </w:p>
          <w:p w14:paraId="09058216" w14:textId="77777777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  <w:p w14:paraId="6EA11454" w14:textId="63109B18" w:rsidR="006712DF" w:rsidRDefault="006712DF" w:rsidP="006712DF">
            <w:pPr>
              <w:pStyle w:val="Kommentarer"/>
              <w:rPr>
                <w:sz w:val="24"/>
                <w:szCs w:val="24"/>
              </w:rPr>
            </w:pPr>
            <w:r w:rsidRPr="006712DF">
              <w:rPr>
                <w:sz w:val="24"/>
                <w:szCs w:val="24"/>
              </w:rPr>
              <w:t xml:space="preserve">vid punkt </w:t>
            </w:r>
            <w:r>
              <w:rPr>
                <w:sz w:val="24"/>
                <w:szCs w:val="24"/>
              </w:rPr>
              <w:t>2</w:t>
            </w:r>
            <w:r w:rsidRPr="006712DF">
              <w:rPr>
                <w:sz w:val="24"/>
                <w:szCs w:val="24"/>
              </w:rPr>
              <w:t xml:space="preserve"> av </w:t>
            </w:r>
            <w:r>
              <w:rPr>
                <w:sz w:val="24"/>
                <w:szCs w:val="24"/>
              </w:rPr>
              <w:t>S</w:t>
            </w:r>
            <w:r w:rsidRPr="006712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, V-</w:t>
            </w:r>
            <w:r w:rsidRPr="006712DF">
              <w:rPr>
                <w:sz w:val="24"/>
                <w:szCs w:val="24"/>
              </w:rPr>
              <w:t xml:space="preserve"> och </w:t>
            </w:r>
            <w:r>
              <w:rPr>
                <w:sz w:val="24"/>
                <w:szCs w:val="24"/>
              </w:rPr>
              <w:t>MP</w:t>
            </w:r>
            <w:r w:rsidRPr="006712DF">
              <w:rPr>
                <w:sz w:val="24"/>
                <w:szCs w:val="24"/>
              </w:rPr>
              <w:t>-ledamöterna</w:t>
            </w:r>
            <w:r>
              <w:rPr>
                <w:sz w:val="24"/>
                <w:szCs w:val="24"/>
              </w:rPr>
              <w:t>.</w:t>
            </w:r>
          </w:p>
          <w:p w14:paraId="4B8C61BD" w14:textId="13717ABE" w:rsidR="006712DF" w:rsidRPr="006712DF" w:rsidRDefault="006712DF" w:rsidP="006712DF">
            <w:pPr>
              <w:pStyle w:val="Kommentarer"/>
              <w:rPr>
                <w:sz w:val="24"/>
                <w:szCs w:val="24"/>
              </w:rPr>
            </w:pPr>
          </w:p>
        </w:tc>
      </w:tr>
      <w:tr w:rsidR="00B83BED" w:rsidRPr="0012669A" w14:paraId="69AFB44E" w14:textId="77777777" w:rsidTr="00B83053">
        <w:trPr>
          <w:trHeight w:val="567"/>
        </w:trPr>
        <w:tc>
          <w:tcPr>
            <w:tcW w:w="567" w:type="dxa"/>
          </w:tcPr>
          <w:p w14:paraId="6BB759FF" w14:textId="7E98249E" w:rsidR="00B83BED" w:rsidRDefault="00B83BE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4D94B9AB" w14:textId="77777777" w:rsidR="00B83BED" w:rsidRPr="00B83BED" w:rsidRDefault="00B83BED" w:rsidP="00B83BED">
            <w:pPr>
              <w:pStyle w:val="Kommentarer"/>
              <w:rPr>
                <w:b/>
                <w:sz w:val="24"/>
                <w:szCs w:val="24"/>
              </w:rPr>
            </w:pPr>
            <w:r w:rsidRPr="00B83BED">
              <w:rPr>
                <w:b/>
                <w:sz w:val="24"/>
                <w:szCs w:val="24"/>
              </w:rPr>
              <w:t>Ajournering av sammanträdet</w:t>
            </w:r>
          </w:p>
          <w:p w14:paraId="5DA3AD4F" w14:textId="77777777" w:rsidR="00B83BED" w:rsidRPr="00B83BED" w:rsidRDefault="00B83BED" w:rsidP="00B83BED">
            <w:pPr>
              <w:pStyle w:val="Kommentarer"/>
              <w:rPr>
                <w:b/>
                <w:sz w:val="24"/>
                <w:szCs w:val="24"/>
              </w:rPr>
            </w:pPr>
          </w:p>
          <w:p w14:paraId="7F42F204" w14:textId="77777777" w:rsidR="00B83BED" w:rsidRDefault="00B83BED" w:rsidP="00B83BED">
            <w:pPr>
              <w:pStyle w:val="Kommentarer"/>
              <w:rPr>
                <w:sz w:val="24"/>
                <w:szCs w:val="24"/>
              </w:rPr>
            </w:pPr>
            <w:r w:rsidRPr="00B83BED">
              <w:rPr>
                <w:sz w:val="24"/>
                <w:szCs w:val="24"/>
              </w:rPr>
              <w:t>Sammanträdet ajournerades mellan kl. 11.20–11.30.</w:t>
            </w:r>
          </w:p>
          <w:p w14:paraId="740472A9" w14:textId="1101706E" w:rsidR="00B83BED" w:rsidRPr="00B83BED" w:rsidRDefault="00B83BED" w:rsidP="00B83BED">
            <w:pPr>
              <w:pStyle w:val="Kommentarer"/>
              <w:rPr>
                <w:sz w:val="24"/>
                <w:szCs w:val="24"/>
              </w:rPr>
            </w:pPr>
          </w:p>
        </w:tc>
      </w:tr>
      <w:tr w:rsidR="004D15DF" w:rsidRPr="0012669A" w14:paraId="06CCB392" w14:textId="77777777" w:rsidTr="00B83053">
        <w:trPr>
          <w:trHeight w:val="567"/>
        </w:trPr>
        <w:tc>
          <w:tcPr>
            <w:tcW w:w="567" w:type="dxa"/>
          </w:tcPr>
          <w:p w14:paraId="386EF3A3" w14:textId="7E831360" w:rsidR="004D15DF" w:rsidRDefault="004D15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CD1">
              <w:rPr>
                <w:b/>
                <w:snapToGrid w:val="0"/>
              </w:rPr>
              <w:t>1</w:t>
            </w:r>
            <w:r w:rsidR="00B83BE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26E78DA" w14:textId="77777777" w:rsidR="004D15DF" w:rsidRDefault="00C06CD1" w:rsidP="004D15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06CD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Effekter för svensk kärnkraft av beslut om mellanlagring och slutförvar</w:t>
            </w:r>
          </w:p>
          <w:p w14:paraId="1D1C9A44" w14:textId="77777777" w:rsidR="00C06CD1" w:rsidRDefault="00C06CD1" w:rsidP="004D15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93E14B5" w14:textId="4D17A5AB" w:rsidR="00C06CD1" w:rsidRDefault="00C06CD1" w:rsidP="004D15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C06CD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Statsrådet Per Bolund, åtföljd av medarbetare från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06CD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Miljödepartementet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C06CD1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lämnade information och svarade på frågor om effekter för svensk kärnkraft av beslut om mellanlagring och slutförvar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138595B3" w14:textId="08CC8605" w:rsidR="00C06CD1" w:rsidRPr="00C06CD1" w:rsidRDefault="00C06CD1" w:rsidP="004D15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712DF" w:rsidRPr="0012669A" w14:paraId="29816116" w14:textId="77777777" w:rsidTr="00B83053">
        <w:trPr>
          <w:trHeight w:val="567"/>
        </w:trPr>
        <w:tc>
          <w:tcPr>
            <w:tcW w:w="567" w:type="dxa"/>
          </w:tcPr>
          <w:p w14:paraId="6D3327BB" w14:textId="6429C25E" w:rsidR="006712DF" w:rsidRDefault="006712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036D42B8" w14:textId="77777777" w:rsidR="006712DF" w:rsidRPr="006712DF" w:rsidRDefault="006712DF" w:rsidP="006712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712D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Rådet för transport, telekommunikation och energi (TTE)</w:t>
            </w:r>
          </w:p>
          <w:p w14:paraId="11A54EEF" w14:textId="77777777" w:rsidR="006712DF" w:rsidRPr="006712DF" w:rsidRDefault="006712DF" w:rsidP="006712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D1E23F" w14:textId="5F97D8E4" w:rsidR="006712DF" w:rsidRDefault="006712DF" w:rsidP="006712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Statsrådet Anders </w:t>
            </w:r>
            <w:proofErr w:type="spellStart"/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Ygeman</w:t>
            </w:r>
            <w:proofErr w:type="spellEnd"/>
            <w:r w:rsidRPr="006712D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åtföljd av medarbetare från </w:t>
            </w:r>
            <w:r w:rsidRPr="006712D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Infrastrukturdepartementet, var uppkopplad per videolänk och lämnade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information inför rådets möte den 26 oktober 2021.</w:t>
            </w:r>
          </w:p>
          <w:p w14:paraId="5F687E8A" w14:textId="46CB5A8F" w:rsidR="00B83BED" w:rsidRDefault="00B83BED" w:rsidP="006712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025E0568" w14:textId="6C021802" w:rsidR="00B83BED" w:rsidRDefault="00B83BED" w:rsidP="006712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275FEB88" w14:textId="25DB930E" w:rsidR="00B83BED" w:rsidRDefault="00B83BED" w:rsidP="006712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73A540F9" w14:textId="77777777" w:rsidR="00B83BED" w:rsidRPr="006712DF" w:rsidRDefault="00B83BED" w:rsidP="006712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5E882F09" w14:textId="5D3BC7AD" w:rsidR="006712DF" w:rsidRPr="004D15DF" w:rsidRDefault="006712DF" w:rsidP="00B83BED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492A6FAB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8D3FB5">
              <w:rPr>
                <w:b/>
                <w:snapToGrid w:val="0"/>
              </w:rPr>
              <w:t>1</w:t>
            </w:r>
            <w:r w:rsidR="00B83BED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5692B00F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B83BED">
              <w:rPr>
                <w:rFonts w:eastAsiaTheme="minorHAnsi"/>
                <w:color w:val="000000"/>
                <w:lang w:eastAsia="en-US"/>
              </w:rPr>
              <w:t>26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11.00.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314B4464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3BED">
              <w:t>26</w:t>
            </w:r>
            <w:r w:rsidR="00413E7B">
              <w:t xml:space="preserve">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0B8EAF8D" w14:textId="4F01BC88" w:rsidR="00040301" w:rsidRDefault="00040301">
      <w:r>
        <w:br/>
      </w:r>
    </w:p>
    <w:p w14:paraId="10AA9A81" w14:textId="77777777" w:rsidR="00040301" w:rsidRDefault="00040301">
      <w:r>
        <w:br w:type="page"/>
      </w:r>
    </w:p>
    <w:p w14:paraId="07973610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577"/>
        <w:gridCol w:w="283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7D476370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B83BE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16C34944" w14:textId="77777777" w:rsidTr="00505707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4AA0CE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C06CD1">
              <w:rPr>
                <w:rFonts w:ascii="Times New Roman" w:hAnsi="Times New Roman"/>
                <w:sz w:val="20"/>
                <w:szCs w:val="20"/>
              </w:rPr>
              <w:t>1</w:t>
            </w:r>
            <w:r w:rsidR="00B751B7" w:rsidRPr="00B751B7">
              <w:rPr>
                <w:rFonts w:ascii="Times New Roman" w:hAnsi="Times New Roman"/>
                <w:sz w:val="20"/>
                <w:szCs w:val="20"/>
              </w:rPr>
              <w:t>–</w:t>
            </w:r>
            <w:r w:rsidR="005057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0D794C6A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505707">
              <w:rPr>
                <w:rFonts w:ascii="Times New Roman" w:hAnsi="Times New Roman"/>
                <w:sz w:val="20"/>
                <w:szCs w:val="20"/>
              </w:rPr>
              <w:t>3</w:t>
            </w:r>
            <w:r w:rsidR="00505707" w:rsidRPr="00505707">
              <w:rPr>
                <w:rFonts w:ascii="Times New Roman" w:hAnsi="Times New Roman"/>
                <w:sz w:val="20"/>
                <w:szCs w:val="20"/>
              </w:rPr>
              <w:t>–</w:t>
            </w:r>
            <w:r w:rsidR="0050570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37A0EC66" w14:textId="58F2EB8C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505707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05707">
              <w:rPr>
                <w:rFonts w:ascii="Times New Roman" w:hAnsi="Times New Roman"/>
                <w:sz w:val="20"/>
                <w:szCs w:val="20"/>
              </w:rPr>
              <w:t>–1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3399CDF6" w14:textId="738DA21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505707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505707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505707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BF60C52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6A9D7BC6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7A433D83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260D5F" w14:textId="6DDA66F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505707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29438E3E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36A24315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009BBAC3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0E3DAD" w14:textId="3C40C09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505707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1FB49C18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9F4428A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71587B2A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449B63" w14:textId="1A974C7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505707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6ED507B4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AA96DAA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6A7A0087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840F81" w14:textId="6AFC6D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505707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7D956D10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50E1022D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2584E68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7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C37AE9" w14:textId="51274EE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505707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6885F592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631D5615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0F8F7EC1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505707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16A0A8E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0EAF64DF" w:rsidR="002770CB" w:rsidRPr="0093041C" w:rsidRDefault="00B83BE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0EFE637F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DE0E0B" w14:textId="0BA128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505707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65A67CA9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77C4662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503BA726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50D0BF" w14:textId="1EBEE49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505707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F094705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5A506DF" w:rsidR="001527D1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1B88367F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94B033" w14:textId="60C912F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505707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212B25B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35EB5BBD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0A6A953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A757060" w14:textId="4A0A5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505707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61F66CAC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705A128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539F69DF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17667D" w14:textId="0F51F4C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505707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5B3E4DD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E045706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25AD71A5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FE4804" w14:textId="76D5FCB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505707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215FDF15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578B2C56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09ED946C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0BBC2C" w14:textId="53C1C79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505707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5FDF893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1130D110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7A639FAA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3CC1D1" w14:textId="55E9D6F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505707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2B361857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1C35702F" w:rsidR="002770CB" w:rsidRPr="0093041C" w:rsidRDefault="00B83BE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5AF131F2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EA6CDD" w14:textId="4FC109D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505707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55507BAD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569BC60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7215EE0C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2644F1" w14:textId="2DB74D6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505707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0BA56CEC" w:rsidR="002770CB" w:rsidRPr="0012669A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646C81E5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4E5A3A18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2770CB" w:rsidRPr="0012669A" w14:paraId="068621C1" w14:textId="77777777" w:rsidTr="00505707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505707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2C7B69ED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1C011EC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76738EBF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7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6D4847" w14:textId="642D261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505707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17F79A89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307C5B82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4A382208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7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B00835" w14:textId="6AA567D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505707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505707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505707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10F02DD9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2DCF5CB9" w:rsidR="002770CB" w:rsidRPr="0093041C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667E756E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505707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04A2F7E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505707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298BC5E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758763F0" w:rsidR="002770CB" w:rsidRPr="0093041C" w:rsidRDefault="00B83BE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56F2917D" w:rsidR="002770CB" w:rsidRPr="0012669A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77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4F4520" w14:textId="5BDC0CE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505707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708340F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6986B965" w:rsidR="002D58EB" w:rsidRPr="0093041C" w:rsidRDefault="002D58E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1B09FEF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06E5A76" w14:textId="5D26229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505707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505707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505707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505707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505707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505707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505707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505707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505707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505707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505707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505707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505707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D72982" w14:paraId="37F692D8" w14:textId="77777777" w:rsidTr="00505707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7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505707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61EFFD1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61890E2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7660256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505707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FC02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F5F8D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629F94BD" w:rsidR="0032557B" w:rsidRPr="005F47A3" w:rsidRDefault="00F46E94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529" w:rsidRPr="00040301" w14:paraId="5CCEC173" w14:textId="77777777" w:rsidTr="00505707">
        <w:tc>
          <w:tcPr>
            <w:tcW w:w="3401" w:type="dxa"/>
            <w:tcBorders>
              <w:bottom w:val="single" w:sz="4" w:space="0" w:color="auto"/>
            </w:tcBorders>
          </w:tcPr>
          <w:p w14:paraId="669E00F1" w14:textId="294F0AE3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040301">
              <w:rPr>
                <w:rFonts w:ascii="Times New Roman" w:hAnsi="Times New Roman"/>
                <w:sz w:val="20"/>
                <w:szCs w:val="20"/>
              </w:rPr>
              <w:t>Alexander Christiansson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971A28" w14:textId="645061BD" w:rsidR="00A52529" w:rsidRPr="00040301" w:rsidRDefault="0004030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0301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34CFD" w14:textId="77777777" w:rsidR="00A52529" w:rsidRPr="00040301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3D8BA9" w14:textId="314521F0" w:rsidR="00A52529" w:rsidRPr="00040301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38EB7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126BE6D" w14:textId="32C45F2C" w:rsidR="00A52529" w:rsidRPr="00040301" w:rsidRDefault="00505707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6641B11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96F08E2" w14:textId="4ECDA49D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B4984C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37F6A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7BDD41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4E3AEA0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DAF09D2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F1871AB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CD5F53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 w:rsidP="00B751B7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FE35" w14:textId="77777777" w:rsidR="00FF16FC" w:rsidRDefault="00FF16FC" w:rsidP="002130F1">
      <w:r>
        <w:separator/>
      </w:r>
    </w:p>
  </w:endnote>
  <w:endnote w:type="continuationSeparator" w:id="0">
    <w:p w14:paraId="0C05074D" w14:textId="77777777" w:rsidR="00FF16FC" w:rsidRDefault="00FF16FC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C20B6" w14:textId="77777777" w:rsidR="00FF16FC" w:rsidRDefault="00FF16FC" w:rsidP="002130F1">
      <w:r>
        <w:separator/>
      </w:r>
    </w:p>
  </w:footnote>
  <w:footnote w:type="continuationSeparator" w:id="0">
    <w:p w14:paraId="5A989BF4" w14:textId="77777777" w:rsidR="00FF16FC" w:rsidRDefault="00FF16FC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4C87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2B6B"/>
    <w:rsid w:val="00C054A4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715"/>
    <w:rsid w:val="00F36DF3"/>
    <w:rsid w:val="00F37EFC"/>
    <w:rsid w:val="00F40ADD"/>
    <w:rsid w:val="00F41018"/>
    <w:rsid w:val="00F41B6D"/>
    <w:rsid w:val="00F428E6"/>
    <w:rsid w:val="00F448B7"/>
    <w:rsid w:val="00F45CCC"/>
    <w:rsid w:val="00F46E94"/>
    <w:rsid w:val="00F511F5"/>
    <w:rsid w:val="00F532FD"/>
    <w:rsid w:val="00F5338C"/>
    <w:rsid w:val="00F53585"/>
    <w:rsid w:val="00F572EB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BF41-344B-4EFE-8820-D596B27B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896</Words>
  <Characters>6301</Characters>
  <Application>Microsoft Office Word</Application>
  <DocSecurity>0</DocSecurity>
  <Lines>1260</Lines>
  <Paragraphs>276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2021-10-12T10:04:00Z</cp:lastPrinted>
  <dcterms:created xsi:type="dcterms:W3CDTF">2021-10-21T12:23:00Z</dcterms:created>
  <dcterms:modified xsi:type="dcterms:W3CDTF">2021-10-21T12:58:00Z</dcterms:modified>
</cp:coreProperties>
</file>