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3B75E7">
        <w:trPr>
          <w:gridAfter w:val="2"/>
          <w:wAfter w:w="1758" w:type="dxa"/>
          <w:cantSplit/>
          <w:trHeight w:val="1320"/>
        </w:trPr>
        <w:tc>
          <w:tcPr>
            <w:tcW w:w="5897" w:type="dxa"/>
          </w:tcPr>
          <w:p w:rsidR="002765F1" w:rsidRPr="003B75E7" w:rsidRDefault="002765F1">
            <w:pPr>
              <w:pStyle w:val="HuvudRubrik"/>
            </w:pPr>
            <w:r w:rsidRPr="003B75E7">
              <w:t>Regeringskansliet</w:t>
            </w:r>
          </w:p>
          <w:p w:rsidR="002765F1" w:rsidRPr="003B75E7" w:rsidRDefault="002765F1">
            <w:pPr>
              <w:pStyle w:val="HuvudRubrik"/>
            </w:pPr>
            <w:r w:rsidRPr="003B75E7">
              <w:t>Faktapromemoria  2011/12:FPM115</w:t>
            </w:r>
          </w:p>
        </w:tc>
      </w:tr>
      <w:tr w:rsidR="00000000" w:rsidRPr="003B75E7">
        <w:trPr>
          <w:gridAfter w:val="2"/>
          <w:wAfter w:w="1758" w:type="dxa"/>
          <w:cantSplit/>
          <w:trHeight w:val="240"/>
        </w:trPr>
        <w:tc>
          <w:tcPr>
            <w:tcW w:w="5897" w:type="dxa"/>
          </w:tcPr>
          <w:p w:rsidR="002765F1" w:rsidRPr="003B75E7" w:rsidRDefault="002765F1">
            <w:pPr>
              <w:pStyle w:val="HuvudRubrik"/>
              <w:rPr>
                <w:sz w:val="28"/>
              </w:rPr>
            </w:pPr>
            <w:r w:rsidRPr="003B75E7">
              <w:t>Mätning av brottslighet i EU: Statistisk handlingsplan 2011-2015</w:t>
            </w:r>
          </w:p>
        </w:tc>
      </w:tr>
      <w:tr w:rsidR="00000000" w:rsidRPr="003B75E7">
        <w:trPr>
          <w:cantSplit/>
          <w:trHeight w:val="285"/>
        </w:trPr>
        <w:tc>
          <w:tcPr>
            <w:tcW w:w="7655" w:type="dxa"/>
            <w:gridSpan w:val="3"/>
          </w:tcPr>
          <w:p w:rsidR="002765F1" w:rsidRPr="003B75E7" w:rsidRDefault="002765F1">
            <w:pPr>
              <w:pStyle w:val="Departement"/>
              <w:rPr>
                <w:sz w:val="28"/>
              </w:rPr>
            </w:pPr>
            <w:r w:rsidRPr="003B75E7">
              <w:t>Justitiedepartementet</w:t>
            </w:r>
          </w:p>
        </w:tc>
      </w:tr>
      <w:tr w:rsidR="00000000" w:rsidRPr="003B75E7">
        <w:trPr>
          <w:cantSplit/>
          <w:trHeight w:val="240"/>
        </w:trPr>
        <w:tc>
          <w:tcPr>
            <w:tcW w:w="7655" w:type="dxa"/>
            <w:gridSpan w:val="3"/>
          </w:tcPr>
          <w:p w:rsidR="002765F1" w:rsidRPr="003B75E7" w:rsidRDefault="002765F1">
            <w:pPr>
              <w:pStyle w:val="Dokumentdatum"/>
            </w:pPr>
            <w:r w:rsidRPr="003B75E7">
              <w:t>2012-02-22</w:t>
            </w:r>
          </w:p>
        </w:tc>
      </w:tr>
      <w:tr w:rsidR="00000000" w:rsidRPr="003B75E7">
        <w:trPr>
          <w:cantSplit/>
          <w:trHeight w:val="726"/>
        </w:trPr>
        <w:tc>
          <w:tcPr>
            <w:tcW w:w="7655" w:type="dxa"/>
            <w:gridSpan w:val="3"/>
            <w:vAlign w:val="bottom"/>
          </w:tcPr>
          <w:p w:rsidR="002765F1" w:rsidRPr="003B75E7" w:rsidRDefault="002765F1">
            <w:pPr>
              <w:pStyle w:val="Dokumentbeteckning"/>
            </w:pPr>
            <w:r w:rsidRPr="003B75E7">
              <w:t>Dokumentbeteckning</w:t>
            </w:r>
          </w:p>
        </w:tc>
      </w:tr>
      <w:tr w:rsidR="00000000" w:rsidRPr="003B75E7">
        <w:trPr>
          <w:gridAfter w:val="1"/>
          <w:wAfter w:w="1560" w:type="dxa"/>
          <w:trHeight w:val="120"/>
        </w:trPr>
        <w:tc>
          <w:tcPr>
            <w:tcW w:w="6095" w:type="dxa"/>
            <w:gridSpan w:val="2"/>
          </w:tcPr>
          <w:p w:rsidR="002765F1" w:rsidRPr="003B75E7" w:rsidRDefault="002765F1">
            <w:bookmarkStart w:id="0" w:name="KomNr"/>
            <w:bookmarkEnd w:id="0"/>
            <w:r w:rsidRPr="003B75E7">
              <w:t>KOM (2011) 713</w:t>
            </w:r>
          </w:p>
        </w:tc>
      </w:tr>
      <w:tr w:rsidR="00000000" w:rsidRPr="003B75E7">
        <w:trPr>
          <w:gridAfter w:val="1"/>
          <w:wAfter w:w="1560" w:type="dxa"/>
          <w:trHeight w:val="120"/>
        </w:trPr>
        <w:tc>
          <w:tcPr>
            <w:tcW w:w="6095" w:type="dxa"/>
            <w:gridSpan w:val="2"/>
          </w:tcPr>
          <w:p w:rsidR="002765F1" w:rsidRPr="003B75E7" w:rsidRDefault="002765F1">
            <w:pPr>
              <w:pStyle w:val="Dokumentbeteckning-titel"/>
            </w:pPr>
            <w:r w:rsidRPr="003B75E7">
              <w:t>Meddelande från kommissionen till Europaparlamentet och rådet. Mätning av brottslighet i EU: Statistisk handlingsplan 2011-2015</w:t>
            </w:r>
          </w:p>
        </w:tc>
      </w:tr>
    </w:tbl>
    <w:p w:rsidR="002765F1" w:rsidRPr="003B75E7" w:rsidRDefault="002765F1">
      <w:pPr>
        <w:pStyle w:val="Rubrik1"/>
        <w:numPr>
          <w:ilvl w:val="0"/>
          <w:numId w:val="0"/>
        </w:numPr>
      </w:pPr>
      <w:r w:rsidRPr="003B75E7">
        <w:t>Sammanfattning</w:t>
      </w:r>
    </w:p>
    <w:p w:rsidR="002765F1" w:rsidRPr="003B75E7" w:rsidRDefault="002765F1">
      <w:r w:rsidRPr="003B75E7">
        <w:t xml:space="preserve">Handlingsplanen om mätning av brottslighet i EU 2011–2015 tar vid där den förra handlingsplanen 2006–2010 lämnade </w:t>
      </w:r>
      <w:bookmarkStart w:id="1" w:name="_GoBack"/>
      <w:bookmarkEnd w:id="1"/>
      <w:r w:rsidRPr="003B75E7">
        <w:t>av, men är mer fokuserad och specifik. Under perioden 2011–2015 ska de mekanismer som byggs upp under föregående period utnyttjas för att fortsätta utveckla kvalitén på data och samla in data på flera områden av relevans för den inre säkerheten och på sådana områden som prioriteras av medlemsstaterna i kampen mot brottsligheten. Samtidigt ska alla möjligheter till rationalisering av datainsamling och -publicering tillvaratas. Kommissionen har ansvaret för genomförandet av handlingsplanen, i samverkan med en</w:t>
      </w:r>
      <w:r w:rsidRPr="003B75E7">
        <w:t xml:space="preserve"> expertgrupp med bl.a. representanter för medlemsstaterna. Regeringen ställer sig positiv till handlingsplanen och kommer fortsatt bevaka att det arbete som prioriteras är att utveckla statistik som har relevans för politikområdet och som går att jämföra mellan medlemsstaterna.</w:t>
      </w:r>
    </w:p>
    <w:p w:rsidR="002765F1" w:rsidRPr="003B75E7" w:rsidRDefault="002765F1">
      <w:pPr>
        <w:pStyle w:val="Rubrik1"/>
        <w:spacing w:before="480"/>
      </w:pPr>
      <w:r w:rsidRPr="003B75E7">
        <w:t>Förslaget</w:t>
      </w:r>
    </w:p>
    <w:p w:rsidR="002765F1" w:rsidRPr="003B75E7" w:rsidRDefault="002765F1">
      <w:pPr>
        <w:pStyle w:val="Rubrik2"/>
      </w:pPr>
      <w:r w:rsidRPr="003B75E7">
        <w:t>Ärendets bakgrund</w:t>
      </w:r>
    </w:p>
    <w:p w:rsidR="002765F1" w:rsidRPr="003B75E7" w:rsidRDefault="002765F1">
      <w:r w:rsidRPr="003B75E7">
        <w:t>Kommissionen antog 2006 en handlingsplan (2006–2010) för att utveckla en övergripande och enhetlig EU-strategi för mätning av brottslighet och straffrättskipning</w:t>
      </w:r>
      <w:r w:rsidRPr="003B75E7">
        <w:rPr>
          <w:rStyle w:val="Fotnotsreferens"/>
        </w:rPr>
        <w:footnoteReference w:id="1"/>
      </w:r>
      <w:r w:rsidRPr="003B75E7">
        <w:t xml:space="preserve"> och inrättade samtidigt en expertgrupp</w:t>
      </w:r>
      <w:r w:rsidRPr="003B75E7">
        <w:rPr>
          <w:rStyle w:val="Fotnotsreferens"/>
        </w:rPr>
        <w:footnoteReference w:id="2"/>
      </w:r>
      <w:r w:rsidRPr="003B75E7">
        <w:t xml:space="preserve"> som skulle stödja </w:t>
      </w:r>
      <w:r w:rsidRPr="003B75E7">
        <w:lastRenderedPageBreak/>
        <w:t>kommissionen i genomförandet av handlingsplanen. I Stockholmsprogrammet</w:t>
      </w:r>
      <w:r w:rsidRPr="003B75E7">
        <w:rPr>
          <w:rStyle w:val="Fotnotsreferens"/>
        </w:rPr>
        <w:footnoteReference w:id="3"/>
      </w:r>
      <w:r w:rsidRPr="003B75E7">
        <w:t xml:space="preserve"> uppmanar Europeiska rådet kommissionen att ”fortsätta utveckla statistiska verktyg för mätning av brott och brottslig verksamhet och reflektera över en vidareutveckling efter 2010 (…), med tanke på det ökade behovet av sådan statistik (…)”. Europeiska rådet pekar också ut det särskilda behovet av statistik på de områden som berörs av strategin för den inre säkerheten</w:t>
      </w:r>
      <w:r w:rsidRPr="003B75E7">
        <w:rPr>
          <w:rStyle w:val="Fotnotsreferens"/>
        </w:rPr>
        <w:footnoteReference w:id="4"/>
      </w:r>
      <w:r w:rsidRPr="003B75E7">
        <w:t>: människohandel, penningtvätt, it-brottslighet och korruption.”</w:t>
      </w:r>
    </w:p>
    <w:p w:rsidR="002765F1" w:rsidRPr="003B75E7" w:rsidRDefault="002765F1">
      <w:r w:rsidRPr="003B75E7">
        <w:t xml:space="preserve">Kommissionen presenterade sitt meddelande om handlingsplanen 2011–2015 den 18 januari 2012. I meddelandet aviserar också kommissionen sin avsikt att inrätta en expertgrupp </w:t>
      </w:r>
    </w:p>
    <w:p w:rsidR="002765F1" w:rsidRPr="003B75E7" w:rsidRDefault="002765F1">
      <w:pPr>
        <w:pStyle w:val="Rubrik2"/>
      </w:pPr>
      <w:r w:rsidRPr="003B75E7">
        <w:t>Förslagets innehåll</w:t>
      </w:r>
    </w:p>
    <w:p w:rsidR="002765F1" w:rsidRPr="003B75E7" w:rsidRDefault="002765F1">
      <w:r w:rsidRPr="003B75E7">
        <w:t>Syftet med handlingsplanen för 2011–2015 är att fortsätta och vidareutveckla det arbete som påbörjades 2006, med inriktning på att till fullo utnyttja de strukturer som byggts upp under den föregående perioden, och öka leveransen av statistik. De mål som sätts i handlingsplanen bygger, vad gäller brottstyper, på prioriteringar genom strategin för den inre säkerheten, och på rekommendationer från den tidigare expertgruppen.</w:t>
      </w:r>
    </w:p>
    <w:p w:rsidR="002765F1" w:rsidRPr="003B75E7" w:rsidRDefault="002765F1">
      <w:r w:rsidRPr="003B75E7">
        <w:t xml:space="preserve">Målen för handlingsplanen är: </w:t>
      </w:r>
    </w:p>
    <w:p w:rsidR="002765F1" w:rsidRPr="003B75E7" w:rsidRDefault="002765F1">
      <w:r w:rsidRPr="003B75E7">
        <w:t xml:space="preserve">Att fortsätta utveckla samarbetet på olika nivåer för att uppnå synergieffekter och få (genom en ny expertgrupp) stöd i definitionen av politisk relevans; </w:t>
      </w:r>
    </w:p>
    <w:p w:rsidR="002765F1" w:rsidRPr="003B75E7" w:rsidRDefault="002765F1">
      <w:r w:rsidRPr="003B75E7">
        <w:t>Att förbättra uppgifternas kvalitet genom bl.a. arbete med klassificeringssystem och riktlinjer;</w:t>
      </w:r>
    </w:p>
    <w:p w:rsidR="002765F1" w:rsidRPr="003B75E7" w:rsidRDefault="002765F1">
      <w:r w:rsidRPr="003B75E7">
        <w:t>Att utveckla analysen av statistiken och spridningen av resultaten bl.a. genom framtagandet av en rapport om brottsligheten i EU; och</w:t>
      </w:r>
    </w:p>
    <w:p w:rsidR="002765F1" w:rsidRPr="003B75E7" w:rsidRDefault="002765F1">
      <w:r w:rsidRPr="003B75E7">
        <w:t>Att fortsätta utveckla indikatorer och göra särskilda uppgiftsinsamlingar, särskilt när det gäller brottsligheten inom näringslivet och om de brottstyper som prioriteras i strategin för den inre säkerheten.</w:t>
      </w:r>
    </w:p>
    <w:p w:rsidR="002765F1" w:rsidRPr="003B75E7" w:rsidRDefault="002765F1">
      <w:r w:rsidRPr="003B75E7">
        <w:t>Kommissionen öppnar också upp för att uppgifter ska samlas in, som kan belysa effekten av straffrättsliga åtgärder på EU-nivå.</w:t>
      </w:r>
    </w:p>
    <w:p w:rsidR="002765F1" w:rsidRPr="003B75E7" w:rsidRDefault="002765F1">
      <w:pPr>
        <w:pStyle w:val="Rubrik2"/>
      </w:pPr>
      <w:r w:rsidRPr="003B75E7">
        <w:t>Gällande svenska regler och förslagets effekt på dessa</w:t>
      </w:r>
    </w:p>
    <w:p w:rsidR="002765F1" w:rsidRPr="003B75E7" w:rsidRDefault="002765F1">
      <w:r w:rsidRPr="003B75E7">
        <w:t>Meddelandet innehåller inte några förslag som påverkar svenska regler. Sverige har sedan lång tid tillbaka centraliserad datainsamling och en utpekad ansvarig nationell myndighet för den officiella statistiken på det aktuella området, något som kommissionen i handlingsplanen lyfter fram som en nödvändig förutsättning i medlemsstaterna.</w:t>
      </w:r>
    </w:p>
    <w:p w:rsidR="002765F1" w:rsidRPr="003B75E7" w:rsidRDefault="002765F1">
      <w:pPr>
        <w:pStyle w:val="Rubrik2"/>
      </w:pPr>
      <w:r w:rsidRPr="003B75E7">
        <w:t>Budgetära konsekvenser / Konsekvensanalys</w:t>
      </w:r>
    </w:p>
    <w:p w:rsidR="002765F1" w:rsidRPr="003B75E7" w:rsidRDefault="002765F1">
      <w:r w:rsidRPr="003B75E7">
        <w:t>De i handlingsplanen förutsedda men inte specificerade datainsamlingarna gällande bl.a. korruption, it-brottslighet och näringslivets utsatthet för brottslighet kan innebära särskilda kostnader för svenska statistik- och registerförande myndigheter. Det är dock inte möjligt att i nuläget uppskatta de faktiska budgetära konsekvenserna innan några detaljförslag tagits fram. Regeringens utgångspunkt är dock att eventuella budgetära konsekvenser ska rymmas inom stats- och EU-budgetens befintliga ramar.</w:t>
      </w:r>
    </w:p>
    <w:p w:rsidR="002765F1" w:rsidRPr="003B75E7" w:rsidRDefault="002765F1">
      <w:pPr>
        <w:pStyle w:val="Rubrik1"/>
      </w:pPr>
      <w:r w:rsidRPr="003B75E7">
        <w:t>Ståndpunkter</w:t>
      </w:r>
    </w:p>
    <w:p w:rsidR="002765F1" w:rsidRPr="003B75E7" w:rsidRDefault="002765F1">
      <w:pPr>
        <w:pStyle w:val="Rubrik2"/>
      </w:pPr>
      <w:r w:rsidRPr="003B75E7">
        <w:t>Preliminär svensk ståndpunkt</w:t>
      </w:r>
    </w:p>
    <w:p w:rsidR="002765F1" w:rsidRPr="003B75E7" w:rsidRDefault="002765F1">
      <w:r w:rsidRPr="003B75E7">
        <w:t xml:space="preserve">Regeringen ställer sig positiv till handlingsplanen, som bygger vidare på de ambitioner som lades fast för den första handlingsplanen, men med mer realistisk målsättning. Kriminalstatistik är en viktig källa till kunskap om brottslighet och om effekten av de åtgärder som vidtas för att förebygga och bekämpa brott. Detta gäller såväl på nationell som på EU-nivå. Det är viktigt att kommissionen driver arbetet att utveckla sådan statistik på EU-nivå, men det är lika viktigt att Sverige också fortsatt påpekar </w:t>
      </w:r>
      <w:r w:rsidRPr="003B75E7">
        <w:t>att resurserna bör användas för att utveckla och publicera sådan statistik som har relevans för politikområdet och som går att jämföra mellan medlemsstaterna.</w:t>
      </w:r>
    </w:p>
    <w:p w:rsidR="002765F1" w:rsidRPr="003B75E7" w:rsidRDefault="002765F1">
      <w:pPr>
        <w:pStyle w:val="Rubrik2"/>
      </w:pPr>
      <w:r w:rsidRPr="003B75E7">
        <w:t>Medlemsstaternas ståndpunkter</w:t>
      </w:r>
    </w:p>
    <w:p w:rsidR="002765F1" w:rsidRPr="003B75E7" w:rsidRDefault="002765F1">
      <w:r w:rsidRPr="003B75E7">
        <w:t>Medlemsstaternas ståndpunkter är inte kända.</w:t>
      </w:r>
    </w:p>
    <w:p w:rsidR="002765F1" w:rsidRPr="003B75E7" w:rsidRDefault="002765F1">
      <w:pPr>
        <w:pStyle w:val="Rubrik2"/>
      </w:pPr>
      <w:r w:rsidRPr="003B75E7">
        <w:t>Institutionernas ståndpunkter</w:t>
      </w:r>
    </w:p>
    <w:p w:rsidR="002765F1" w:rsidRPr="003B75E7" w:rsidRDefault="002765F1">
      <w:r w:rsidRPr="003B75E7">
        <w:t>Institutionernas ståndpunkter är inte kända.</w:t>
      </w:r>
    </w:p>
    <w:p w:rsidR="002765F1" w:rsidRPr="003B75E7" w:rsidRDefault="002765F1">
      <w:pPr>
        <w:pStyle w:val="Rubrik2"/>
      </w:pPr>
      <w:r w:rsidRPr="003B75E7">
        <w:t>Remissinstansernas ståndpunkter</w:t>
      </w:r>
    </w:p>
    <w:p w:rsidR="002765F1" w:rsidRPr="003B75E7" w:rsidRDefault="002765F1">
      <w:r w:rsidRPr="003B75E7">
        <w:t>Ärendet har inte remitterats.</w:t>
      </w:r>
    </w:p>
    <w:p w:rsidR="002765F1" w:rsidRPr="003B75E7" w:rsidRDefault="002765F1">
      <w:pPr>
        <w:pStyle w:val="Rubrik1"/>
      </w:pPr>
      <w:r w:rsidRPr="003B75E7">
        <w:t>Förslagets förutsättningar</w:t>
      </w:r>
    </w:p>
    <w:p w:rsidR="002765F1" w:rsidRPr="003B75E7" w:rsidRDefault="002765F1">
      <w:pPr>
        <w:pStyle w:val="Rubrik2"/>
      </w:pPr>
      <w:r w:rsidRPr="003B75E7">
        <w:t>Rättslig grund och beslutsförfarande</w:t>
      </w:r>
    </w:p>
    <w:p w:rsidR="002765F1" w:rsidRPr="003B75E7" w:rsidRDefault="002765F1">
      <w:r w:rsidRPr="003B75E7">
        <w:t>Ärendet kommer inte vara föremål för något särskilt beslutsförfarande.</w:t>
      </w:r>
    </w:p>
    <w:p w:rsidR="002765F1" w:rsidRPr="003B75E7" w:rsidRDefault="002765F1">
      <w:pPr>
        <w:pStyle w:val="Rubrik2"/>
      </w:pPr>
      <w:r w:rsidRPr="003B75E7">
        <w:t>Subsidiaritets- och proportionalitetsprincipen</w:t>
      </w:r>
    </w:p>
    <w:p w:rsidR="002765F1" w:rsidRPr="003B75E7" w:rsidRDefault="002765F1">
      <w:r w:rsidRPr="003B75E7">
        <w:t xml:space="preserve">Kommissionen berör inte frågan. </w:t>
      </w:r>
    </w:p>
    <w:p w:rsidR="002765F1" w:rsidRPr="003B75E7" w:rsidRDefault="002765F1">
      <w:pPr>
        <w:pStyle w:val="Rubrik1"/>
      </w:pPr>
      <w:r w:rsidRPr="003B75E7">
        <w:t>Övrigt</w:t>
      </w:r>
    </w:p>
    <w:p w:rsidR="002765F1" w:rsidRPr="003B75E7" w:rsidRDefault="002765F1">
      <w:pPr>
        <w:pStyle w:val="Rubrik2"/>
      </w:pPr>
      <w:r w:rsidRPr="003B75E7">
        <w:t>Fortsatt behandling av ärendet</w:t>
      </w:r>
    </w:p>
    <w:p w:rsidR="002765F1" w:rsidRPr="003B75E7" w:rsidRDefault="002765F1">
      <w:r w:rsidRPr="003B75E7">
        <w:t>Kommissionen ansvarar för genomförandet av handlingsplanen, i nära samarbete mellan generaldirektoratet för inrikes frågor och Eurostat samt i nära samarbete med den planerade återupprättade expertgruppen. Handlingsplanen kommer att uppdateras kontinuerligt och återspeglas i kommissionens olika relevanta arbetsprogram, i gemenskapens statistiska program och i de årliga arbetsprogrammen. Årligen kommer kommissionen informera rådets relevanta arbetsgrupper om genomförandet av handlingsplanen; en halvtidsöver</w:t>
      </w:r>
      <w:r w:rsidRPr="003B75E7">
        <w:t>syn kommer att göras 2013 och en slutlig rapport överlämnas i slutet av 2015 till Europaparlamentet och rådet.</w:t>
      </w:r>
    </w:p>
    <w:p w:rsidR="002765F1" w:rsidRPr="003B75E7" w:rsidRDefault="002765F1">
      <w:pPr>
        <w:pStyle w:val="Rubrik2"/>
      </w:pPr>
      <w:r w:rsidRPr="003B75E7">
        <w:t>Fackuttryck/termer</w:t>
      </w:r>
    </w:p>
    <w:p w:rsidR="002765F1" w:rsidRPr="003B75E7" w:rsidRDefault="002765F1"/>
    <w:sectPr w:rsidR="002765F1" w:rsidRPr="003B75E7">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65F1" w:rsidRPr="003B75E7" w:rsidRDefault="002765F1">
      <w:r w:rsidRPr="003B75E7">
        <w:separator/>
      </w:r>
    </w:p>
  </w:endnote>
  <w:endnote w:type="continuationSeparator" w:id="0">
    <w:p w:rsidR="002765F1" w:rsidRPr="003B75E7" w:rsidRDefault="002765F1">
      <w:r w:rsidRPr="003B75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5F1" w:rsidRPr="003B75E7" w:rsidRDefault="002765F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5F1" w:rsidRPr="003B75E7" w:rsidRDefault="002765F1">
    <w:pPr>
      <w:pStyle w:val="SidfotH"/>
      <w:framePr w:wrap="around"/>
    </w:pPr>
    <w:r w:rsidRPr="003B75E7">
      <w:fldChar w:fldCharType="begin" w:fldLock="1"/>
    </w:r>
    <w:r w:rsidRPr="003B75E7">
      <w:instrText xml:space="preserve"> PAGE </w:instrText>
    </w:r>
    <w:r w:rsidRPr="003B75E7">
      <w:fldChar w:fldCharType="separate"/>
    </w:r>
    <w:r w:rsidRPr="003B75E7">
      <w:t>4</w:t>
    </w:r>
    <w:r w:rsidRPr="003B75E7">
      <w:fldChar w:fldCharType="end"/>
    </w:r>
  </w:p>
  <w:p w:rsidR="002765F1" w:rsidRPr="003B75E7" w:rsidRDefault="002765F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5F1" w:rsidRPr="003B75E7" w:rsidRDefault="002765F1">
    <w:pPr>
      <w:pStyle w:val="SidfotH"/>
      <w:framePr w:wrap="around"/>
    </w:pPr>
    <w:r w:rsidRPr="003B75E7">
      <w:fldChar w:fldCharType="begin" w:fldLock="1"/>
    </w:r>
    <w:r w:rsidRPr="003B75E7">
      <w:instrText xml:space="preserve"> PAGE </w:instrText>
    </w:r>
    <w:r w:rsidRPr="003B75E7">
      <w:fldChar w:fldCharType="separate"/>
    </w:r>
    <w:r w:rsidRPr="003B75E7">
      <w:t>1</w:t>
    </w:r>
    <w:r w:rsidRPr="003B75E7">
      <w:fldChar w:fldCharType="end"/>
    </w:r>
  </w:p>
  <w:p w:rsidR="002765F1" w:rsidRPr="003B75E7" w:rsidRDefault="002765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65F1" w:rsidRPr="003B75E7" w:rsidRDefault="002765F1">
      <w:r w:rsidRPr="003B75E7">
        <w:separator/>
      </w:r>
    </w:p>
  </w:footnote>
  <w:footnote w:type="continuationSeparator" w:id="0">
    <w:p w:rsidR="002765F1" w:rsidRPr="003B75E7" w:rsidRDefault="002765F1">
      <w:r w:rsidRPr="003B75E7">
        <w:continuationSeparator/>
      </w:r>
    </w:p>
  </w:footnote>
  <w:footnote w:id="1">
    <w:p w:rsidR="002765F1" w:rsidRPr="003B75E7" w:rsidRDefault="002765F1">
      <w:pPr>
        <w:pStyle w:val="Fotnotstext"/>
      </w:pPr>
      <w:r w:rsidRPr="003B75E7">
        <w:rPr>
          <w:rStyle w:val="Fotnotsreferens"/>
        </w:rPr>
        <w:footnoteRef/>
      </w:r>
      <w:r w:rsidRPr="003B75E7">
        <w:t xml:space="preserve"> KOM(2006)437 slutlig, se Faktapromemoria 2006/2007:FPM1. </w:t>
      </w:r>
    </w:p>
  </w:footnote>
  <w:footnote w:id="2">
    <w:p w:rsidR="002765F1" w:rsidRPr="003B75E7" w:rsidRDefault="002765F1">
      <w:pPr>
        <w:pStyle w:val="Fotnotstext"/>
      </w:pPr>
      <w:r w:rsidRPr="003B75E7">
        <w:rPr>
          <w:rStyle w:val="Fotnotsreferens"/>
        </w:rPr>
        <w:footnoteRef/>
      </w:r>
      <w:r w:rsidRPr="003B75E7">
        <w:t xml:space="preserve"> Kommissionens beslut (EG) 2006/581.</w:t>
      </w:r>
    </w:p>
  </w:footnote>
  <w:footnote w:id="3">
    <w:p w:rsidR="002765F1" w:rsidRPr="003B75E7" w:rsidRDefault="002765F1">
      <w:pPr>
        <w:pStyle w:val="Fotnotstext"/>
      </w:pPr>
      <w:r w:rsidRPr="003B75E7">
        <w:rPr>
          <w:rStyle w:val="Fotnotsreferens"/>
        </w:rPr>
        <w:footnoteRef/>
      </w:r>
      <w:r w:rsidRPr="003B75E7">
        <w:t xml:space="preserve"> EUT C 115/1, 4.5.2010, s.1</w:t>
      </w:r>
    </w:p>
  </w:footnote>
  <w:footnote w:id="4">
    <w:p w:rsidR="002765F1" w:rsidRPr="003B75E7" w:rsidRDefault="002765F1">
      <w:pPr>
        <w:pStyle w:val="Fotnotstext"/>
      </w:pPr>
      <w:r w:rsidRPr="003B75E7">
        <w:rPr>
          <w:rStyle w:val="Fotnotsreferens"/>
        </w:rPr>
        <w:footnoteRef/>
      </w:r>
      <w:r w:rsidRPr="003B75E7">
        <w:t xml:space="preserve"> EU:s strategi för den inre säkerheten i praktiken: Fem steg mot ett säkrare Europa. KOM(2010) 673 slutlig.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5F1" w:rsidRPr="003B75E7" w:rsidRDefault="002765F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5F1" w:rsidRPr="003B75E7" w:rsidRDefault="002765F1">
    <w:pPr>
      <w:pStyle w:val="Kantrubrik"/>
      <w:framePr w:h="1157" w:hRule="exact" w:wrap="around" w:y="738"/>
    </w:pPr>
    <w:r w:rsidRPr="003B75E7">
      <w:t>2011/12:FPM115</w:t>
    </w:r>
  </w:p>
  <w:p w:rsidR="002765F1" w:rsidRPr="003B75E7" w:rsidRDefault="002765F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5F1" w:rsidRPr="003B75E7" w:rsidRDefault="003B75E7">
    <w:pPr>
      <w:pStyle w:val="Sidhuvud"/>
    </w:pPr>
    <w:r w:rsidRPr="003B75E7">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65F1" w:rsidRDefault="002765F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38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2765F1" w:rsidRDefault="002765F1">
                    <w:pPr>
                      <w:pStyle w:val="Logo"/>
                    </w:pPr>
                    <w:r>
                      <w:object w:dxaOrig="840" w:dyaOrig="1545">
                        <v:shape id="_x0000_i1025" type="#_x0000_t75" style="width:42pt;height:77.15pt" filled="t">
                          <v:imagedata r:id="rId1" o:title=""/>
                        </v:shape>
                        <o:OLEObject Type="Embed" ProgID="Word.Picture.8" ShapeID="_x0000_i1025" DrawAspect="Content" ObjectID="_182751638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16045758"/>
    <w:multiLevelType w:val="hybridMultilevel"/>
    <w:tmpl w:val="003C5C88"/>
    <w:lvl w:ilvl="0" w:tplc="03763964">
      <w:start w:val="1"/>
      <w:numFmt w:val="decimal"/>
      <w:lvlText w:val="%1."/>
      <w:lvlJc w:val="left"/>
      <w:pPr>
        <w:ind w:left="530" w:hanging="360"/>
      </w:pPr>
      <w:rPr>
        <w:rFonts w:cs="Times New Roman" w:hint="default"/>
      </w:rPr>
    </w:lvl>
    <w:lvl w:ilvl="1" w:tplc="041D0019" w:tentative="1">
      <w:start w:val="1"/>
      <w:numFmt w:val="lowerLetter"/>
      <w:lvlText w:val="%2."/>
      <w:lvlJc w:val="left"/>
      <w:pPr>
        <w:ind w:left="1250" w:hanging="360"/>
      </w:pPr>
      <w:rPr>
        <w:rFonts w:cs="Times New Roman"/>
      </w:rPr>
    </w:lvl>
    <w:lvl w:ilvl="2" w:tplc="041D001B" w:tentative="1">
      <w:start w:val="1"/>
      <w:numFmt w:val="lowerRoman"/>
      <w:lvlText w:val="%3."/>
      <w:lvlJc w:val="right"/>
      <w:pPr>
        <w:ind w:left="1970" w:hanging="180"/>
      </w:pPr>
      <w:rPr>
        <w:rFonts w:cs="Times New Roman"/>
      </w:rPr>
    </w:lvl>
    <w:lvl w:ilvl="3" w:tplc="041D000F" w:tentative="1">
      <w:start w:val="1"/>
      <w:numFmt w:val="decimal"/>
      <w:lvlText w:val="%4."/>
      <w:lvlJc w:val="left"/>
      <w:pPr>
        <w:ind w:left="2690" w:hanging="360"/>
      </w:pPr>
      <w:rPr>
        <w:rFonts w:cs="Times New Roman"/>
      </w:rPr>
    </w:lvl>
    <w:lvl w:ilvl="4" w:tplc="041D0019" w:tentative="1">
      <w:start w:val="1"/>
      <w:numFmt w:val="lowerLetter"/>
      <w:lvlText w:val="%5."/>
      <w:lvlJc w:val="left"/>
      <w:pPr>
        <w:ind w:left="3410" w:hanging="360"/>
      </w:pPr>
      <w:rPr>
        <w:rFonts w:cs="Times New Roman"/>
      </w:rPr>
    </w:lvl>
    <w:lvl w:ilvl="5" w:tplc="041D001B" w:tentative="1">
      <w:start w:val="1"/>
      <w:numFmt w:val="lowerRoman"/>
      <w:lvlText w:val="%6."/>
      <w:lvlJc w:val="right"/>
      <w:pPr>
        <w:ind w:left="4130" w:hanging="180"/>
      </w:pPr>
      <w:rPr>
        <w:rFonts w:cs="Times New Roman"/>
      </w:rPr>
    </w:lvl>
    <w:lvl w:ilvl="6" w:tplc="041D000F" w:tentative="1">
      <w:start w:val="1"/>
      <w:numFmt w:val="decimal"/>
      <w:lvlText w:val="%7."/>
      <w:lvlJc w:val="left"/>
      <w:pPr>
        <w:ind w:left="4850" w:hanging="360"/>
      </w:pPr>
      <w:rPr>
        <w:rFonts w:cs="Times New Roman"/>
      </w:rPr>
    </w:lvl>
    <w:lvl w:ilvl="7" w:tplc="041D0019" w:tentative="1">
      <w:start w:val="1"/>
      <w:numFmt w:val="lowerLetter"/>
      <w:lvlText w:val="%8."/>
      <w:lvlJc w:val="left"/>
      <w:pPr>
        <w:ind w:left="5570" w:hanging="360"/>
      </w:pPr>
      <w:rPr>
        <w:rFonts w:cs="Times New Roman"/>
      </w:rPr>
    </w:lvl>
    <w:lvl w:ilvl="8" w:tplc="041D001B" w:tentative="1">
      <w:start w:val="1"/>
      <w:numFmt w:val="lowerRoman"/>
      <w:lvlText w:val="%9."/>
      <w:lvlJc w:val="right"/>
      <w:pPr>
        <w:ind w:left="6290" w:hanging="180"/>
      </w:pPr>
      <w:rPr>
        <w:rFonts w:cs="Times New Roman"/>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6"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947347466">
    <w:abstractNumId w:val="5"/>
  </w:num>
  <w:num w:numId="2" w16cid:durableId="657610416">
    <w:abstractNumId w:val="2"/>
  </w:num>
  <w:num w:numId="3" w16cid:durableId="1963227839">
    <w:abstractNumId w:val="3"/>
  </w:num>
  <w:num w:numId="4" w16cid:durableId="1095131226">
    <w:abstractNumId w:val="4"/>
  </w:num>
  <w:num w:numId="5" w16cid:durableId="422458325">
    <w:abstractNumId w:val="6"/>
  </w:num>
  <w:num w:numId="6" w16cid:durableId="576742782">
    <w:abstractNumId w:val="0"/>
  </w:num>
  <w:num w:numId="7" w16cid:durableId="1470591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2-22"/>
    <w:docVar w:name="Ar" w:val="2011/12"/>
    <w:docVar w:name="Dep" w:val="Justitiedepartementet"/>
    <w:docVar w:name="DepWeb" w:val="Justitiedepartementet"/>
    <w:docVar w:name="GDB1" w:val="KOM (2011) 713"/>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och rådet. Mätning av brottslighet i EU: Statistisk handlingsplan 2011-2015"/>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1) 713"/>
    <w:docVar w:name="Nr" w:val="115"/>
    <w:docVar w:name="RD_APPVERSION" w:val="3.00"/>
    <w:docVar w:name="Rub" w:val="Mätning av brottslighet i EU: Statistisk handlingsplan 2011-2015"/>
    <w:docVar w:name="UppDat" w:val="2012-02-22"/>
    <w:docVar w:name="Utsk" w:val="Justitieutskottet"/>
  </w:docVars>
  <w:rsids>
    <w:rsidRoot w:val="00254807"/>
    <w:rsid w:val="00254807"/>
    <w:rsid w:val="002765F1"/>
    <w:rsid w:val="003B75E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C36F87A-1FEF-4BA1-ACAA-DB10091AC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pPr>
      <w:spacing w:before="125" w:line="214" w:lineRule="exact"/>
    </w:pPr>
  </w:style>
  <w:style w:type="paragraph" w:customStyle="1" w:styleId="CitatIndrag">
    <w:name w:val="CitatIndrag"/>
    <w:basedOn w:val="Quote"/>
    <w:pPr>
      <w:spacing w:before="0"/>
      <w:ind w:firstLine="170"/>
    </w:pPr>
  </w:style>
  <w:style w:type="character" w:styleId="Fotnotsreferens">
    <w:name w:val="footnote reference"/>
    <w:basedOn w:val="Standardstycketeckensnitt"/>
    <w:semiHidden/>
    <w:rPr>
      <w:rFonts w:cs="Times New Roman"/>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rFonts w:cs="Times New Roman"/>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cs="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810</Words>
  <Characters>5314</Characters>
  <Application>Microsoft Office Word</Application>
  <DocSecurity>4</DocSecurity>
  <Lines>106</Lines>
  <Paragraphs>50</Paragraphs>
  <ScaleCrop>false</ScaleCrop>
  <HeadingPairs>
    <vt:vector size="2" baseType="variant">
      <vt:variant>
        <vt:lpstr>Rubrik</vt:lpstr>
      </vt:variant>
      <vt:variant>
        <vt:i4>1</vt:i4>
      </vt:variant>
    </vt:vector>
  </HeadingPairs>
  <TitlesOfParts>
    <vt:vector size="1" baseType="lpstr">
      <vt:lpstr>FPM_201112__115</vt:lpstr>
    </vt:vector>
  </TitlesOfParts>
  <Company>RD-DTSL</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FPM_201112__115</dc:title>
  <dc:subject>FPM_201112__115</dc:subject>
  <dc:creator>Riksdagen</dc:creator>
  <cp:keywords>Riksdagen</cp:keywords>
  <dc:description>KP2004-version.  Ändringarna påverkar enbart användningen inom Riksdagen. 050429 nya departement DTSL.</dc:description>
  <cp:lastModifiedBy>Lars Brink</cp:lastModifiedBy>
  <cp:revision>2</cp:revision>
  <cp:lastPrinted>2012-02-23T05:39:00Z</cp:lastPrinted>
  <dcterms:created xsi:type="dcterms:W3CDTF">2025-12-17T21:01:00Z</dcterms:created>
  <dcterms:modified xsi:type="dcterms:W3CDTF">2025-12-17T21:01:00Z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115</vt:lpwstr>
  </property>
  <property fmtid="{D5CDD505-2E9C-101B-9397-08002B2CF9AE}" pid="4" name="GDB1">
    <vt:lpwstr>KOM (2011) 713</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Mätning av brottslighet i EU: Statistisk handlingsplan 2011-2015</vt:lpwstr>
  </property>
  <property fmtid="{D5CDD505-2E9C-101B-9397-08002B2CF9AE}" pid="8" name="UppDat">
    <vt:lpwstr>2012-02-22</vt:lpwstr>
  </property>
  <property fmtid="{D5CDD505-2E9C-101B-9397-08002B2CF9AE}" pid="9" name="AnkDat">
    <vt:lpwstr>2012-02-22</vt:lpwstr>
  </property>
  <property fmtid="{D5CDD505-2E9C-101B-9397-08002B2CF9AE}" pid="10" name="Utsk">
    <vt:lpwstr>Justitieutskottet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2;0;0;498</vt:lpwstr>
  </property>
  <property fmtid="{D5CDD505-2E9C-101B-9397-08002B2CF9AE}" pid="41" name="Sprak">
    <vt:lpwstr>Svenska</vt:lpwstr>
  </property>
  <property fmtid="{D5CDD505-2E9C-101B-9397-08002B2CF9AE}" pid="42" name="DokID">
    <vt:i4>80</vt:i4>
  </property>
  <property fmtid="{D5CDD505-2E9C-101B-9397-08002B2CF9AE}" pid="43" name="ContentTypeId">
    <vt:lpwstr>0x010100D4E2D80DC721422ABBDF033BB3857F4903009AD199C305D5474D8748D4BE706B4122</vt:lpwstr>
  </property>
  <property fmtid="{D5CDD505-2E9C-101B-9397-08002B2CF9AE}" pid="44" name="RKOrdnaClass">
    <vt:lpwstr/>
  </property>
  <property fmtid="{D5CDD505-2E9C-101B-9397-08002B2CF9AE}" pid="45" name="RKOrdnaSarskildSkyddsvard">
    <vt:lpwstr/>
  </property>
  <property fmtid="{D5CDD505-2E9C-101B-9397-08002B2CF9AE}" pid="46" name="RKOrdnaActivityCategory2">
    <vt:lpwstr>4.1. Europeiska unionen</vt:lpwstr>
  </property>
  <property fmtid="{D5CDD505-2E9C-101B-9397-08002B2CF9AE}" pid="47" name="RKOrdnaDiarienummer">
    <vt:lpwstr/>
  </property>
  <property fmtid="{D5CDD505-2E9C-101B-9397-08002B2CF9AE}" pid="48" name="RKOrdnaDepartement2">
    <vt:lpwstr>Justitiedepartementet</vt:lpwstr>
  </property>
  <property fmtid="{D5CDD505-2E9C-101B-9397-08002B2CF9AE}" pid="49" name="RKOrdnaSearchKeywords">
    <vt:lpwstr/>
  </property>
  <property fmtid="{D5CDD505-2E9C-101B-9397-08002B2CF9AE}" pid="50" name="RKOrdnaCheckInComment">
    <vt:lpwstr/>
  </property>
  <property fmtid="{D5CDD505-2E9C-101B-9397-08002B2CF9AE}" pid="51" name="Jordbruksdepartementet">
    <vt:lpwstr>NEJ</vt:lpwstr>
  </property>
</Properties>
</file>