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20628">
        <w:tblPrEx>
          <w:tblCellMar>
            <w:top w:w="0" w:type="dxa"/>
            <w:left w:w="0" w:type="dxa"/>
            <w:bottom w:w="0" w:type="dxa"/>
            <w:right w:w="0" w:type="dxa"/>
          </w:tblCellMar>
        </w:tblPrEx>
        <w:trPr>
          <w:gridAfter w:val="2"/>
          <w:wAfter w:w="1758" w:type="dxa"/>
          <w:cantSplit/>
          <w:trHeight w:val="1320"/>
        </w:trPr>
        <w:tc>
          <w:tcPr>
            <w:tcW w:w="5897" w:type="dxa"/>
          </w:tcPr>
          <w:p w:rsidR="00A71451" w:rsidRPr="00320628" w:rsidRDefault="00A71451">
            <w:pPr>
              <w:pStyle w:val="HuvudRubrik"/>
            </w:pPr>
            <w:r w:rsidRPr="00320628">
              <w:t>Regeringskansliet</w:t>
            </w:r>
          </w:p>
          <w:p w:rsidR="00A71451" w:rsidRPr="00320628" w:rsidRDefault="00A71451">
            <w:pPr>
              <w:pStyle w:val="HuvudRubrik"/>
            </w:pPr>
            <w:r w:rsidRPr="00320628">
              <w:t>Faktapromemoria 2004/05:FPM72</w:t>
            </w:r>
          </w:p>
        </w:tc>
      </w:tr>
      <w:tr w:rsidR="00000000" w:rsidRPr="00320628">
        <w:tblPrEx>
          <w:tblCellMar>
            <w:top w:w="0" w:type="dxa"/>
            <w:left w:w="0" w:type="dxa"/>
            <w:bottom w:w="0" w:type="dxa"/>
            <w:right w:w="0" w:type="dxa"/>
          </w:tblCellMar>
        </w:tblPrEx>
        <w:trPr>
          <w:gridAfter w:val="2"/>
          <w:wAfter w:w="1758" w:type="dxa"/>
          <w:cantSplit/>
          <w:trHeight w:val="240"/>
        </w:trPr>
        <w:tc>
          <w:tcPr>
            <w:tcW w:w="5897" w:type="dxa"/>
          </w:tcPr>
          <w:p w:rsidR="00A71451" w:rsidRPr="00320628" w:rsidRDefault="00A71451">
            <w:pPr>
              <w:pStyle w:val="HuvudRubrik"/>
              <w:rPr>
                <w:sz w:val="28"/>
              </w:rPr>
            </w:pPr>
            <w:r w:rsidRPr="00320628">
              <w:t>Förslag till ramprogram för konkurrenskraft och innovation</w:t>
            </w:r>
          </w:p>
        </w:tc>
      </w:tr>
      <w:tr w:rsidR="00830929" w:rsidRPr="00320628">
        <w:tblPrEx>
          <w:tblCellMar>
            <w:top w:w="0" w:type="dxa"/>
            <w:left w:w="0" w:type="dxa"/>
            <w:bottom w:w="0" w:type="dxa"/>
            <w:right w:w="0" w:type="dxa"/>
          </w:tblCellMar>
        </w:tblPrEx>
        <w:trPr>
          <w:cantSplit/>
          <w:trHeight w:val="285"/>
        </w:trPr>
        <w:tc>
          <w:tcPr>
            <w:tcW w:w="7655" w:type="dxa"/>
            <w:gridSpan w:val="3"/>
          </w:tcPr>
          <w:p w:rsidR="00830929" w:rsidRPr="00320628" w:rsidRDefault="00316668">
            <w:pPr>
              <w:pStyle w:val="Departement"/>
              <w:rPr>
                <w:sz w:val="28"/>
              </w:rPr>
            </w:pPr>
            <w:r w:rsidRPr="00320628">
              <w:t>Näringsdepartementet</w:t>
            </w:r>
          </w:p>
        </w:tc>
      </w:tr>
      <w:tr w:rsidR="00830929" w:rsidRPr="00320628">
        <w:tblPrEx>
          <w:tblCellMar>
            <w:top w:w="0" w:type="dxa"/>
            <w:left w:w="0" w:type="dxa"/>
            <w:bottom w:w="0" w:type="dxa"/>
            <w:right w:w="0" w:type="dxa"/>
          </w:tblCellMar>
        </w:tblPrEx>
        <w:trPr>
          <w:cantSplit/>
          <w:trHeight w:val="240"/>
        </w:trPr>
        <w:tc>
          <w:tcPr>
            <w:tcW w:w="7655" w:type="dxa"/>
            <w:gridSpan w:val="3"/>
          </w:tcPr>
          <w:p w:rsidR="00830929" w:rsidRPr="00320628" w:rsidRDefault="00316668">
            <w:pPr>
              <w:pStyle w:val="Dokumentdatum"/>
            </w:pPr>
            <w:r w:rsidRPr="00320628">
              <w:t>2005-06-23</w:t>
            </w:r>
          </w:p>
        </w:tc>
      </w:tr>
      <w:tr w:rsidR="00830929" w:rsidRPr="00320628">
        <w:tblPrEx>
          <w:tblCellMar>
            <w:top w:w="0" w:type="dxa"/>
            <w:left w:w="0" w:type="dxa"/>
            <w:bottom w:w="0" w:type="dxa"/>
            <w:right w:w="0" w:type="dxa"/>
          </w:tblCellMar>
        </w:tblPrEx>
        <w:trPr>
          <w:cantSplit/>
          <w:trHeight w:val="726"/>
        </w:trPr>
        <w:tc>
          <w:tcPr>
            <w:tcW w:w="7655" w:type="dxa"/>
            <w:gridSpan w:val="3"/>
            <w:vAlign w:val="bottom"/>
          </w:tcPr>
          <w:p w:rsidR="00830929" w:rsidRPr="00320628" w:rsidRDefault="00830929">
            <w:pPr>
              <w:pStyle w:val="Dokumentbeteckning"/>
            </w:pPr>
            <w:r w:rsidRPr="00320628">
              <w:t>Dokumentbeteckning</w:t>
            </w:r>
          </w:p>
        </w:tc>
      </w:tr>
      <w:tr w:rsidR="00830929" w:rsidRPr="00320628">
        <w:tblPrEx>
          <w:tblCellMar>
            <w:top w:w="0" w:type="dxa"/>
            <w:left w:w="0" w:type="dxa"/>
            <w:bottom w:w="0" w:type="dxa"/>
            <w:right w:w="0" w:type="dxa"/>
          </w:tblCellMar>
        </w:tblPrEx>
        <w:trPr>
          <w:gridAfter w:val="1"/>
          <w:wAfter w:w="1560" w:type="dxa"/>
          <w:trHeight w:val="120"/>
        </w:trPr>
        <w:tc>
          <w:tcPr>
            <w:tcW w:w="6095" w:type="dxa"/>
            <w:gridSpan w:val="2"/>
          </w:tcPr>
          <w:p w:rsidR="00830929" w:rsidRPr="00320628" w:rsidRDefault="00316668">
            <w:bookmarkStart w:id="0" w:name="KomNr"/>
            <w:bookmarkEnd w:id="0"/>
            <w:r w:rsidRPr="00320628">
              <w:t>KOM(2005) 121 slutlig</w:t>
            </w:r>
          </w:p>
        </w:tc>
      </w:tr>
      <w:tr w:rsidR="00830929" w:rsidRPr="00320628">
        <w:tblPrEx>
          <w:tblCellMar>
            <w:top w:w="0" w:type="dxa"/>
            <w:left w:w="0" w:type="dxa"/>
            <w:bottom w:w="0" w:type="dxa"/>
            <w:right w:w="0" w:type="dxa"/>
          </w:tblCellMar>
        </w:tblPrEx>
        <w:trPr>
          <w:gridAfter w:val="1"/>
          <w:wAfter w:w="1560" w:type="dxa"/>
          <w:trHeight w:val="120"/>
        </w:trPr>
        <w:tc>
          <w:tcPr>
            <w:tcW w:w="6095" w:type="dxa"/>
            <w:gridSpan w:val="2"/>
          </w:tcPr>
          <w:p w:rsidR="00830929" w:rsidRPr="00320628" w:rsidRDefault="00316668">
            <w:pPr>
              <w:pStyle w:val="Dokumentbeteckning-titel"/>
            </w:pPr>
            <w:r w:rsidRPr="00320628">
              <w:t>Förslag till Europaparlamentets och rådets beslut om upprättande av ett ramprogram för konkurrenskraft och innovation (2007-2013)</w:t>
            </w:r>
          </w:p>
        </w:tc>
      </w:tr>
    </w:tbl>
    <w:p w:rsidR="00830929" w:rsidRPr="00320628" w:rsidRDefault="00830929">
      <w:pPr>
        <w:pStyle w:val="Rubrik1"/>
        <w:numPr>
          <w:ilvl w:val="0"/>
          <w:numId w:val="0"/>
        </w:numPr>
      </w:pPr>
      <w:r w:rsidRPr="00320628">
        <w:t>Sammanfattning</w:t>
      </w:r>
    </w:p>
    <w:p w:rsidR="00830929" w:rsidRPr="00320628" w:rsidRDefault="00830929">
      <w:r w:rsidRPr="00320628">
        <w:t>Kommissionen lade den 6 april 2005 fram sitt förslag till ramprogram för konkurrenskraft och innovation, även kallat CIP (Competitiveness and Innovation Programme). Programmet föreslås löpa mellan 2007-2013 och få en budget på 4,2 miljarder euro. CIP syftar till att stödja innovation och förnyelse i stort, med fokus på små och medelstora företag. Särskilt tonvikt läggs på områdena informations- och kommunikationsteknologi, miljöteknik och energi.</w:t>
      </w:r>
    </w:p>
    <w:p w:rsidR="00830929" w:rsidRPr="00320628" w:rsidRDefault="00830929">
      <w:pPr>
        <w:pStyle w:val="Rubrik1"/>
      </w:pPr>
      <w:r w:rsidRPr="00320628">
        <w:t>Förslaget</w:t>
      </w:r>
    </w:p>
    <w:p w:rsidR="00830929" w:rsidRPr="00320628" w:rsidRDefault="00830929">
      <w:pPr>
        <w:pStyle w:val="Rubrik2"/>
      </w:pPr>
      <w:r w:rsidRPr="00320628">
        <w:t>Innehåll</w:t>
      </w:r>
    </w:p>
    <w:p w:rsidR="00830929" w:rsidRPr="00320628" w:rsidRDefault="00830929">
      <w:r w:rsidRPr="00320628">
        <w:t>Kommissionen föreslår ett nytt ramprogram för konkurrenskraft och innovation med fyra huvudsakliga målsättningar:</w:t>
      </w:r>
    </w:p>
    <w:p w:rsidR="00830929" w:rsidRPr="00320628" w:rsidRDefault="00830929" w:rsidP="00AF410F">
      <w:r w:rsidRPr="00320628">
        <w:t>Främja konkurrenskraft i företag, särskilt vad gäller små och medelstora företag.</w:t>
      </w:r>
    </w:p>
    <w:p w:rsidR="00830929" w:rsidRPr="00320628" w:rsidRDefault="00830929" w:rsidP="00AF410F">
      <w:r w:rsidRPr="00320628">
        <w:t>Främja innovation, bland annat inom miljöteknik.</w:t>
      </w:r>
    </w:p>
    <w:p w:rsidR="00830929" w:rsidRPr="00320628" w:rsidRDefault="00830929" w:rsidP="00AF410F">
      <w:r w:rsidRPr="00320628">
        <w:t>Accelerera utvecklingen av ett konkurrenskraftigt, innovativt informations</w:t>
      </w:r>
      <w:r w:rsidRPr="00320628">
        <w:softHyphen/>
        <w:t>samhälle för alla.</w:t>
      </w:r>
    </w:p>
    <w:p w:rsidR="00830929" w:rsidRPr="00320628" w:rsidRDefault="00830929" w:rsidP="00AF410F">
      <w:r w:rsidRPr="00320628">
        <w:t>Främja energieffektivitet och användning av nya och förnybara energi</w:t>
      </w:r>
      <w:r w:rsidRPr="00320628">
        <w:softHyphen/>
        <w:t>källor i alla sektorer, inklusive transportsektorn.</w:t>
      </w:r>
    </w:p>
    <w:p w:rsidR="00830929" w:rsidRPr="00320628" w:rsidRDefault="00830929"/>
    <w:p w:rsidR="00830929" w:rsidRPr="00320628" w:rsidRDefault="00830929">
      <w:r w:rsidRPr="00320628">
        <w:lastRenderedPageBreak/>
        <w:t>Ett antal nuvarande program modifieras och läggs in i ram</w:t>
      </w:r>
      <w:r w:rsidRPr="00320628">
        <w:softHyphen/>
        <w:t>programmet. De program som påverkas är:</w:t>
      </w:r>
    </w:p>
    <w:p w:rsidR="00830929" w:rsidRPr="00320628" w:rsidRDefault="00830929" w:rsidP="00AF410F">
      <w:r w:rsidRPr="00320628">
        <w:t>- MAP (det fleråriga programmet för företag och företagaranda)</w:t>
      </w:r>
    </w:p>
    <w:p w:rsidR="00830929" w:rsidRPr="00320628" w:rsidRDefault="00830929" w:rsidP="00AF410F">
      <w:r w:rsidRPr="00320628">
        <w:t>- Vissa insatser för innovation i EU:s sjätte ramprogram för forskning, utveckling och demonstration</w:t>
      </w:r>
    </w:p>
    <w:p w:rsidR="00830929" w:rsidRPr="00320628" w:rsidRDefault="00830929" w:rsidP="00AF410F">
      <w:r w:rsidRPr="00320628">
        <w:t>- Intelligent Energy Europe</w:t>
      </w:r>
    </w:p>
    <w:p w:rsidR="00830929" w:rsidRPr="00320628" w:rsidRDefault="00830929" w:rsidP="00AF410F">
      <w:r w:rsidRPr="00320628">
        <w:t>- LIFE-programmet för demonstration av miljöteknik</w:t>
      </w:r>
    </w:p>
    <w:p w:rsidR="00830929" w:rsidRPr="00320628" w:rsidRDefault="00830929" w:rsidP="00AF410F">
      <w:r w:rsidRPr="00320628">
        <w:t>- de IT-orienterade programmen Modinis, eContent och eTen</w:t>
      </w:r>
    </w:p>
    <w:p w:rsidR="00830929" w:rsidRPr="00320628" w:rsidRDefault="00830929">
      <w:r w:rsidRPr="00320628">
        <w:t>Det nya ramprogrammet bygger på att komponenter från ovanstående program slås samman till tre delprogram med en gemensam administrativ ram. De tre delprogrammen är:</w:t>
      </w:r>
    </w:p>
    <w:p w:rsidR="00830929" w:rsidRPr="00320628" w:rsidRDefault="00830929" w:rsidP="00AF410F">
      <w:r w:rsidRPr="00320628">
        <w:t>- Programmet för entreprenörskap och innovation</w:t>
      </w:r>
    </w:p>
    <w:p w:rsidR="00830929" w:rsidRPr="00320628" w:rsidRDefault="00830929" w:rsidP="00AF410F">
      <w:r w:rsidRPr="00320628">
        <w:t>- IKT-stödprogrammet</w:t>
      </w:r>
    </w:p>
    <w:p w:rsidR="00830929" w:rsidRPr="00320628" w:rsidRDefault="00830929" w:rsidP="00AF410F">
      <w:r w:rsidRPr="00320628">
        <w:t>- Programmet intelligent energi - Europa</w:t>
      </w:r>
    </w:p>
    <w:p w:rsidR="00830929" w:rsidRPr="00320628" w:rsidRDefault="00830929">
      <w:r w:rsidRPr="00320628">
        <w:t>Två horisontella teman som går igenom samtliga tre delprogram är eko</w:t>
      </w:r>
      <w:r w:rsidRPr="00320628">
        <w:softHyphen/>
        <w:t>teknologi och orientering mot små och medelstora företag.</w:t>
      </w:r>
    </w:p>
    <w:p w:rsidR="00830929" w:rsidRPr="00320628" w:rsidRDefault="00830929">
      <w:pPr>
        <w:pStyle w:val="Rubrik3"/>
      </w:pPr>
      <w:r w:rsidRPr="00320628">
        <w:t>De enskilda programmen</w:t>
      </w:r>
    </w:p>
    <w:p w:rsidR="00830929" w:rsidRPr="00320628" w:rsidRDefault="00830929">
      <w:pPr>
        <w:pStyle w:val="Rubrik4"/>
      </w:pPr>
      <w:r w:rsidRPr="00320628">
        <w:t>Programmet för entreprenörskap och innovation</w:t>
      </w:r>
    </w:p>
    <w:p w:rsidR="00830929" w:rsidRPr="00320628" w:rsidRDefault="00830929">
      <w:r w:rsidRPr="00320628">
        <w:t>Programmet för entreprenörskap och innovation föreslås omfatta cirka 2,6 miljarder euro under programperioden. Det syftar till att förbättra situationen för små och medelstora företag i samtliga sektorer från traditionella mikro</w:t>
      </w:r>
      <w:r w:rsidRPr="00320628">
        <w:softHyphen/>
        <w:t>företag till högteknologiska tjänste- och industriföretag. Förslaget utgår bland annat från dagens MAP och LIFE, och berör delar ur det sjätte ramprogrammet för forskning, teknisk utveckling och demonstration som omfattar innovation. Det innefattar:</w:t>
      </w:r>
    </w:p>
    <w:p w:rsidR="00830929" w:rsidRPr="00320628" w:rsidRDefault="00830929" w:rsidP="00AF410F">
      <w:r w:rsidRPr="00320628">
        <w:t xml:space="preserve">Entreprenörskapsfrämjande: Samarbete mellan små och medelstora företag, utveckling av entreprenörskapskultur. </w:t>
      </w:r>
    </w:p>
    <w:p w:rsidR="00830929" w:rsidRPr="00320628" w:rsidRDefault="00830929" w:rsidP="00AF410F">
      <w:r w:rsidRPr="00320628">
        <w:t>Innovationsstöd: Främjande av sektorsspecifik innovation, projekt</w:t>
      </w:r>
      <w:r w:rsidRPr="00320628">
        <w:softHyphen/>
        <w:t>samman</w:t>
      </w:r>
      <w:r w:rsidRPr="00320628">
        <w:softHyphen/>
        <w:t>slutningar, offentlig-privata partnerskap och stöd för nätverk för trans</w:t>
      </w:r>
      <w:r w:rsidRPr="00320628">
        <w:softHyphen/>
        <w:t>nationell kunskaps- och tekniköverföring.</w:t>
      </w:r>
    </w:p>
    <w:p w:rsidR="00830929" w:rsidRPr="00320628" w:rsidRDefault="00830929" w:rsidP="00AF410F">
      <w:r w:rsidRPr="00320628">
        <w:t>Riskkapital: Genom fortsättning av nuvarande och upprättande av nya fonder inom Europeiska investeringsfonden skall företags</w:t>
      </w:r>
      <w:r w:rsidRPr="00320628">
        <w:softHyphen/>
        <w:t>investeringar inom teknisk utveckling, innovation och tekniköverföring främjas.</w:t>
      </w:r>
    </w:p>
    <w:p w:rsidR="00830929" w:rsidRPr="00320628" w:rsidRDefault="00830929" w:rsidP="00AF410F">
      <w:r w:rsidRPr="00320628">
        <w:t>Kunskapsöverföring mellan medlemsstater och regioner som stöd för politikutvecklingen vad gäller entreprenörskaps- och innovations</w:t>
      </w:r>
      <w:r w:rsidRPr="00320628">
        <w:softHyphen/>
        <w:t>främjande.</w:t>
      </w:r>
    </w:p>
    <w:p w:rsidR="00830929" w:rsidRPr="00320628" w:rsidRDefault="00830929">
      <w:pPr>
        <w:pStyle w:val="Rubrik4"/>
      </w:pPr>
      <w:r w:rsidRPr="00320628">
        <w:t>IKT-stödprogrammet</w:t>
      </w:r>
    </w:p>
    <w:p w:rsidR="00830929" w:rsidRPr="00320628" w:rsidRDefault="00830929">
      <w:r w:rsidRPr="00320628">
        <w:t>IKT-stödprogrammet föreslås omfatta cirka 800 miljoner euro under programperioden. Förslaget utgår från dagens eTen, eContent och Modinis. Inriktningen är trefald:</w:t>
      </w:r>
    </w:p>
    <w:p w:rsidR="00830929" w:rsidRPr="00320628" w:rsidRDefault="00830929" w:rsidP="00AF410F">
      <w:r w:rsidRPr="00320628">
        <w:t>Utveckling av ett gemensamt europeiskt informationsområde.</w:t>
      </w:r>
    </w:p>
    <w:p w:rsidR="00830929" w:rsidRPr="00320628" w:rsidRDefault="00830929" w:rsidP="00AF410F">
      <w:r w:rsidRPr="00320628">
        <w:t>Stimulering av innovation genom mer omfattande användning av och investeringar i IKT.</w:t>
      </w:r>
    </w:p>
    <w:p w:rsidR="00830929" w:rsidRPr="00320628" w:rsidRDefault="00830929" w:rsidP="00AF410F">
      <w:r w:rsidRPr="00320628">
        <w:t>Utveckling av tillgänglighet och effektiva tjänster inom områden av intresse för allmänheten.</w:t>
      </w:r>
    </w:p>
    <w:p w:rsidR="00830929" w:rsidRPr="00320628" w:rsidRDefault="00830929">
      <w:pPr>
        <w:pStyle w:val="Rubrik4"/>
      </w:pPr>
      <w:r w:rsidRPr="00320628">
        <w:t>Programmet intelligent energi - Europa</w:t>
      </w:r>
    </w:p>
    <w:p w:rsidR="00830929" w:rsidRPr="00320628" w:rsidRDefault="00830929">
      <w:r w:rsidRPr="00320628">
        <w:t>Programmet intelligent energi – Europa föreslås omfatta cirka 800 miljoner euro under programperioden. Förslaget utgår från dagens ramprogram för intelligent energi. Syftet är trefalt:</w:t>
      </w:r>
    </w:p>
    <w:p w:rsidR="00830929" w:rsidRPr="00320628" w:rsidRDefault="00830929" w:rsidP="00AF410F">
      <w:r w:rsidRPr="00320628">
        <w:t>Att utveckla energieffektivitet och främja rationell användning av energikällor.</w:t>
      </w:r>
    </w:p>
    <w:p w:rsidR="00830929" w:rsidRPr="00320628" w:rsidRDefault="00830929" w:rsidP="00AF410F">
      <w:r w:rsidRPr="00320628">
        <w:t>Att främja nya och förnybara energikällor och främja energidiversifiering.</w:t>
      </w:r>
    </w:p>
    <w:p w:rsidR="00830929" w:rsidRPr="00320628" w:rsidRDefault="00830929" w:rsidP="00AF410F">
      <w:r w:rsidRPr="00320628">
        <w:t>Att främja energieffektivitet och användning av nya och förnybara energikällor vid transporter.</w:t>
      </w:r>
    </w:p>
    <w:p w:rsidR="00830929" w:rsidRPr="00320628" w:rsidRDefault="00830929">
      <w:pPr>
        <w:pStyle w:val="Rubrik3"/>
      </w:pPr>
      <w:r w:rsidRPr="00320628">
        <w:t>Styrformer</w:t>
      </w:r>
    </w:p>
    <w:p w:rsidR="00830929" w:rsidRPr="00320628" w:rsidRDefault="00830929" w:rsidP="00AF410F">
      <w:r w:rsidRPr="00320628">
        <w:t>De tre delprogrammen kommer ha varsin genomförandekommitté som skall utforma de årliga handlingsprogrammen. Kommissionen och de mest berörda generaldirektoraten kommer anpassa sig för genomförandet av åtgärder. En möjlighet är att även utöka det nuvarande genomförandeorganets för Intelligent energi ansvarsområden till att täcka genomförandet av även övriga delprogram. De instrument som används i ett delprogram  kommer ofta även vara tillgängliga för övriga delprogram, till exempel skall de riskkapitalåtgärder som föreslås i delprogram för konkurrenskraft och innovation även göras tillgängliga för åtgärder inom området intelligent energi.</w:t>
      </w:r>
    </w:p>
    <w:p w:rsidR="00830929" w:rsidRPr="00320628" w:rsidRDefault="00830929">
      <w:pPr>
        <w:pStyle w:val="Rubrik2"/>
      </w:pPr>
      <w:r w:rsidRPr="00320628">
        <w:t>Gällande svenska regler och förslagets effekt på dessa</w:t>
      </w:r>
    </w:p>
    <w:p w:rsidR="00830929" w:rsidRPr="00320628" w:rsidRDefault="00830929">
      <w:r w:rsidRPr="00320628">
        <w:t>Svenska regler påverkas ej.</w:t>
      </w:r>
    </w:p>
    <w:p w:rsidR="00830929" w:rsidRPr="00320628" w:rsidRDefault="00830929">
      <w:pPr>
        <w:pStyle w:val="Rubrik2"/>
      </w:pPr>
      <w:r w:rsidRPr="00320628">
        <w:t>Budgetära konsekvenser</w:t>
      </w:r>
    </w:p>
    <w:p w:rsidR="00830929" w:rsidRPr="00320628" w:rsidRDefault="00830929">
      <w:r w:rsidRPr="00320628">
        <w:t>Omfattningen av programmet diskuteras inom ramen för nästa finansiella perspektiv, och det är därför i dagsläget osäkert vilka budgetära konsekvenser som programmet leder till. Kommissionen föreslår dock att programmet ges en budget på 4,2 miljarder euro under perioden 2007-2013.</w:t>
      </w:r>
    </w:p>
    <w:p w:rsidR="00830929" w:rsidRPr="00320628" w:rsidRDefault="00830929">
      <w:pPr>
        <w:pStyle w:val="Rubrik1"/>
      </w:pPr>
      <w:r w:rsidRPr="00320628">
        <w:t>Ståndpunkter</w:t>
      </w:r>
    </w:p>
    <w:p w:rsidR="00830929" w:rsidRPr="00320628" w:rsidRDefault="00830929">
      <w:pPr>
        <w:pStyle w:val="Rubrik2"/>
      </w:pPr>
      <w:r w:rsidRPr="00320628">
        <w:t>Svensk ståndpunkt</w:t>
      </w:r>
    </w:p>
    <w:p w:rsidR="00830929" w:rsidRPr="00320628" w:rsidRDefault="00830929">
      <w:r w:rsidRPr="00320628">
        <w:t xml:space="preserve">Regeringen har skickat ut förslaget på remiss till de närmast berörda myndigheterna och organisationerna. Därmed redovisas i denna faktapromemoria endast ett preliminärt förslag till svensk ståndpunkt. </w:t>
      </w:r>
    </w:p>
    <w:p w:rsidR="00830929" w:rsidRPr="00320628" w:rsidRDefault="00830929">
      <w:r w:rsidRPr="00320628">
        <w:t xml:space="preserve">Regeringen är generellt positivt till att kommissionen samordnar olika program för att öka effektiviteten, men efterlyser en tydligare redogörelse för synergierna som uppnås med konsolideringen i ett nytt ramprogram. </w:t>
      </w:r>
    </w:p>
    <w:p w:rsidR="00830929" w:rsidRPr="00320628" w:rsidRDefault="00830929">
      <w:r w:rsidRPr="00320628">
        <w:t xml:space="preserve">Det är viktigt att CIP utformas så att överlappningar med sjunde ramprogrammet och strukturfonderna undviks samtidigt som alla ansvarsområden verkligen blir täckta av programmen. </w:t>
      </w:r>
    </w:p>
    <w:p w:rsidR="00830929" w:rsidRPr="00320628" w:rsidRDefault="00830929">
      <w:r w:rsidRPr="00320628">
        <w:t>Regeringen efterlyser en tydligare koordinering mellan delprogrammen och inom de berörda general</w:t>
      </w:r>
      <w:r w:rsidRPr="00320628">
        <w:softHyphen/>
        <w:t xml:space="preserve">direktoraten inom kommissionen. Hur detta skall hanteras praktiskt är en viktig fråga att diskutera. </w:t>
      </w:r>
    </w:p>
    <w:p w:rsidR="00830929" w:rsidRPr="00320628" w:rsidRDefault="00830929">
      <w:r w:rsidRPr="00320628">
        <w:t>Regeringen menar att regelbundna undersökningar bör utföras om effekterna som uppnås, och att det bör finnas möjligheter att ompröva inriktningen på programmet under perioden.</w:t>
      </w:r>
    </w:p>
    <w:p w:rsidR="00830929" w:rsidRPr="00320628" w:rsidRDefault="00830929">
      <w:r w:rsidRPr="00320628">
        <w:t>Regeringen välkomnar programmets stöd för utvecklingen av den inre marknaden, till exempel satsningar på stödtjänster för SME samt IKT-stöd för information kring inre marknadens funktion. Satsningarna på god tillgång till riskkaptial för SME och insatser för att öka intresset för entreprenörskap bland unga ligger väl i linje med Sveriges intressen. Det är av stor vikt att en långsiktig finansiering av de tjänster som ges inom Euro Info Centres och Innovation Relay Centres säkerställs.</w:t>
      </w:r>
    </w:p>
    <w:p w:rsidR="00830929" w:rsidRPr="00320628" w:rsidRDefault="00830929" w:rsidP="00AF410F"/>
    <w:p w:rsidR="00830929" w:rsidRPr="00320628" w:rsidRDefault="00830929" w:rsidP="00AF410F"/>
    <w:p w:rsidR="00830929" w:rsidRPr="00320628" w:rsidRDefault="00830929" w:rsidP="00AF410F"/>
    <w:p w:rsidR="00830929" w:rsidRPr="00320628" w:rsidRDefault="00830929">
      <w:pPr>
        <w:pStyle w:val="Rubrik2"/>
      </w:pPr>
      <w:r w:rsidRPr="00320628">
        <w:t>Medlemsstaternas ståndpunkter</w:t>
      </w:r>
    </w:p>
    <w:p w:rsidR="00830929" w:rsidRPr="00320628" w:rsidRDefault="00830929">
      <w:r w:rsidRPr="00320628">
        <w:t>-</w:t>
      </w:r>
    </w:p>
    <w:p w:rsidR="00830929" w:rsidRPr="00320628" w:rsidRDefault="00830929">
      <w:pPr>
        <w:pStyle w:val="Rubrik2"/>
      </w:pPr>
      <w:r w:rsidRPr="00320628">
        <w:t>Institutionernas ståndpunkter</w:t>
      </w:r>
    </w:p>
    <w:p w:rsidR="00830929" w:rsidRPr="00320628" w:rsidRDefault="00830929">
      <w:r w:rsidRPr="00320628">
        <w:t>-</w:t>
      </w:r>
    </w:p>
    <w:p w:rsidR="00830929" w:rsidRPr="00320628" w:rsidRDefault="00830929">
      <w:pPr>
        <w:pStyle w:val="Rubrik2"/>
      </w:pPr>
      <w:r w:rsidRPr="00320628">
        <w:t>Remissinstansernas ståndpunkter</w:t>
      </w:r>
    </w:p>
    <w:p w:rsidR="00830929" w:rsidRPr="00320628" w:rsidRDefault="00830929">
      <w:r w:rsidRPr="00320628">
        <w:t>Remissinstanserna har ännu inte inkommit med sina synpunkter på förslaget.</w:t>
      </w:r>
    </w:p>
    <w:p w:rsidR="00830929" w:rsidRPr="00320628" w:rsidRDefault="00830929">
      <w:pPr>
        <w:pStyle w:val="Rubrik1"/>
      </w:pPr>
      <w:r w:rsidRPr="00320628">
        <w:t>Övrigt</w:t>
      </w:r>
    </w:p>
    <w:p w:rsidR="00830929" w:rsidRPr="00320628" w:rsidRDefault="00830929">
      <w:pPr>
        <w:pStyle w:val="Rubrik2"/>
      </w:pPr>
      <w:r w:rsidRPr="00320628">
        <w:t>Fortsatt behandling av ärendet</w:t>
      </w:r>
    </w:p>
    <w:p w:rsidR="00830929" w:rsidRPr="00320628" w:rsidRDefault="00830929">
      <w:r w:rsidRPr="00320628">
        <w:t>Mer djupgående förhandlingar kring förslaget väntas under sommar och höst 2005.</w:t>
      </w:r>
    </w:p>
    <w:p w:rsidR="00830929" w:rsidRPr="00320628" w:rsidRDefault="00830929">
      <w:pPr>
        <w:pStyle w:val="Rubrik2"/>
      </w:pPr>
      <w:r w:rsidRPr="00320628">
        <w:t>Rättslig grund och beslutsförfarande</w:t>
      </w:r>
    </w:p>
    <w:p w:rsidR="00830929" w:rsidRPr="00320628" w:rsidRDefault="00830929">
      <w:r w:rsidRPr="00320628">
        <w:t>Artiklarna 156, 157(3) och 175(1), medbeslutande.</w:t>
      </w:r>
    </w:p>
    <w:p w:rsidR="00830929" w:rsidRPr="00320628" w:rsidRDefault="00830929">
      <w:pPr>
        <w:pStyle w:val="Rubrik2"/>
      </w:pPr>
      <w:r w:rsidRPr="00320628">
        <w:t>Fackuttryck/termer</w:t>
      </w:r>
    </w:p>
    <w:p w:rsidR="00830929" w:rsidRPr="00320628" w:rsidRDefault="00830929">
      <w:r w:rsidRPr="00320628">
        <w:t>-</w:t>
      </w:r>
    </w:p>
    <w:sectPr w:rsidR="00830929" w:rsidRPr="0032062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451" w:rsidRPr="00320628" w:rsidRDefault="00A71451">
      <w:r w:rsidRPr="00320628">
        <w:separator/>
      </w:r>
    </w:p>
  </w:endnote>
  <w:endnote w:type="continuationSeparator" w:id="0">
    <w:p w:rsidR="00A71451" w:rsidRPr="00320628" w:rsidRDefault="00A71451">
      <w:r w:rsidRPr="003206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95" w:rsidRPr="00320628" w:rsidRDefault="00CF1A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95" w:rsidRPr="00320628" w:rsidRDefault="001D7646">
    <w:pPr>
      <w:pStyle w:val="SidfotH"/>
      <w:framePr w:wrap="around"/>
    </w:pPr>
    <w:r w:rsidRPr="00320628">
      <w:t>5</w:t>
    </w:r>
  </w:p>
  <w:p w:rsidR="00CF1A95" w:rsidRPr="00320628" w:rsidRDefault="00CF1A9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95" w:rsidRPr="00320628" w:rsidRDefault="00A71451">
    <w:pPr>
      <w:pStyle w:val="SidfotH"/>
      <w:framePr w:wrap="around"/>
    </w:pPr>
    <w:r w:rsidRPr="00320628">
      <w:t>1</w:t>
    </w:r>
  </w:p>
  <w:p w:rsidR="00CF1A95" w:rsidRPr="00320628" w:rsidRDefault="00CF1A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451" w:rsidRPr="00320628" w:rsidRDefault="00A71451">
      <w:r w:rsidRPr="00320628">
        <w:separator/>
      </w:r>
    </w:p>
  </w:footnote>
  <w:footnote w:type="continuationSeparator" w:id="0">
    <w:p w:rsidR="00A71451" w:rsidRPr="00320628" w:rsidRDefault="00A71451">
      <w:r w:rsidRPr="003206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95" w:rsidRPr="00320628" w:rsidRDefault="00CF1A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95" w:rsidRPr="00320628" w:rsidRDefault="00CF1A95">
    <w:pPr>
      <w:pStyle w:val="Kantrubrik"/>
      <w:framePr w:h="1157" w:hRule="exact" w:wrap="around" w:y="738"/>
    </w:pPr>
    <w:r w:rsidRPr="00320628">
      <w:t>2004/05:FPM72</w:t>
    </w:r>
  </w:p>
  <w:p w:rsidR="00CF1A95" w:rsidRPr="00320628" w:rsidRDefault="00CF1A9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95" w:rsidRPr="00320628" w:rsidRDefault="00320628">
    <w:pPr>
      <w:pStyle w:val="Sidhuvud"/>
    </w:pPr>
    <w:r w:rsidRPr="00320628">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405747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CF1A95" w:rsidRDefault="00CF1A9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9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CF1A95" w:rsidRDefault="00CF1A95">
                    <w:pPr>
                      <w:pStyle w:val="Logo"/>
                    </w:pPr>
                    <w:r>
                      <w:object w:dxaOrig="840" w:dyaOrig="1545">
                        <v:shape id="_x0000_i1025" type="#_x0000_t75" style="width:42pt;height:77.15pt" fillcolor="window">
                          <v:imagedata r:id="rId1" o:title=""/>
                        </v:shape>
                        <o:OLEObject Type="Embed" ProgID="Word.Picture.8" ShapeID="_x0000_i1025" DrawAspect="Content" ObjectID="_182742019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8303D5C"/>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AE47BCF"/>
    <w:multiLevelType w:val="hybridMultilevel"/>
    <w:tmpl w:val="0DACEBF6"/>
    <w:lvl w:ilvl="0" w:tplc="20222380">
      <w:start w:val="1"/>
      <w:numFmt w:val="bullet"/>
      <w:lvlText w:val="­"/>
      <w:lvlJc w:val="left"/>
      <w:pPr>
        <w:tabs>
          <w:tab w:val="num" w:pos="1500"/>
        </w:tabs>
        <w:ind w:left="1500" w:hanging="360"/>
      </w:pPr>
      <w:rPr>
        <w:rFonts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55D57"/>
    <w:multiLevelType w:val="hybridMultilevel"/>
    <w:tmpl w:val="355428D2"/>
    <w:lvl w:ilvl="0" w:tplc="20222380">
      <w:start w:val="1"/>
      <w:numFmt w:val="bullet"/>
      <w:lvlText w:val="­"/>
      <w:lvlJc w:val="left"/>
      <w:pPr>
        <w:tabs>
          <w:tab w:val="num" w:pos="360"/>
        </w:tabs>
        <w:ind w:left="360" w:hanging="360"/>
      </w:pPr>
      <w:rPr>
        <w:rFonts w:hAnsi="Courier New" w:hint="default"/>
      </w:rPr>
    </w:lvl>
    <w:lvl w:ilvl="1" w:tplc="04090003" w:tentative="1">
      <w:start w:val="1"/>
      <w:numFmt w:val="bullet"/>
      <w:lvlText w:val="o"/>
      <w:lvlJc w:val="left"/>
      <w:pPr>
        <w:tabs>
          <w:tab w:val="num" w:pos="300"/>
        </w:tabs>
        <w:ind w:left="300" w:hanging="360"/>
      </w:pPr>
      <w:rPr>
        <w:rFonts w:ascii="Courier New" w:hAnsi="Courier New" w:hint="default"/>
      </w:rPr>
    </w:lvl>
    <w:lvl w:ilvl="2" w:tplc="04090005" w:tentative="1">
      <w:start w:val="1"/>
      <w:numFmt w:val="bullet"/>
      <w:lvlText w:val=""/>
      <w:lvlJc w:val="left"/>
      <w:pPr>
        <w:tabs>
          <w:tab w:val="num" w:pos="1020"/>
        </w:tabs>
        <w:ind w:left="1020" w:hanging="360"/>
      </w:pPr>
      <w:rPr>
        <w:rFonts w:ascii="Wingdings" w:hAnsi="Wingdings"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4" w15:restartNumberingAfterBreak="0">
    <w:nsid w:val="25E32306"/>
    <w:multiLevelType w:val="hybridMultilevel"/>
    <w:tmpl w:val="A8821FD6"/>
    <w:lvl w:ilvl="0" w:tplc="20222380">
      <w:start w:val="1"/>
      <w:numFmt w:val="bullet"/>
      <w:lvlText w:val="­"/>
      <w:lvlJc w:val="left"/>
      <w:pPr>
        <w:tabs>
          <w:tab w:val="num" w:pos="360"/>
        </w:tabs>
        <w:ind w:left="360" w:hanging="360"/>
      </w:pPr>
      <w:rPr>
        <w:rFonts w:hAnsi="Courier New" w:hint="default"/>
      </w:rPr>
    </w:lvl>
    <w:lvl w:ilvl="1" w:tplc="04090003" w:tentative="1">
      <w:start w:val="1"/>
      <w:numFmt w:val="bullet"/>
      <w:lvlText w:val="o"/>
      <w:lvlJc w:val="left"/>
      <w:pPr>
        <w:tabs>
          <w:tab w:val="num" w:pos="300"/>
        </w:tabs>
        <w:ind w:left="300" w:hanging="360"/>
      </w:pPr>
      <w:rPr>
        <w:rFonts w:ascii="Courier New" w:hAnsi="Courier New" w:hint="default"/>
      </w:rPr>
    </w:lvl>
    <w:lvl w:ilvl="2" w:tplc="04090005" w:tentative="1">
      <w:start w:val="1"/>
      <w:numFmt w:val="bullet"/>
      <w:lvlText w:val=""/>
      <w:lvlJc w:val="left"/>
      <w:pPr>
        <w:tabs>
          <w:tab w:val="num" w:pos="1020"/>
        </w:tabs>
        <w:ind w:left="1020" w:hanging="360"/>
      </w:pPr>
      <w:rPr>
        <w:rFonts w:ascii="Wingdings" w:hAnsi="Wingdings"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5" w15:restartNumberingAfterBreak="0">
    <w:nsid w:val="27040E9E"/>
    <w:multiLevelType w:val="multilevel"/>
    <w:tmpl w:val="56903ED0"/>
    <w:lvl w:ilvl="0">
      <w:start w:val="1"/>
      <w:numFmt w:val="bullet"/>
      <w:lvlText w:val="­"/>
      <w:lvlJc w:val="left"/>
      <w:pPr>
        <w:tabs>
          <w:tab w:val="num" w:pos="360"/>
        </w:tabs>
        <w:ind w:left="360" w:hanging="360"/>
      </w:pPr>
      <w:rPr>
        <w:rFonts w:hAnsi="Courier New" w:hint="default"/>
      </w:r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B9118B2"/>
    <w:multiLevelType w:val="hybridMultilevel"/>
    <w:tmpl w:val="1944A748"/>
    <w:lvl w:ilvl="0" w:tplc="0409000F">
      <w:start w:val="1"/>
      <w:numFmt w:val="decimal"/>
      <w:lvlText w:val="%1."/>
      <w:lvlJc w:val="left"/>
      <w:pPr>
        <w:tabs>
          <w:tab w:val="num" w:pos="890"/>
        </w:tabs>
        <w:ind w:left="890" w:hanging="360"/>
      </w:p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7" w15:restartNumberingAfterBreak="0">
    <w:nsid w:val="31E71518"/>
    <w:multiLevelType w:val="multilevel"/>
    <w:tmpl w:val="56903ED0"/>
    <w:lvl w:ilvl="0">
      <w:start w:val="1"/>
      <w:numFmt w:val="bullet"/>
      <w:lvlText w:val="­"/>
      <w:lvlJc w:val="left"/>
      <w:pPr>
        <w:tabs>
          <w:tab w:val="num" w:pos="1500"/>
        </w:tabs>
        <w:ind w:left="1500" w:hanging="360"/>
      </w:pPr>
      <w:rPr>
        <w:rFonts w:hAnsi="Courier New" w:hint="default"/>
      </w:r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54300A54"/>
    <w:multiLevelType w:val="multilevel"/>
    <w:tmpl w:val="56903ED0"/>
    <w:lvl w:ilvl="0">
      <w:start w:val="1"/>
      <w:numFmt w:val="bullet"/>
      <w:lvlText w:val="­"/>
      <w:lvlJc w:val="left"/>
      <w:pPr>
        <w:tabs>
          <w:tab w:val="num" w:pos="1500"/>
        </w:tabs>
        <w:ind w:left="1500" w:hanging="360"/>
      </w:pPr>
      <w:rPr>
        <w:rFonts w:hAnsi="Courier New" w:hint="default"/>
      </w:r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546F00C6"/>
    <w:multiLevelType w:val="hybridMultilevel"/>
    <w:tmpl w:val="D1E26EF8"/>
    <w:lvl w:ilvl="0" w:tplc="20222380">
      <w:start w:val="1"/>
      <w:numFmt w:val="bullet"/>
      <w:lvlText w:val="­"/>
      <w:lvlJc w:val="left"/>
      <w:pPr>
        <w:tabs>
          <w:tab w:val="num" w:pos="360"/>
        </w:tabs>
        <w:ind w:left="360" w:hanging="360"/>
      </w:pPr>
      <w:rPr>
        <w:rFonts w:hAnsi="Courier New" w:hint="default"/>
      </w:rPr>
    </w:lvl>
    <w:lvl w:ilvl="1" w:tplc="04090003" w:tentative="1">
      <w:start w:val="1"/>
      <w:numFmt w:val="bullet"/>
      <w:lvlText w:val="o"/>
      <w:lvlJc w:val="left"/>
      <w:pPr>
        <w:tabs>
          <w:tab w:val="num" w:pos="300"/>
        </w:tabs>
        <w:ind w:left="300" w:hanging="360"/>
      </w:pPr>
      <w:rPr>
        <w:rFonts w:ascii="Courier New" w:hAnsi="Courier New" w:hint="default"/>
      </w:rPr>
    </w:lvl>
    <w:lvl w:ilvl="2" w:tplc="04090005" w:tentative="1">
      <w:start w:val="1"/>
      <w:numFmt w:val="bullet"/>
      <w:lvlText w:val=""/>
      <w:lvlJc w:val="left"/>
      <w:pPr>
        <w:tabs>
          <w:tab w:val="num" w:pos="1020"/>
        </w:tabs>
        <w:ind w:left="1020" w:hanging="360"/>
      </w:pPr>
      <w:rPr>
        <w:rFonts w:ascii="Wingdings" w:hAnsi="Wingdings"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12" w15:restartNumberingAfterBreak="0">
    <w:nsid w:val="59B66909"/>
    <w:multiLevelType w:val="hybridMultilevel"/>
    <w:tmpl w:val="A768D2F2"/>
    <w:lvl w:ilvl="0" w:tplc="20222380">
      <w:start w:val="1"/>
      <w:numFmt w:val="bullet"/>
      <w:lvlText w:val="­"/>
      <w:lvlJc w:val="left"/>
      <w:pPr>
        <w:tabs>
          <w:tab w:val="num" w:pos="360"/>
        </w:tabs>
        <w:ind w:left="360" w:hanging="360"/>
      </w:pPr>
      <w:rPr>
        <w:rFonts w:hAnsi="Courier New" w:hint="default"/>
      </w:rPr>
    </w:lvl>
    <w:lvl w:ilvl="1" w:tplc="04090003" w:tentative="1">
      <w:start w:val="1"/>
      <w:numFmt w:val="bullet"/>
      <w:lvlText w:val="o"/>
      <w:lvlJc w:val="left"/>
      <w:pPr>
        <w:tabs>
          <w:tab w:val="num" w:pos="300"/>
        </w:tabs>
        <w:ind w:left="300" w:hanging="360"/>
      </w:pPr>
      <w:rPr>
        <w:rFonts w:ascii="Courier New" w:hAnsi="Courier New" w:hint="default"/>
      </w:rPr>
    </w:lvl>
    <w:lvl w:ilvl="2" w:tplc="04090005" w:tentative="1">
      <w:start w:val="1"/>
      <w:numFmt w:val="bullet"/>
      <w:lvlText w:val=""/>
      <w:lvlJc w:val="left"/>
      <w:pPr>
        <w:tabs>
          <w:tab w:val="num" w:pos="1020"/>
        </w:tabs>
        <w:ind w:left="1020" w:hanging="360"/>
      </w:pPr>
      <w:rPr>
        <w:rFonts w:ascii="Wingdings" w:hAnsi="Wingdings"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1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4" w15:restartNumberingAfterBreak="0">
    <w:nsid w:val="68484C9C"/>
    <w:multiLevelType w:val="hybridMultilevel"/>
    <w:tmpl w:val="8A881C46"/>
    <w:lvl w:ilvl="0" w:tplc="20222380">
      <w:start w:val="1"/>
      <w:numFmt w:val="bullet"/>
      <w:lvlText w:val="­"/>
      <w:lvlJc w:val="left"/>
      <w:pPr>
        <w:tabs>
          <w:tab w:val="num" w:pos="1500"/>
        </w:tabs>
        <w:ind w:left="150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4A396C"/>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22E321F"/>
    <w:multiLevelType w:val="multilevel"/>
    <w:tmpl w:val="56903ED0"/>
    <w:lvl w:ilvl="0">
      <w:start w:val="1"/>
      <w:numFmt w:val="bullet"/>
      <w:lvlText w:val="­"/>
      <w:lvlJc w:val="left"/>
      <w:pPr>
        <w:tabs>
          <w:tab w:val="num" w:pos="1500"/>
        </w:tabs>
        <w:ind w:left="1500" w:hanging="360"/>
      </w:pPr>
      <w:rPr>
        <w:rFonts w:hAnsi="Courier New" w:hint="default"/>
      </w:r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8" w15:restartNumberingAfterBreak="0">
    <w:nsid w:val="77E42D46"/>
    <w:multiLevelType w:val="hybridMultilevel"/>
    <w:tmpl w:val="D46E40CE"/>
    <w:lvl w:ilvl="0" w:tplc="EDCAEEEE">
      <w:start w:val="1"/>
      <w:numFmt w:val="decimal"/>
      <w:lvlText w:val="%1."/>
      <w:lvlJc w:val="left"/>
      <w:pPr>
        <w:tabs>
          <w:tab w:val="num" w:pos="530"/>
        </w:tabs>
        <w:ind w:left="530" w:hanging="360"/>
      </w:pPr>
      <w:rPr>
        <w:rFonts w:hint="default"/>
      </w:rPr>
    </w:lvl>
    <w:lvl w:ilvl="1" w:tplc="04090019" w:tentative="1">
      <w:start w:val="1"/>
      <w:numFmt w:val="lowerLetter"/>
      <w:lvlText w:val="%2."/>
      <w:lvlJc w:val="left"/>
      <w:pPr>
        <w:tabs>
          <w:tab w:val="num" w:pos="1250"/>
        </w:tabs>
        <w:ind w:left="1250" w:hanging="360"/>
      </w:pPr>
    </w:lvl>
    <w:lvl w:ilvl="2" w:tplc="0409001B" w:tentative="1">
      <w:start w:val="1"/>
      <w:numFmt w:val="lowerRoman"/>
      <w:lvlText w:val="%3."/>
      <w:lvlJc w:val="right"/>
      <w:pPr>
        <w:tabs>
          <w:tab w:val="num" w:pos="1970"/>
        </w:tabs>
        <w:ind w:left="1970" w:hanging="180"/>
      </w:pPr>
    </w:lvl>
    <w:lvl w:ilvl="3" w:tplc="0409000F" w:tentative="1">
      <w:start w:val="1"/>
      <w:numFmt w:val="decimal"/>
      <w:lvlText w:val="%4."/>
      <w:lvlJc w:val="left"/>
      <w:pPr>
        <w:tabs>
          <w:tab w:val="num" w:pos="2690"/>
        </w:tabs>
        <w:ind w:left="2690" w:hanging="360"/>
      </w:pPr>
    </w:lvl>
    <w:lvl w:ilvl="4" w:tplc="04090019" w:tentative="1">
      <w:start w:val="1"/>
      <w:numFmt w:val="lowerLetter"/>
      <w:lvlText w:val="%5."/>
      <w:lvlJc w:val="left"/>
      <w:pPr>
        <w:tabs>
          <w:tab w:val="num" w:pos="3410"/>
        </w:tabs>
        <w:ind w:left="3410" w:hanging="360"/>
      </w:pPr>
    </w:lvl>
    <w:lvl w:ilvl="5" w:tplc="0409001B" w:tentative="1">
      <w:start w:val="1"/>
      <w:numFmt w:val="lowerRoman"/>
      <w:lvlText w:val="%6."/>
      <w:lvlJc w:val="right"/>
      <w:pPr>
        <w:tabs>
          <w:tab w:val="num" w:pos="4130"/>
        </w:tabs>
        <w:ind w:left="4130" w:hanging="180"/>
      </w:pPr>
    </w:lvl>
    <w:lvl w:ilvl="6" w:tplc="0409000F" w:tentative="1">
      <w:start w:val="1"/>
      <w:numFmt w:val="decimal"/>
      <w:lvlText w:val="%7."/>
      <w:lvlJc w:val="left"/>
      <w:pPr>
        <w:tabs>
          <w:tab w:val="num" w:pos="4850"/>
        </w:tabs>
        <w:ind w:left="4850" w:hanging="360"/>
      </w:pPr>
    </w:lvl>
    <w:lvl w:ilvl="7" w:tplc="04090019" w:tentative="1">
      <w:start w:val="1"/>
      <w:numFmt w:val="lowerLetter"/>
      <w:lvlText w:val="%8."/>
      <w:lvlJc w:val="left"/>
      <w:pPr>
        <w:tabs>
          <w:tab w:val="num" w:pos="5570"/>
        </w:tabs>
        <w:ind w:left="5570" w:hanging="360"/>
      </w:pPr>
    </w:lvl>
    <w:lvl w:ilvl="8" w:tplc="0409001B" w:tentative="1">
      <w:start w:val="1"/>
      <w:numFmt w:val="lowerRoman"/>
      <w:lvlText w:val="%9."/>
      <w:lvlJc w:val="right"/>
      <w:pPr>
        <w:tabs>
          <w:tab w:val="num" w:pos="6290"/>
        </w:tabs>
        <w:ind w:left="6290" w:hanging="180"/>
      </w:pPr>
    </w:lvl>
  </w:abstractNum>
  <w:abstractNum w:abstractNumId="19" w15:restartNumberingAfterBreak="0">
    <w:nsid w:val="7A8D3405"/>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81100150">
    <w:abstractNumId w:val="17"/>
  </w:num>
  <w:num w:numId="2" w16cid:durableId="2078822490">
    <w:abstractNumId w:val="8"/>
  </w:num>
  <w:num w:numId="3" w16cid:durableId="1572541853">
    <w:abstractNumId w:val="9"/>
  </w:num>
  <w:num w:numId="4" w16cid:durableId="1701204134">
    <w:abstractNumId w:val="13"/>
  </w:num>
  <w:num w:numId="5" w16cid:durableId="860440102">
    <w:abstractNumId w:val="20"/>
  </w:num>
  <w:num w:numId="6" w16cid:durableId="1739130548">
    <w:abstractNumId w:val="0"/>
  </w:num>
  <w:num w:numId="7" w16cid:durableId="1217861350">
    <w:abstractNumId w:val="3"/>
  </w:num>
  <w:num w:numId="8" w16cid:durableId="987781379">
    <w:abstractNumId w:val="6"/>
  </w:num>
  <w:num w:numId="9" w16cid:durableId="591428527">
    <w:abstractNumId w:val="18"/>
  </w:num>
  <w:num w:numId="10" w16cid:durableId="1187401515">
    <w:abstractNumId w:val="4"/>
  </w:num>
  <w:num w:numId="11" w16cid:durableId="1921137134">
    <w:abstractNumId w:val="11"/>
  </w:num>
  <w:num w:numId="12" w16cid:durableId="416942364">
    <w:abstractNumId w:val="12"/>
  </w:num>
  <w:num w:numId="13" w16cid:durableId="832381491">
    <w:abstractNumId w:val="2"/>
  </w:num>
  <w:num w:numId="14" w16cid:durableId="728266651">
    <w:abstractNumId w:val="14"/>
  </w:num>
  <w:num w:numId="15" w16cid:durableId="1163006823">
    <w:abstractNumId w:val="1"/>
  </w:num>
  <w:num w:numId="16" w16cid:durableId="392391585">
    <w:abstractNumId w:val="5"/>
  </w:num>
  <w:num w:numId="17" w16cid:durableId="1622222543">
    <w:abstractNumId w:val="15"/>
  </w:num>
  <w:num w:numId="18" w16cid:durableId="2109159273">
    <w:abstractNumId w:val="7"/>
  </w:num>
  <w:num w:numId="19" w16cid:durableId="89664122">
    <w:abstractNumId w:val="19"/>
  </w:num>
  <w:num w:numId="20" w16cid:durableId="967859373">
    <w:abstractNumId w:val="16"/>
  </w:num>
  <w:num w:numId="21" w16cid:durableId="569652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6-28"/>
    <w:docVar w:name="Ar" w:val="2004/05"/>
    <w:docVar w:name="Dep" w:val="Näringsdepartementet"/>
    <w:docVar w:name="DepWeb" w:val="Näringsdepartementet"/>
    <w:docVar w:name="GDB1" w:val="KOM(2005) 12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upprättande av ett ramprogram för konkurrenskraft och innovation (2007-201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 121 slutlig"/>
    <w:docVar w:name="Nr" w:val="X"/>
    <w:docVar w:name="Rub" w:val="Förslag till ramprogram för konkurrenskraft och innovation"/>
    <w:docVar w:name="UppDat" w:val="2005-06-23"/>
    <w:docVar w:name="Utsk" w:val="Näringsutskottet"/>
  </w:docVars>
  <w:rsids>
    <w:rsidRoot w:val="00320628"/>
    <w:rsid w:val="000544F5"/>
    <w:rsid w:val="001D7646"/>
    <w:rsid w:val="00316668"/>
    <w:rsid w:val="00320628"/>
    <w:rsid w:val="00830929"/>
    <w:rsid w:val="00A71451"/>
    <w:rsid w:val="00AF410F"/>
    <w:rsid w:val="00C67185"/>
    <w:rsid w:val="00CF1A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52BE1C-1528-46EF-917D-1B34907A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904</Words>
  <Characters>6193</Characters>
  <Application>Microsoft Office Word</Application>
  <DocSecurity>4</DocSecurity>
  <Lines>140</Lines>
  <Paragraphs>81</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2005-06-28T10:12:00Z</cp:lastPrinted>
  <dcterms:created xsi:type="dcterms:W3CDTF">2025-12-16T18:43:00Z</dcterms:created>
  <dcterms:modified xsi:type="dcterms:W3CDTF">2025-12-16T18:43:00Z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72</vt:lpwstr>
  </property>
  <property fmtid="{D5CDD505-2E9C-101B-9397-08002B2CF9AE}" pid="4" name="GDB1">
    <vt:lpwstr>KOM(2005) 121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Förslag till ramprogram för konkurrenskraft och innovation</vt:lpwstr>
  </property>
  <property fmtid="{D5CDD505-2E9C-101B-9397-08002B2CF9AE}" pid="8" name="UppDat">
    <vt:lpwstr>2005-06-23</vt:lpwstr>
  </property>
  <property fmtid="{D5CDD505-2E9C-101B-9397-08002B2CF9AE}" pid="9" name="AnkDat">
    <vt:lpwstr>2005-06-28</vt:lpwstr>
  </property>
  <property fmtid="{D5CDD505-2E9C-101B-9397-08002B2CF9AE}" pid="10" name="Utsk">
    <vt:lpwstr>Näringsutskottet</vt:lpwstr>
  </property>
  <property fmtid="{D5CDD505-2E9C-101B-9397-08002B2CF9AE}" pid="11" name="Ar">
    <vt:lpwstr>2004/05</vt:lpwstr>
  </property>
  <property fmtid="{D5CDD505-2E9C-101B-9397-08002B2CF9AE}" pid="12" name="DepID">
    <vt:lpwstr>10;0;0;0</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Näringsdepartementet">
    <vt:lpwstr>JA</vt:lpwstr>
  </property>
  <property fmtid="{D5CDD505-2E9C-101B-9397-08002B2CF9AE}" pid="28" name="Statsrådsberedningen">
    <vt:lpwstr>NEJ</vt:lpwstr>
  </property>
  <property fmtid="{D5CDD505-2E9C-101B-9397-08002B2CF9AE}" pid="29" name="Justitiedepartementet">
    <vt:lpwstr>NEJ</vt:lpwstr>
  </property>
  <property fmtid="{D5CDD505-2E9C-101B-9397-08002B2CF9AE}" pid="30" name="Utrikesdepartementet">
    <vt:lpwstr>NEJ</vt:lpwstr>
  </property>
  <property fmtid="{D5CDD505-2E9C-101B-9397-08002B2CF9AE}" pid="31" name="Försvarsdepartementet">
    <vt:lpwstr>NEJ</vt:lpwstr>
  </property>
  <property fmtid="{D5CDD505-2E9C-101B-9397-08002B2CF9AE}" pid="32" name="Socialdepartementet">
    <vt:lpwstr>NEJ</vt:lpwstr>
  </property>
  <property fmtid="{D5CDD505-2E9C-101B-9397-08002B2CF9AE}" pid="33" name="Finansdepartementet">
    <vt:lpwstr>NEJ</vt:lpwstr>
  </property>
  <property fmtid="{D5CDD505-2E9C-101B-9397-08002B2CF9AE}" pid="34" name="Utbildnings- och kulturdepartementet">
    <vt:lpwstr>NEJ</vt:lpwstr>
  </property>
  <property fmtid="{D5CDD505-2E9C-101B-9397-08002B2CF9AE}" pid="35" name="Jordbruksdepartementet">
    <vt:lpwstr>NEJ</vt:lpwstr>
  </property>
  <property fmtid="{D5CDD505-2E9C-101B-9397-08002B2CF9AE}" pid="36" name="Kulturdepartementet">
    <vt:lpwstr>NEJ</vt:lpwstr>
  </property>
  <property fmtid="{D5CDD505-2E9C-101B-9397-08002B2CF9AE}" pid="37" name="Miljö- och samhällsbyggnadsdepartementet">
    <vt:lpwstr>NEJ</vt:lpwstr>
  </property>
  <property fmtid="{D5CDD505-2E9C-101B-9397-08002B2CF9AE}" pid="38" name="Förvaltningsavdelningen">
    <vt:lpwstr>NEJ</vt:lpwstr>
  </property>
  <property fmtid="{D5CDD505-2E9C-101B-9397-08002B2CF9AE}" pid="39" name="Epostadress">
    <vt:lpwstr>ta0108aa</vt:lpwstr>
  </property>
</Properties>
</file>