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06314" w:rsidRPr="00606314" w:rsidRDefault="00606314">
      <w:pPr>
        <w:pStyle w:val="Hemstlrubrik"/>
        <w:shd w:val="clear" w:color="000000" w:fill="auto"/>
      </w:pPr>
      <w:r w:rsidRPr="00606314">
        <w:t>Förslag till riksdagsbeslut</w:t>
      </w:r>
    </w:p>
    <w:p w:rsidR="00606314" w:rsidRPr="00606314" w:rsidRDefault="00606314">
      <w:pPr>
        <w:pStyle w:val="Hemstlatt"/>
        <w:shd w:val="clear" w:color="000000" w:fill="auto"/>
        <w:ind w:left="0"/>
      </w:pPr>
      <w:r w:rsidRPr="00606314">
        <w:t>Riksdagen anvisar med följande ändringar i förhålla</w:t>
      </w:r>
      <w:r w:rsidRPr="00606314">
        <w:t>n</w:t>
      </w:r>
      <w:r w:rsidRPr="00606314">
        <w:t>de till regeringens förslag anslagen under utgiftsområde 16 Utbildning och universitetsforskning enligt uppställning:</w:t>
      </w:r>
    </w:p>
    <w:tbl>
      <w:tblPr>
        <w:tblW w:w="5954" w:type="dxa"/>
        <w:tblInd w:w="70" w:type="dxa"/>
        <w:tblLayout w:type="fixed"/>
        <w:tblCellMar>
          <w:left w:w="70" w:type="dxa"/>
          <w:right w:w="70" w:type="dxa"/>
        </w:tblCellMar>
        <w:tblLook w:val="0000" w:firstRow="0" w:lastRow="0" w:firstColumn="0" w:lastColumn="0" w:noHBand="0" w:noVBand="0"/>
      </w:tblPr>
      <w:tblGrid>
        <w:gridCol w:w="701"/>
        <w:gridCol w:w="3283"/>
        <w:gridCol w:w="985"/>
        <w:gridCol w:w="985"/>
      </w:tblGrid>
      <w:tr w:rsidR="00000000" w:rsidRPr="00606314">
        <w:trPr>
          <w:trHeight w:val="420"/>
        </w:trPr>
        <w:tc>
          <w:tcPr>
            <w:tcW w:w="701" w:type="dxa"/>
            <w:tcBorders>
              <w:top w:val="single" w:sz="4" w:space="0" w:color="auto"/>
              <w:left w:val="nil"/>
              <w:bottom w:val="single" w:sz="4" w:space="0" w:color="auto"/>
              <w:right w:val="nil"/>
            </w:tcBorders>
            <w:vAlign w:val="bottom"/>
          </w:tcPr>
          <w:p w:rsidR="00606314" w:rsidRPr="00606314" w:rsidRDefault="00606314">
            <w:pPr>
              <w:shd w:val="clear" w:color="000000" w:fill="auto"/>
              <w:spacing w:before="60" w:line="200" w:lineRule="exact"/>
              <w:jc w:val="center"/>
              <w:rPr>
                <w:b/>
                <w:bCs/>
                <w:color w:val="000000"/>
                <w:sz w:val="16"/>
                <w:szCs w:val="16"/>
              </w:rPr>
            </w:pPr>
            <w:r w:rsidRPr="00606314">
              <w:rPr>
                <w:b/>
                <w:bCs/>
                <w:color w:val="000000"/>
                <w:sz w:val="16"/>
                <w:szCs w:val="16"/>
              </w:rPr>
              <w:t>Anslag</w:t>
            </w:r>
          </w:p>
        </w:tc>
        <w:tc>
          <w:tcPr>
            <w:tcW w:w="3283" w:type="dxa"/>
            <w:tcBorders>
              <w:top w:val="single" w:sz="4" w:space="0" w:color="auto"/>
              <w:left w:val="nil"/>
              <w:bottom w:val="single" w:sz="4" w:space="0" w:color="auto"/>
              <w:right w:val="nil"/>
            </w:tcBorders>
            <w:vAlign w:val="bottom"/>
          </w:tcPr>
          <w:p w:rsidR="00606314" w:rsidRPr="00606314" w:rsidRDefault="00606314">
            <w:pPr>
              <w:shd w:val="clear" w:color="000000" w:fill="auto"/>
              <w:spacing w:before="60" w:line="200" w:lineRule="exact"/>
              <w:rPr>
                <w:b/>
                <w:bCs/>
                <w:color w:val="000000"/>
                <w:sz w:val="16"/>
                <w:szCs w:val="16"/>
              </w:rPr>
            </w:pPr>
            <w:r w:rsidRPr="00606314">
              <w:rPr>
                <w:b/>
                <w:bCs/>
                <w:color w:val="000000"/>
                <w:sz w:val="16"/>
                <w:szCs w:val="16"/>
              </w:rPr>
              <w:t>Utbildning och universitetsforskning</w:t>
            </w:r>
          </w:p>
        </w:tc>
        <w:tc>
          <w:tcPr>
            <w:tcW w:w="985" w:type="dxa"/>
            <w:tcBorders>
              <w:top w:val="single" w:sz="4" w:space="0" w:color="auto"/>
              <w:left w:val="nil"/>
              <w:bottom w:val="single" w:sz="4" w:space="0" w:color="auto"/>
              <w:right w:val="nil"/>
            </w:tcBorders>
            <w:vAlign w:val="bottom"/>
          </w:tcPr>
          <w:p w:rsidR="00606314" w:rsidRPr="00606314" w:rsidRDefault="00606314">
            <w:pPr>
              <w:shd w:val="clear" w:color="000000" w:fill="auto"/>
              <w:spacing w:before="60" w:line="200" w:lineRule="exact"/>
              <w:jc w:val="right"/>
              <w:rPr>
                <w:b/>
                <w:bCs/>
                <w:color w:val="000000"/>
                <w:sz w:val="16"/>
                <w:szCs w:val="16"/>
              </w:rPr>
            </w:pPr>
            <w:r w:rsidRPr="00606314">
              <w:rPr>
                <w:b/>
                <w:bCs/>
                <w:color w:val="000000"/>
                <w:sz w:val="16"/>
                <w:szCs w:val="16"/>
              </w:rPr>
              <w:t>Regeringens</w:t>
            </w:r>
            <w:r w:rsidRPr="00606314">
              <w:rPr>
                <w:b/>
                <w:bCs/>
                <w:color w:val="000000"/>
                <w:sz w:val="16"/>
                <w:szCs w:val="16"/>
              </w:rPr>
              <w:br/>
              <w:t>förslag</w:t>
            </w:r>
          </w:p>
        </w:tc>
        <w:tc>
          <w:tcPr>
            <w:tcW w:w="985" w:type="dxa"/>
            <w:tcBorders>
              <w:top w:val="single" w:sz="4" w:space="0" w:color="auto"/>
              <w:left w:val="nil"/>
              <w:bottom w:val="single" w:sz="4" w:space="0" w:color="auto"/>
              <w:right w:val="nil"/>
            </w:tcBorders>
            <w:vAlign w:val="bottom"/>
          </w:tcPr>
          <w:p w:rsidR="00606314" w:rsidRPr="00606314" w:rsidRDefault="00606314">
            <w:pPr>
              <w:shd w:val="clear" w:color="000000" w:fill="auto"/>
              <w:spacing w:before="60" w:line="200" w:lineRule="exact"/>
              <w:jc w:val="right"/>
              <w:rPr>
                <w:b/>
                <w:bCs/>
                <w:color w:val="000000"/>
                <w:sz w:val="16"/>
                <w:szCs w:val="16"/>
              </w:rPr>
            </w:pPr>
            <w:r w:rsidRPr="00606314">
              <w:rPr>
                <w:b/>
                <w:bCs/>
                <w:color w:val="000000"/>
                <w:sz w:val="16"/>
                <w:szCs w:val="16"/>
              </w:rPr>
              <w:t>Förändring</w:t>
            </w:r>
          </w:p>
        </w:tc>
      </w:tr>
      <w:tr w:rsidR="00000000" w:rsidRPr="00606314">
        <w:tc>
          <w:tcPr>
            <w:tcW w:w="701" w:type="dxa"/>
            <w:tcBorders>
              <w:top w:val="single" w:sz="4" w:space="0" w:color="auto"/>
              <w:left w:val="nil"/>
              <w:bottom w:val="nil"/>
              <w:right w:val="nil"/>
            </w:tcBorders>
            <w:vAlign w:val="bottom"/>
          </w:tcPr>
          <w:p w:rsidR="00606314" w:rsidRPr="00606314" w:rsidRDefault="00606314">
            <w:pPr>
              <w:shd w:val="clear" w:color="000000" w:fill="auto"/>
              <w:spacing w:before="60" w:line="200" w:lineRule="exact"/>
              <w:rPr>
                <w:color w:val="000000"/>
                <w:sz w:val="16"/>
                <w:szCs w:val="16"/>
              </w:rPr>
            </w:pPr>
            <w:r w:rsidRPr="00606314">
              <w:rPr>
                <w:color w:val="000000"/>
                <w:sz w:val="16"/>
                <w:szCs w:val="16"/>
              </w:rPr>
              <w:t>1:1</w:t>
            </w:r>
          </w:p>
        </w:tc>
        <w:tc>
          <w:tcPr>
            <w:tcW w:w="3283" w:type="dxa"/>
            <w:tcBorders>
              <w:top w:val="single" w:sz="4" w:space="0" w:color="auto"/>
              <w:left w:val="nil"/>
              <w:bottom w:val="nil"/>
              <w:right w:val="nil"/>
            </w:tcBorders>
            <w:vAlign w:val="bottom"/>
          </w:tcPr>
          <w:p w:rsidR="00606314" w:rsidRPr="00606314" w:rsidRDefault="00606314">
            <w:pPr>
              <w:shd w:val="clear" w:color="000000" w:fill="auto"/>
              <w:spacing w:before="60" w:line="200" w:lineRule="exact"/>
              <w:rPr>
                <w:color w:val="000000"/>
                <w:sz w:val="16"/>
                <w:szCs w:val="16"/>
              </w:rPr>
            </w:pPr>
            <w:r w:rsidRPr="00606314">
              <w:rPr>
                <w:color w:val="000000"/>
                <w:sz w:val="16"/>
                <w:szCs w:val="16"/>
              </w:rPr>
              <w:t>Statens skolverk</w:t>
            </w:r>
          </w:p>
        </w:tc>
        <w:tc>
          <w:tcPr>
            <w:tcW w:w="985" w:type="dxa"/>
            <w:tcBorders>
              <w:top w:val="single" w:sz="4" w:space="0" w:color="auto"/>
              <w:left w:val="nil"/>
              <w:bottom w:val="nil"/>
              <w:right w:val="nil"/>
            </w:tcBorders>
            <w:vAlign w:val="bottom"/>
          </w:tcPr>
          <w:p w:rsidR="00606314" w:rsidRPr="00606314" w:rsidRDefault="00606314">
            <w:pPr>
              <w:shd w:val="clear" w:color="000000" w:fill="auto"/>
              <w:spacing w:before="60" w:line="200" w:lineRule="exact"/>
              <w:jc w:val="right"/>
              <w:rPr>
                <w:color w:val="000000"/>
                <w:sz w:val="16"/>
                <w:szCs w:val="16"/>
              </w:rPr>
            </w:pPr>
            <w:r w:rsidRPr="00606314">
              <w:rPr>
                <w:sz w:val="16"/>
                <w:szCs w:val="16"/>
              </w:rPr>
              <w:t>306 701</w:t>
            </w:r>
          </w:p>
        </w:tc>
        <w:tc>
          <w:tcPr>
            <w:tcW w:w="985" w:type="dxa"/>
            <w:tcBorders>
              <w:top w:val="single" w:sz="4" w:space="0" w:color="auto"/>
              <w:left w:val="nil"/>
              <w:bottom w:val="nil"/>
              <w:right w:val="nil"/>
            </w:tcBorders>
            <w:vAlign w:val="bottom"/>
          </w:tcPr>
          <w:p w:rsidR="00606314" w:rsidRPr="00606314" w:rsidRDefault="00606314">
            <w:pPr>
              <w:pStyle w:val="PunktlistaTankstreck"/>
              <w:numPr>
                <w:ilvl w:val="0"/>
                <w:numId w:val="0"/>
              </w:numPr>
              <w:shd w:val="clear" w:color="000000" w:fill="auto"/>
              <w:spacing w:before="60" w:line="200" w:lineRule="exact"/>
              <w:jc w:val="right"/>
              <w:rPr>
                <w:sz w:val="16"/>
                <w:szCs w:val="16"/>
              </w:rPr>
            </w:pPr>
            <w:r w:rsidRPr="00606314">
              <w:rPr>
                <w:sz w:val="16"/>
                <w:szCs w:val="16"/>
              </w:rPr>
              <w:t>– 28 000</w:t>
            </w:r>
          </w:p>
        </w:tc>
      </w:tr>
      <w:tr w:rsidR="00000000" w:rsidRPr="00606314">
        <w:tc>
          <w:tcPr>
            <w:tcW w:w="701" w:type="dxa"/>
            <w:tcBorders>
              <w:top w:val="nil"/>
              <w:left w:val="nil"/>
              <w:bottom w:val="nil"/>
              <w:right w:val="nil"/>
            </w:tcBorders>
          </w:tcPr>
          <w:p w:rsidR="00606314" w:rsidRPr="00606314" w:rsidRDefault="00606314">
            <w:pPr>
              <w:shd w:val="clear" w:color="000000" w:fill="auto"/>
              <w:spacing w:before="60" w:line="200" w:lineRule="exact"/>
              <w:rPr>
                <w:color w:val="000000"/>
                <w:sz w:val="16"/>
                <w:szCs w:val="16"/>
              </w:rPr>
            </w:pPr>
            <w:r w:rsidRPr="00606314">
              <w:rPr>
                <w:color w:val="000000"/>
                <w:sz w:val="16"/>
                <w:szCs w:val="16"/>
              </w:rPr>
              <w:t>1:5</w:t>
            </w:r>
          </w:p>
        </w:tc>
        <w:tc>
          <w:tcPr>
            <w:tcW w:w="3283" w:type="dxa"/>
            <w:tcBorders>
              <w:top w:val="nil"/>
              <w:left w:val="nil"/>
              <w:bottom w:val="nil"/>
              <w:right w:val="nil"/>
            </w:tcBorders>
            <w:vAlign w:val="bottom"/>
          </w:tcPr>
          <w:p w:rsidR="00606314" w:rsidRPr="00606314" w:rsidRDefault="00606314">
            <w:pPr>
              <w:shd w:val="clear" w:color="000000" w:fill="auto"/>
              <w:spacing w:before="60" w:line="200" w:lineRule="exact"/>
              <w:rPr>
                <w:color w:val="000000"/>
                <w:sz w:val="16"/>
                <w:szCs w:val="16"/>
              </w:rPr>
            </w:pPr>
            <w:r w:rsidRPr="00606314">
              <w:rPr>
                <w:color w:val="000000"/>
                <w:sz w:val="16"/>
                <w:szCs w:val="16"/>
              </w:rPr>
              <w:t>Utveckling av skolväsende, förskoleverksamhet och skolbarnsomsorg</w:t>
            </w:r>
          </w:p>
        </w:tc>
        <w:tc>
          <w:tcPr>
            <w:tcW w:w="985" w:type="dxa"/>
            <w:tcBorders>
              <w:top w:val="nil"/>
              <w:left w:val="nil"/>
              <w:bottom w:val="nil"/>
              <w:right w:val="nil"/>
            </w:tcBorders>
            <w:vAlign w:val="bottom"/>
          </w:tcPr>
          <w:p w:rsidR="00606314" w:rsidRPr="00606314" w:rsidRDefault="00606314">
            <w:pPr>
              <w:shd w:val="clear" w:color="000000" w:fill="auto"/>
              <w:spacing w:before="60" w:line="200" w:lineRule="exact"/>
              <w:jc w:val="right"/>
              <w:rPr>
                <w:color w:val="000000"/>
                <w:sz w:val="16"/>
                <w:szCs w:val="16"/>
              </w:rPr>
            </w:pPr>
            <w:r w:rsidRPr="00606314">
              <w:rPr>
                <w:color w:val="000000"/>
                <w:sz w:val="16"/>
                <w:szCs w:val="16"/>
              </w:rPr>
              <w:t>845 463</w:t>
            </w:r>
          </w:p>
        </w:tc>
        <w:tc>
          <w:tcPr>
            <w:tcW w:w="985" w:type="dxa"/>
            <w:tcBorders>
              <w:top w:val="nil"/>
              <w:left w:val="nil"/>
              <w:bottom w:val="nil"/>
              <w:right w:val="nil"/>
            </w:tcBorders>
            <w:vAlign w:val="bottom"/>
          </w:tcPr>
          <w:p w:rsidR="00606314" w:rsidRPr="00606314" w:rsidRDefault="00606314">
            <w:pPr>
              <w:pStyle w:val="PunktlistaTankstreck"/>
              <w:numPr>
                <w:ilvl w:val="0"/>
                <w:numId w:val="0"/>
              </w:numPr>
              <w:shd w:val="clear" w:color="000000" w:fill="auto"/>
              <w:spacing w:before="60" w:line="200" w:lineRule="exact"/>
              <w:jc w:val="right"/>
              <w:rPr>
                <w:sz w:val="16"/>
                <w:szCs w:val="16"/>
              </w:rPr>
            </w:pPr>
            <w:r w:rsidRPr="00606314">
              <w:rPr>
                <w:sz w:val="16"/>
                <w:szCs w:val="16"/>
              </w:rPr>
              <w:t>– 260 000</w:t>
            </w:r>
          </w:p>
        </w:tc>
      </w:tr>
      <w:tr w:rsidR="00000000" w:rsidRPr="00606314">
        <w:tc>
          <w:tcPr>
            <w:tcW w:w="701" w:type="dxa"/>
            <w:tcBorders>
              <w:top w:val="nil"/>
              <w:left w:val="nil"/>
              <w:bottom w:val="nil"/>
              <w:right w:val="nil"/>
            </w:tcBorders>
            <w:vAlign w:val="bottom"/>
          </w:tcPr>
          <w:p w:rsidR="00606314" w:rsidRPr="00606314" w:rsidRDefault="00606314">
            <w:pPr>
              <w:shd w:val="clear" w:color="000000" w:fill="auto"/>
              <w:spacing w:before="60" w:line="200" w:lineRule="exact"/>
              <w:rPr>
                <w:color w:val="000000"/>
                <w:sz w:val="16"/>
                <w:szCs w:val="16"/>
              </w:rPr>
            </w:pPr>
            <w:r w:rsidRPr="00606314">
              <w:rPr>
                <w:color w:val="000000"/>
                <w:sz w:val="16"/>
                <w:szCs w:val="16"/>
              </w:rPr>
              <w:t>1:11</w:t>
            </w:r>
          </w:p>
        </w:tc>
        <w:tc>
          <w:tcPr>
            <w:tcW w:w="3283" w:type="dxa"/>
            <w:tcBorders>
              <w:top w:val="nil"/>
              <w:left w:val="nil"/>
              <w:bottom w:val="nil"/>
              <w:right w:val="nil"/>
            </w:tcBorders>
            <w:vAlign w:val="bottom"/>
          </w:tcPr>
          <w:p w:rsidR="00606314" w:rsidRPr="00606314" w:rsidRDefault="00606314">
            <w:pPr>
              <w:shd w:val="clear" w:color="000000" w:fill="auto"/>
              <w:spacing w:before="60" w:line="200" w:lineRule="exact"/>
              <w:rPr>
                <w:color w:val="000000"/>
                <w:sz w:val="16"/>
                <w:szCs w:val="16"/>
              </w:rPr>
            </w:pPr>
            <w:r w:rsidRPr="00606314">
              <w:rPr>
                <w:color w:val="000000"/>
                <w:sz w:val="16"/>
                <w:szCs w:val="16"/>
              </w:rPr>
              <w:t>Förstärkning av basfärdigheter</w:t>
            </w:r>
          </w:p>
        </w:tc>
        <w:tc>
          <w:tcPr>
            <w:tcW w:w="985" w:type="dxa"/>
            <w:tcBorders>
              <w:top w:val="nil"/>
              <w:left w:val="nil"/>
              <w:bottom w:val="nil"/>
              <w:right w:val="nil"/>
            </w:tcBorders>
            <w:vAlign w:val="bottom"/>
          </w:tcPr>
          <w:p w:rsidR="00606314" w:rsidRPr="00606314" w:rsidRDefault="00606314">
            <w:pPr>
              <w:shd w:val="clear" w:color="000000" w:fill="auto"/>
              <w:spacing w:before="60" w:line="200" w:lineRule="exact"/>
              <w:jc w:val="right"/>
              <w:rPr>
                <w:color w:val="000000"/>
                <w:sz w:val="16"/>
                <w:szCs w:val="16"/>
              </w:rPr>
            </w:pPr>
            <w:r w:rsidRPr="00606314">
              <w:rPr>
                <w:color w:val="000000"/>
                <w:sz w:val="16"/>
                <w:szCs w:val="16"/>
              </w:rPr>
              <w:t>250 000</w:t>
            </w:r>
          </w:p>
        </w:tc>
        <w:tc>
          <w:tcPr>
            <w:tcW w:w="985" w:type="dxa"/>
            <w:tcBorders>
              <w:top w:val="nil"/>
              <w:left w:val="nil"/>
              <w:bottom w:val="nil"/>
              <w:right w:val="nil"/>
            </w:tcBorders>
            <w:vAlign w:val="bottom"/>
          </w:tcPr>
          <w:p w:rsidR="00606314" w:rsidRPr="00606314" w:rsidRDefault="00606314">
            <w:pPr>
              <w:pStyle w:val="PunktlistaTankstreck"/>
              <w:numPr>
                <w:ilvl w:val="0"/>
                <w:numId w:val="0"/>
              </w:numPr>
              <w:shd w:val="clear" w:color="000000" w:fill="auto"/>
              <w:spacing w:before="60" w:line="200" w:lineRule="exact"/>
              <w:jc w:val="right"/>
              <w:rPr>
                <w:sz w:val="16"/>
                <w:szCs w:val="16"/>
              </w:rPr>
            </w:pPr>
            <w:r w:rsidRPr="00606314">
              <w:rPr>
                <w:sz w:val="16"/>
                <w:szCs w:val="16"/>
              </w:rPr>
              <w:t>– 250 000</w:t>
            </w:r>
          </w:p>
        </w:tc>
      </w:tr>
      <w:tr w:rsidR="00000000" w:rsidRPr="00606314">
        <w:tc>
          <w:tcPr>
            <w:tcW w:w="701" w:type="dxa"/>
            <w:tcBorders>
              <w:top w:val="nil"/>
              <w:left w:val="nil"/>
              <w:bottom w:val="nil"/>
              <w:right w:val="nil"/>
            </w:tcBorders>
            <w:vAlign w:val="bottom"/>
          </w:tcPr>
          <w:p w:rsidR="00606314" w:rsidRPr="00606314" w:rsidRDefault="00606314">
            <w:pPr>
              <w:shd w:val="clear" w:color="000000" w:fill="auto"/>
              <w:spacing w:before="60" w:line="200" w:lineRule="exact"/>
              <w:rPr>
                <w:color w:val="000000"/>
                <w:sz w:val="16"/>
                <w:szCs w:val="16"/>
              </w:rPr>
            </w:pPr>
            <w:r w:rsidRPr="00606314">
              <w:rPr>
                <w:color w:val="000000"/>
                <w:sz w:val="16"/>
                <w:szCs w:val="16"/>
              </w:rPr>
              <w:t>1:15</w:t>
            </w:r>
          </w:p>
        </w:tc>
        <w:tc>
          <w:tcPr>
            <w:tcW w:w="3283" w:type="dxa"/>
            <w:tcBorders>
              <w:top w:val="nil"/>
              <w:left w:val="nil"/>
              <w:bottom w:val="nil"/>
              <w:right w:val="nil"/>
            </w:tcBorders>
            <w:vAlign w:val="bottom"/>
          </w:tcPr>
          <w:p w:rsidR="00606314" w:rsidRPr="00606314" w:rsidRDefault="00606314">
            <w:pPr>
              <w:shd w:val="clear" w:color="000000" w:fill="auto"/>
              <w:spacing w:before="60" w:line="200" w:lineRule="exact"/>
              <w:rPr>
                <w:color w:val="000000"/>
                <w:sz w:val="16"/>
                <w:szCs w:val="16"/>
              </w:rPr>
            </w:pPr>
            <w:r w:rsidRPr="00606314">
              <w:rPr>
                <w:color w:val="000000"/>
                <w:sz w:val="16"/>
                <w:szCs w:val="16"/>
              </w:rPr>
              <w:t>Statligt stöd till vuxenutbildning</w:t>
            </w:r>
          </w:p>
        </w:tc>
        <w:tc>
          <w:tcPr>
            <w:tcW w:w="985" w:type="dxa"/>
            <w:tcBorders>
              <w:top w:val="nil"/>
              <w:left w:val="nil"/>
              <w:bottom w:val="nil"/>
              <w:right w:val="nil"/>
            </w:tcBorders>
            <w:vAlign w:val="bottom"/>
          </w:tcPr>
          <w:p w:rsidR="00606314" w:rsidRPr="00606314" w:rsidRDefault="00606314">
            <w:pPr>
              <w:shd w:val="clear" w:color="000000" w:fill="auto"/>
              <w:spacing w:before="60" w:line="200" w:lineRule="exact"/>
              <w:jc w:val="right"/>
              <w:rPr>
                <w:color w:val="000000"/>
                <w:sz w:val="16"/>
                <w:szCs w:val="16"/>
              </w:rPr>
            </w:pPr>
            <w:r w:rsidRPr="00606314">
              <w:rPr>
                <w:color w:val="000000"/>
                <w:sz w:val="16"/>
                <w:szCs w:val="16"/>
              </w:rPr>
              <w:t>608 708</w:t>
            </w:r>
          </w:p>
        </w:tc>
        <w:tc>
          <w:tcPr>
            <w:tcW w:w="985" w:type="dxa"/>
            <w:tcBorders>
              <w:top w:val="nil"/>
              <w:left w:val="nil"/>
              <w:bottom w:val="nil"/>
              <w:right w:val="nil"/>
            </w:tcBorders>
            <w:vAlign w:val="bottom"/>
          </w:tcPr>
          <w:p w:rsidR="00606314" w:rsidRPr="00606314" w:rsidRDefault="00606314">
            <w:pPr>
              <w:pStyle w:val="PunktlistaTankstreck"/>
              <w:numPr>
                <w:ilvl w:val="0"/>
                <w:numId w:val="0"/>
              </w:numPr>
              <w:shd w:val="clear" w:color="000000" w:fill="auto"/>
              <w:spacing w:before="60" w:line="200" w:lineRule="exact"/>
              <w:jc w:val="right"/>
              <w:rPr>
                <w:sz w:val="16"/>
                <w:szCs w:val="16"/>
              </w:rPr>
            </w:pPr>
            <w:r w:rsidRPr="00606314">
              <w:rPr>
                <w:sz w:val="16"/>
                <w:szCs w:val="16"/>
              </w:rPr>
              <w:t>– 124 000</w:t>
            </w:r>
          </w:p>
        </w:tc>
      </w:tr>
      <w:tr w:rsidR="00000000" w:rsidRPr="00606314">
        <w:tc>
          <w:tcPr>
            <w:tcW w:w="701" w:type="dxa"/>
            <w:tcBorders>
              <w:top w:val="nil"/>
              <w:left w:val="nil"/>
              <w:bottom w:val="nil"/>
              <w:right w:val="nil"/>
            </w:tcBorders>
          </w:tcPr>
          <w:p w:rsidR="00606314" w:rsidRPr="00606314" w:rsidRDefault="00606314">
            <w:pPr>
              <w:shd w:val="clear" w:color="000000" w:fill="auto"/>
              <w:spacing w:before="60" w:line="200" w:lineRule="exact"/>
              <w:rPr>
                <w:color w:val="000000"/>
                <w:sz w:val="16"/>
                <w:szCs w:val="16"/>
              </w:rPr>
            </w:pPr>
            <w:r w:rsidRPr="00606314">
              <w:rPr>
                <w:color w:val="000000"/>
                <w:sz w:val="16"/>
                <w:szCs w:val="16"/>
              </w:rPr>
              <w:t>1:17</w:t>
            </w:r>
          </w:p>
        </w:tc>
        <w:tc>
          <w:tcPr>
            <w:tcW w:w="3283" w:type="dxa"/>
            <w:tcBorders>
              <w:top w:val="nil"/>
              <w:left w:val="nil"/>
              <w:bottom w:val="nil"/>
              <w:right w:val="nil"/>
            </w:tcBorders>
            <w:vAlign w:val="bottom"/>
          </w:tcPr>
          <w:p w:rsidR="00606314" w:rsidRPr="00606314" w:rsidRDefault="00606314">
            <w:pPr>
              <w:shd w:val="clear" w:color="000000" w:fill="auto"/>
              <w:spacing w:before="60" w:line="200" w:lineRule="exact"/>
              <w:rPr>
                <w:color w:val="000000"/>
                <w:sz w:val="16"/>
                <w:szCs w:val="16"/>
              </w:rPr>
            </w:pPr>
            <w:r w:rsidRPr="00606314">
              <w:rPr>
                <w:color w:val="000000"/>
                <w:sz w:val="16"/>
                <w:szCs w:val="16"/>
              </w:rPr>
              <w:t>Bidrag till kvalificerad yrkesutbildning</w:t>
            </w:r>
          </w:p>
        </w:tc>
        <w:tc>
          <w:tcPr>
            <w:tcW w:w="985" w:type="dxa"/>
            <w:tcBorders>
              <w:top w:val="nil"/>
              <w:left w:val="nil"/>
              <w:bottom w:val="nil"/>
              <w:right w:val="nil"/>
            </w:tcBorders>
            <w:vAlign w:val="bottom"/>
          </w:tcPr>
          <w:p w:rsidR="00606314" w:rsidRPr="00606314" w:rsidRDefault="00606314">
            <w:pPr>
              <w:shd w:val="clear" w:color="000000" w:fill="auto"/>
              <w:spacing w:before="60" w:line="200" w:lineRule="exact"/>
              <w:jc w:val="right"/>
              <w:rPr>
                <w:color w:val="000000"/>
                <w:sz w:val="16"/>
                <w:szCs w:val="16"/>
              </w:rPr>
            </w:pPr>
            <w:r w:rsidRPr="00606314">
              <w:rPr>
                <w:color w:val="000000"/>
                <w:sz w:val="16"/>
                <w:szCs w:val="16"/>
              </w:rPr>
              <w:t>1 170 187</w:t>
            </w:r>
          </w:p>
        </w:tc>
        <w:tc>
          <w:tcPr>
            <w:tcW w:w="985" w:type="dxa"/>
            <w:tcBorders>
              <w:top w:val="nil"/>
              <w:left w:val="nil"/>
              <w:bottom w:val="nil"/>
              <w:right w:val="nil"/>
            </w:tcBorders>
            <w:vAlign w:val="bottom"/>
          </w:tcPr>
          <w:p w:rsidR="00606314" w:rsidRPr="00606314" w:rsidRDefault="00606314">
            <w:pPr>
              <w:shd w:val="clear" w:color="000000" w:fill="auto"/>
              <w:spacing w:before="60" w:line="200" w:lineRule="exact"/>
              <w:jc w:val="right"/>
              <w:rPr>
                <w:color w:val="000000"/>
                <w:sz w:val="16"/>
                <w:szCs w:val="16"/>
              </w:rPr>
            </w:pPr>
            <w:r w:rsidRPr="00606314">
              <w:rPr>
                <w:color w:val="000000"/>
                <w:sz w:val="16"/>
                <w:szCs w:val="16"/>
              </w:rPr>
              <w:t>34 500</w:t>
            </w:r>
          </w:p>
        </w:tc>
      </w:tr>
      <w:tr w:rsidR="00000000" w:rsidRPr="00606314">
        <w:tc>
          <w:tcPr>
            <w:tcW w:w="701" w:type="dxa"/>
            <w:tcBorders>
              <w:top w:val="nil"/>
              <w:left w:val="nil"/>
              <w:bottom w:val="nil"/>
              <w:right w:val="nil"/>
            </w:tcBorders>
            <w:vAlign w:val="bottom"/>
          </w:tcPr>
          <w:p w:rsidR="00606314" w:rsidRPr="00606314" w:rsidRDefault="00606314">
            <w:pPr>
              <w:shd w:val="clear" w:color="000000" w:fill="auto"/>
              <w:spacing w:before="60" w:line="200" w:lineRule="exact"/>
              <w:rPr>
                <w:color w:val="000000"/>
                <w:sz w:val="16"/>
                <w:szCs w:val="16"/>
              </w:rPr>
            </w:pPr>
            <w:r w:rsidRPr="00606314">
              <w:rPr>
                <w:color w:val="000000"/>
                <w:sz w:val="16"/>
                <w:szCs w:val="16"/>
              </w:rPr>
              <w:t>1:18</w:t>
            </w:r>
          </w:p>
        </w:tc>
        <w:tc>
          <w:tcPr>
            <w:tcW w:w="3283" w:type="dxa"/>
            <w:tcBorders>
              <w:top w:val="nil"/>
              <w:left w:val="nil"/>
              <w:bottom w:val="nil"/>
              <w:right w:val="nil"/>
            </w:tcBorders>
            <w:vAlign w:val="bottom"/>
          </w:tcPr>
          <w:p w:rsidR="00606314" w:rsidRPr="00606314" w:rsidRDefault="00606314">
            <w:pPr>
              <w:shd w:val="clear" w:color="000000" w:fill="auto"/>
              <w:spacing w:before="60" w:line="200" w:lineRule="exact"/>
              <w:rPr>
                <w:color w:val="000000"/>
                <w:sz w:val="16"/>
                <w:szCs w:val="16"/>
              </w:rPr>
            </w:pPr>
            <w:r w:rsidRPr="00606314">
              <w:rPr>
                <w:color w:val="000000"/>
                <w:sz w:val="16"/>
                <w:szCs w:val="16"/>
              </w:rPr>
              <w:t>Feministiskt självförsvar</w:t>
            </w:r>
          </w:p>
        </w:tc>
        <w:tc>
          <w:tcPr>
            <w:tcW w:w="985" w:type="dxa"/>
            <w:tcBorders>
              <w:top w:val="nil"/>
              <w:left w:val="nil"/>
              <w:bottom w:val="nil"/>
              <w:right w:val="nil"/>
            </w:tcBorders>
            <w:vAlign w:val="bottom"/>
          </w:tcPr>
          <w:p w:rsidR="00606314" w:rsidRPr="00606314" w:rsidRDefault="00606314">
            <w:pPr>
              <w:shd w:val="clear" w:color="000000" w:fill="auto"/>
              <w:spacing w:before="60" w:line="200" w:lineRule="exact"/>
              <w:jc w:val="right"/>
              <w:rPr>
                <w:color w:val="000000"/>
                <w:sz w:val="16"/>
                <w:szCs w:val="16"/>
              </w:rPr>
            </w:pPr>
          </w:p>
        </w:tc>
        <w:tc>
          <w:tcPr>
            <w:tcW w:w="985" w:type="dxa"/>
            <w:tcBorders>
              <w:top w:val="nil"/>
              <w:left w:val="nil"/>
              <w:bottom w:val="nil"/>
              <w:right w:val="nil"/>
            </w:tcBorders>
            <w:vAlign w:val="bottom"/>
          </w:tcPr>
          <w:p w:rsidR="00606314" w:rsidRPr="00606314" w:rsidRDefault="00606314">
            <w:pPr>
              <w:shd w:val="clear" w:color="000000" w:fill="auto"/>
              <w:spacing w:before="60" w:line="200" w:lineRule="exact"/>
              <w:jc w:val="right"/>
              <w:rPr>
                <w:color w:val="000000"/>
                <w:sz w:val="16"/>
                <w:szCs w:val="16"/>
              </w:rPr>
            </w:pPr>
            <w:r w:rsidRPr="00606314">
              <w:rPr>
                <w:color w:val="000000"/>
                <w:sz w:val="16"/>
                <w:szCs w:val="16"/>
              </w:rPr>
              <w:t>1 000</w:t>
            </w:r>
          </w:p>
        </w:tc>
      </w:tr>
      <w:tr w:rsidR="00000000" w:rsidRPr="00606314">
        <w:tc>
          <w:tcPr>
            <w:tcW w:w="701" w:type="dxa"/>
            <w:tcBorders>
              <w:top w:val="nil"/>
              <w:left w:val="nil"/>
              <w:bottom w:val="nil"/>
              <w:right w:val="nil"/>
            </w:tcBorders>
          </w:tcPr>
          <w:p w:rsidR="00606314" w:rsidRPr="00606314" w:rsidRDefault="00606314">
            <w:pPr>
              <w:shd w:val="clear" w:color="000000" w:fill="auto"/>
              <w:spacing w:before="60" w:line="200" w:lineRule="exact"/>
              <w:rPr>
                <w:color w:val="000000"/>
                <w:sz w:val="16"/>
                <w:szCs w:val="16"/>
              </w:rPr>
            </w:pPr>
            <w:r w:rsidRPr="00606314">
              <w:rPr>
                <w:color w:val="000000"/>
                <w:sz w:val="16"/>
                <w:szCs w:val="16"/>
              </w:rPr>
              <w:t>1:19</w:t>
            </w:r>
          </w:p>
        </w:tc>
        <w:tc>
          <w:tcPr>
            <w:tcW w:w="3283" w:type="dxa"/>
            <w:tcBorders>
              <w:top w:val="nil"/>
              <w:left w:val="nil"/>
              <w:bottom w:val="nil"/>
              <w:right w:val="nil"/>
            </w:tcBorders>
            <w:vAlign w:val="bottom"/>
          </w:tcPr>
          <w:p w:rsidR="00606314" w:rsidRPr="00606314" w:rsidRDefault="00606314">
            <w:pPr>
              <w:shd w:val="clear" w:color="000000" w:fill="auto"/>
              <w:spacing w:before="60" w:line="200" w:lineRule="exact"/>
              <w:rPr>
                <w:color w:val="000000"/>
                <w:sz w:val="16"/>
                <w:szCs w:val="16"/>
              </w:rPr>
            </w:pPr>
            <w:r w:rsidRPr="00606314">
              <w:rPr>
                <w:color w:val="000000"/>
                <w:sz w:val="16"/>
                <w:szCs w:val="16"/>
              </w:rPr>
              <w:t>Statlig finansiering av lärcentrum</w:t>
            </w:r>
          </w:p>
        </w:tc>
        <w:tc>
          <w:tcPr>
            <w:tcW w:w="985" w:type="dxa"/>
            <w:tcBorders>
              <w:top w:val="nil"/>
              <w:left w:val="nil"/>
              <w:bottom w:val="nil"/>
              <w:right w:val="nil"/>
            </w:tcBorders>
            <w:vAlign w:val="bottom"/>
          </w:tcPr>
          <w:p w:rsidR="00606314" w:rsidRPr="00606314" w:rsidRDefault="00606314">
            <w:pPr>
              <w:shd w:val="clear" w:color="000000" w:fill="auto"/>
              <w:spacing w:before="60" w:line="200" w:lineRule="exact"/>
              <w:jc w:val="right"/>
              <w:rPr>
                <w:color w:val="000000"/>
                <w:sz w:val="16"/>
                <w:szCs w:val="16"/>
              </w:rPr>
            </w:pPr>
          </w:p>
        </w:tc>
        <w:tc>
          <w:tcPr>
            <w:tcW w:w="985" w:type="dxa"/>
            <w:tcBorders>
              <w:top w:val="nil"/>
              <w:left w:val="nil"/>
              <w:bottom w:val="nil"/>
              <w:right w:val="nil"/>
            </w:tcBorders>
            <w:vAlign w:val="bottom"/>
          </w:tcPr>
          <w:p w:rsidR="00606314" w:rsidRPr="00606314" w:rsidRDefault="00606314">
            <w:pPr>
              <w:shd w:val="clear" w:color="000000" w:fill="auto"/>
              <w:spacing w:before="60" w:line="200" w:lineRule="exact"/>
              <w:jc w:val="right"/>
              <w:rPr>
                <w:color w:val="000000"/>
                <w:sz w:val="16"/>
                <w:szCs w:val="16"/>
              </w:rPr>
            </w:pPr>
            <w:r w:rsidRPr="00606314">
              <w:rPr>
                <w:color w:val="000000"/>
                <w:sz w:val="16"/>
                <w:szCs w:val="16"/>
              </w:rPr>
              <w:t>300 000</w:t>
            </w:r>
          </w:p>
        </w:tc>
      </w:tr>
      <w:tr w:rsidR="00000000" w:rsidRPr="00606314">
        <w:tc>
          <w:tcPr>
            <w:tcW w:w="701" w:type="dxa"/>
            <w:tcBorders>
              <w:top w:val="nil"/>
              <w:left w:val="nil"/>
              <w:bottom w:val="nil"/>
              <w:right w:val="nil"/>
            </w:tcBorders>
            <w:vAlign w:val="bottom"/>
          </w:tcPr>
          <w:p w:rsidR="00606314" w:rsidRPr="00606314" w:rsidRDefault="00606314">
            <w:pPr>
              <w:shd w:val="clear" w:color="000000" w:fill="auto"/>
              <w:spacing w:before="60" w:line="200" w:lineRule="exact"/>
              <w:rPr>
                <w:color w:val="000000"/>
                <w:sz w:val="16"/>
                <w:szCs w:val="16"/>
              </w:rPr>
            </w:pPr>
            <w:r w:rsidRPr="00606314">
              <w:rPr>
                <w:color w:val="000000"/>
                <w:sz w:val="16"/>
                <w:szCs w:val="16"/>
              </w:rPr>
              <w:t>2:58</w:t>
            </w:r>
          </w:p>
        </w:tc>
        <w:tc>
          <w:tcPr>
            <w:tcW w:w="3283" w:type="dxa"/>
            <w:tcBorders>
              <w:top w:val="nil"/>
              <w:left w:val="nil"/>
              <w:bottom w:val="nil"/>
              <w:right w:val="nil"/>
            </w:tcBorders>
            <w:vAlign w:val="bottom"/>
          </w:tcPr>
          <w:p w:rsidR="00606314" w:rsidRPr="00606314" w:rsidRDefault="00606314">
            <w:pPr>
              <w:shd w:val="clear" w:color="000000" w:fill="auto"/>
              <w:spacing w:before="60" w:line="200" w:lineRule="exact"/>
              <w:rPr>
                <w:color w:val="000000"/>
                <w:sz w:val="16"/>
                <w:szCs w:val="16"/>
              </w:rPr>
            </w:pPr>
            <w:r w:rsidRPr="00606314">
              <w:rPr>
                <w:color w:val="000000"/>
                <w:sz w:val="16"/>
                <w:szCs w:val="16"/>
              </w:rPr>
              <w:t>Ersättningar för klinisk utbildning och forskning</w:t>
            </w:r>
          </w:p>
        </w:tc>
        <w:tc>
          <w:tcPr>
            <w:tcW w:w="985" w:type="dxa"/>
            <w:tcBorders>
              <w:top w:val="nil"/>
              <w:left w:val="nil"/>
              <w:bottom w:val="nil"/>
              <w:right w:val="nil"/>
            </w:tcBorders>
            <w:vAlign w:val="bottom"/>
          </w:tcPr>
          <w:p w:rsidR="00606314" w:rsidRPr="00606314" w:rsidRDefault="00606314">
            <w:pPr>
              <w:shd w:val="clear" w:color="000000" w:fill="auto"/>
              <w:spacing w:before="60" w:line="200" w:lineRule="exact"/>
              <w:jc w:val="right"/>
              <w:rPr>
                <w:color w:val="000000"/>
                <w:sz w:val="16"/>
                <w:szCs w:val="16"/>
              </w:rPr>
            </w:pPr>
            <w:r w:rsidRPr="00606314">
              <w:rPr>
                <w:color w:val="000000"/>
                <w:sz w:val="16"/>
                <w:szCs w:val="16"/>
              </w:rPr>
              <w:t>2 087 177</w:t>
            </w:r>
          </w:p>
        </w:tc>
        <w:tc>
          <w:tcPr>
            <w:tcW w:w="985" w:type="dxa"/>
            <w:tcBorders>
              <w:top w:val="nil"/>
              <w:left w:val="nil"/>
              <w:bottom w:val="nil"/>
              <w:right w:val="nil"/>
            </w:tcBorders>
            <w:vAlign w:val="bottom"/>
          </w:tcPr>
          <w:p w:rsidR="00606314" w:rsidRPr="00606314" w:rsidRDefault="00606314">
            <w:pPr>
              <w:shd w:val="clear" w:color="000000" w:fill="auto"/>
              <w:spacing w:before="60" w:line="200" w:lineRule="exact"/>
              <w:jc w:val="right"/>
              <w:rPr>
                <w:color w:val="000000"/>
                <w:sz w:val="16"/>
                <w:szCs w:val="16"/>
              </w:rPr>
            </w:pPr>
            <w:r w:rsidRPr="00606314">
              <w:rPr>
                <w:color w:val="000000"/>
                <w:sz w:val="16"/>
                <w:szCs w:val="16"/>
              </w:rPr>
              <w:t>7 000</w:t>
            </w:r>
          </w:p>
        </w:tc>
      </w:tr>
      <w:tr w:rsidR="00000000" w:rsidRPr="00606314">
        <w:tc>
          <w:tcPr>
            <w:tcW w:w="701" w:type="dxa"/>
            <w:tcBorders>
              <w:top w:val="nil"/>
              <w:left w:val="nil"/>
              <w:bottom w:val="nil"/>
              <w:right w:val="nil"/>
            </w:tcBorders>
            <w:vAlign w:val="bottom"/>
          </w:tcPr>
          <w:p w:rsidR="00606314" w:rsidRPr="00606314" w:rsidRDefault="00606314">
            <w:pPr>
              <w:shd w:val="clear" w:color="000000" w:fill="auto"/>
              <w:spacing w:before="60" w:line="200" w:lineRule="exact"/>
              <w:rPr>
                <w:color w:val="000000"/>
                <w:sz w:val="16"/>
                <w:szCs w:val="16"/>
              </w:rPr>
            </w:pPr>
            <w:r w:rsidRPr="00606314">
              <w:rPr>
                <w:color w:val="000000"/>
                <w:sz w:val="16"/>
                <w:szCs w:val="16"/>
              </w:rPr>
              <w:t>2:59</w:t>
            </w:r>
          </w:p>
        </w:tc>
        <w:tc>
          <w:tcPr>
            <w:tcW w:w="3283" w:type="dxa"/>
            <w:tcBorders>
              <w:top w:val="nil"/>
              <w:left w:val="nil"/>
              <w:bottom w:val="nil"/>
              <w:right w:val="nil"/>
            </w:tcBorders>
            <w:vAlign w:val="bottom"/>
          </w:tcPr>
          <w:p w:rsidR="00606314" w:rsidRPr="00606314" w:rsidRDefault="00606314">
            <w:pPr>
              <w:shd w:val="clear" w:color="000000" w:fill="auto"/>
              <w:spacing w:before="60" w:line="200" w:lineRule="exact"/>
              <w:rPr>
                <w:color w:val="000000"/>
                <w:sz w:val="16"/>
                <w:szCs w:val="16"/>
              </w:rPr>
            </w:pPr>
            <w:r w:rsidRPr="00606314">
              <w:rPr>
                <w:color w:val="000000"/>
                <w:sz w:val="16"/>
                <w:szCs w:val="16"/>
              </w:rPr>
              <w:t>Fler högskoleplatser</w:t>
            </w:r>
          </w:p>
        </w:tc>
        <w:tc>
          <w:tcPr>
            <w:tcW w:w="985" w:type="dxa"/>
            <w:tcBorders>
              <w:top w:val="nil"/>
              <w:left w:val="nil"/>
              <w:bottom w:val="nil"/>
              <w:right w:val="nil"/>
            </w:tcBorders>
            <w:vAlign w:val="bottom"/>
          </w:tcPr>
          <w:p w:rsidR="00606314" w:rsidRPr="00606314" w:rsidRDefault="00606314">
            <w:pPr>
              <w:shd w:val="clear" w:color="000000" w:fill="auto"/>
              <w:spacing w:before="60" w:line="200" w:lineRule="exact"/>
              <w:jc w:val="right"/>
              <w:rPr>
                <w:color w:val="000000"/>
                <w:sz w:val="16"/>
                <w:szCs w:val="16"/>
              </w:rPr>
            </w:pPr>
          </w:p>
        </w:tc>
        <w:tc>
          <w:tcPr>
            <w:tcW w:w="985" w:type="dxa"/>
            <w:tcBorders>
              <w:top w:val="nil"/>
              <w:left w:val="nil"/>
              <w:bottom w:val="nil"/>
              <w:right w:val="nil"/>
            </w:tcBorders>
            <w:vAlign w:val="bottom"/>
          </w:tcPr>
          <w:p w:rsidR="00606314" w:rsidRPr="00606314" w:rsidRDefault="00606314">
            <w:pPr>
              <w:shd w:val="clear" w:color="000000" w:fill="auto"/>
              <w:spacing w:before="60" w:line="200" w:lineRule="exact"/>
              <w:jc w:val="right"/>
              <w:rPr>
                <w:color w:val="000000"/>
                <w:sz w:val="16"/>
                <w:szCs w:val="16"/>
              </w:rPr>
            </w:pPr>
            <w:r w:rsidRPr="00606314">
              <w:rPr>
                <w:color w:val="000000"/>
                <w:sz w:val="16"/>
                <w:szCs w:val="16"/>
              </w:rPr>
              <w:t>213 000</w:t>
            </w:r>
          </w:p>
        </w:tc>
      </w:tr>
      <w:tr w:rsidR="00000000" w:rsidRPr="00606314">
        <w:tc>
          <w:tcPr>
            <w:tcW w:w="701" w:type="dxa"/>
            <w:tcBorders>
              <w:top w:val="nil"/>
              <w:left w:val="nil"/>
              <w:right w:val="nil"/>
            </w:tcBorders>
          </w:tcPr>
          <w:p w:rsidR="00606314" w:rsidRPr="00606314" w:rsidRDefault="00606314">
            <w:pPr>
              <w:shd w:val="clear" w:color="000000" w:fill="auto"/>
              <w:spacing w:before="60" w:line="200" w:lineRule="exact"/>
              <w:rPr>
                <w:color w:val="000000"/>
                <w:sz w:val="16"/>
                <w:szCs w:val="16"/>
              </w:rPr>
            </w:pPr>
            <w:r w:rsidRPr="00606314">
              <w:rPr>
                <w:color w:val="000000"/>
                <w:sz w:val="16"/>
                <w:szCs w:val="16"/>
              </w:rPr>
              <w:t>2:60</w:t>
            </w:r>
          </w:p>
        </w:tc>
        <w:tc>
          <w:tcPr>
            <w:tcW w:w="3283" w:type="dxa"/>
            <w:tcBorders>
              <w:top w:val="nil"/>
              <w:left w:val="nil"/>
              <w:right w:val="nil"/>
            </w:tcBorders>
            <w:vAlign w:val="bottom"/>
          </w:tcPr>
          <w:p w:rsidR="00606314" w:rsidRPr="00606314" w:rsidRDefault="00606314">
            <w:pPr>
              <w:shd w:val="clear" w:color="000000" w:fill="auto"/>
              <w:spacing w:before="60" w:line="200" w:lineRule="exact"/>
              <w:rPr>
                <w:color w:val="000000"/>
                <w:sz w:val="16"/>
                <w:szCs w:val="16"/>
              </w:rPr>
            </w:pPr>
            <w:r w:rsidRPr="00606314">
              <w:rPr>
                <w:color w:val="000000"/>
                <w:sz w:val="16"/>
                <w:szCs w:val="16"/>
              </w:rPr>
              <w:t>Förlängning av viss lärar</w:t>
            </w:r>
            <w:r w:rsidRPr="00606314">
              <w:rPr>
                <w:color w:val="000000"/>
                <w:sz w:val="16"/>
                <w:szCs w:val="16"/>
              </w:rPr>
              <w:softHyphen/>
              <w:t>utbildning</w:t>
            </w:r>
          </w:p>
        </w:tc>
        <w:tc>
          <w:tcPr>
            <w:tcW w:w="985" w:type="dxa"/>
            <w:tcBorders>
              <w:top w:val="nil"/>
              <w:left w:val="nil"/>
              <w:right w:val="nil"/>
            </w:tcBorders>
            <w:vAlign w:val="bottom"/>
          </w:tcPr>
          <w:p w:rsidR="00606314" w:rsidRPr="00606314" w:rsidRDefault="00606314">
            <w:pPr>
              <w:shd w:val="clear" w:color="000000" w:fill="auto"/>
              <w:spacing w:before="60" w:line="200" w:lineRule="exact"/>
              <w:jc w:val="right"/>
              <w:rPr>
                <w:color w:val="000000"/>
                <w:sz w:val="16"/>
                <w:szCs w:val="16"/>
              </w:rPr>
            </w:pPr>
          </w:p>
        </w:tc>
        <w:tc>
          <w:tcPr>
            <w:tcW w:w="985" w:type="dxa"/>
            <w:tcBorders>
              <w:top w:val="nil"/>
              <w:left w:val="nil"/>
              <w:right w:val="nil"/>
            </w:tcBorders>
            <w:vAlign w:val="bottom"/>
          </w:tcPr>
          <w:p w:rsidR="00606314" w:rsidRPr="00606314" w:rsidRDefault="00606314">
            <w:pPr>
              <w:shd w:val="clear" w:color="000000" w:fill="auto"/>
              <w:spacing w:before="60" w:line="200" w:lineRule="exact"/>
              <w:jc w:val="right"/>
              <w:rPr>
                <w:color w:val="000000"/>
                <w:sz w:val="16"/>
                <w:szCs w:val="16"/>
              </w:rPr>
            </w:pPr>
            <w:r w:rsidRPr="00606314">
              <w:rPr>
                <w:color w:val="000000"/>
                <w:sz w:val="16"/>
                <w:szCs w:val="16"/>
              </w:rPr>
              <w:t>120 000</w:t>
            </w:r>
          </w:p>
        </w:tc>
      </w:tr>
      <w:tr w:rsidR="00000000" w:rsidRPr="00606314">
        <w:tc>
          <w:tcPr>
            <w:tcW w:w="701" w:type="dxa"/>
            <w:tcBorders>
              <w:top w:val="nil"/>
              <w:left w:val="nil"/>
              <w:bottom w:val="single" w:sz="4" w:space="0" w:color="auto"/>
              <w:right w:val="nil"/>
            </w:tcBorders>
            <w:vAlign w:val="bottom"/>
          </w:tcPr>
          <w:p w:rsidR="00606314" w:rsidRPr="00606314" w:rsidRDefault="00606314">
            <w:pPr>
              <w:shd w:val="clear" w:color="000000" w:fill="auto"/>
              <w:spacing w:before="60" w:line="200" w:lineRule="exact"/>
              <w:rPr>
                <w:bCs/>
                <w:color w:val="000000"/>
                <w:sz w:val="16"/>
                <w:szCs w:val="16"/>
              </w:rPr>
            </w:pPr>
          </w:p>
        </w:tc>
        <w:tc>
          <w:tcPr>
            <w:tcW w:w="3283" w:type="dxa"/>
            <w:tcBorders>
              <w:top w:val="nil"/>
              <w:left w:val="nil"/>
              <w:bottom w:val="single" w:sz="4" w:space="0" w:color="auto"/>
              <w:right w:val="nil"/>
            </w:tcBorders>
            <w:vAlign w:val="bottom"/>
          </w:tcPr>
          <w:p w:rsidR="00606314" w:rsidRPr="00606314" w:rsidRDefault="00606314">
            <w:pPr>
              <w:shd w:val="clear" w:color="000000" w:fill="auto"/>
              <w:spacing w:before="60" w:line="200" w:lineRule="exact"/>
              <w:rPr>
                <w:b/>
                <w:bCs/>
                <w:color w:val="000000"/>
                <w:sz w:val="16"/>
                <w:szCs w:val="16"/>
              </w:rPr>
            </w:pPr>
            <w:r w:rsidRPr="00606314">
              <w:rPr>
                <w:b/>
                <w:bCs/>
                <w:color w:val="000000"/>
                <w:sz w:val="16"/>
                <w:szCs w:val="16"/>
              </w:rPr>
              <w:t>Summa</w:t>
            </w:r>
          </w:p>
        </w:tc>
        <w:tc>
          <w:tcPr>
            <w:tcW w:w="985" w:type="dxa"/>
            <w:tcBorders>
              <w:top w:val="nil"/>
              <w:left w:val="nil"/>
              <w:bottom w:val="single" w:sz="4" w:space="0" w:color="auto"/>
              <w:right w:val="nil"/>
            </w:tcBorders>
            <w:vAlign w:val="bottom"/>
          </w:tcPr>
          <w:p w:rsidR="00606314" w:rsidRPr="00606314" w:rsidRDefault="00606314">
            <w:pPr>
              <w:shd w:val="clear" w:color="000000" w:fill="auto"/>
              <w:spacing w:before="60" w:line="200" w:lineRule="exact"/>
              <w:jc w:val="right"/>
              <w:rPr>
                <w:b/>
                <w:bCs/>
                <w:color w:val="000000"/>
                <w:sz w:val="16"/>
                <w:szCs w:val="16"/>
              </w:rPr>
            </w:pPr>
          </w:p>
        </w:tc>
        <w:tc>
          <w:tcPr>
            <w:tcW w:w="985" w:type="dxa"/>
            <w:tcBorders>
              <w:top w:val="nil"/>
              <w:left w:val="nil"/>
              <w:bottom w:val="single" w:sz="4" w:space="0" w:color="auto"/>
              <w:right w:val="nil"/>
            </w:tcBorders>
            <w:vAlign w:val="bottom"/>
          </w:tcPr>
          <w:p w:rsidR="00606314" w:rsidRPr="00606314" w:rsidRDefault="00606314">
            <w:pPr>
              <w:shd w:val="clear" w:color="000000" w:fill="auto"/>
              <w:spacing w:before="60" w:line="200" w:lineRule="exact"/>
              <w:jc w:val="right"/>
              <w:rPr>
                <w:b/>
                <w:bCs/>
                <w:color w:val="000000"/>
                <w:sz w:val="16"/>
                <w:szCs w:val="16"/>
              </w:rPr>
            </w:pPr>
            <w:r w:rsidRPr="00606314">
              <w:rPr>
                <w:b/>
                <w:bCs/>
                <w:color w:val="000000"/>
                <w:sz w:val="16"/>
                <w:szCs w:val="16"/>
              </w:rPr>
              <w:t>13 500</w:t>
            </w:r>
          </w:p>
        </w:tc>
      </w:tr>
    </w:tbl>
    <w:p w:rsidR="00606314" w:rsidRPr="00606314" w:rsidRDefault="00606314">
      <w:pPr>
        <w:shd w:val="clear" w:color="000000" w:fill="auto"/>
      </w:pPr>
    </w:p>
    <w:p w:rsidR="00606314" w:rsidRPr="00606314" w:rsidRDefault="00606314">
      <w:pPr>
        <w:pStyle w:val="Rubrik1"/>
        <w:shd w:val="clear" w:color="000000" w:fill="auto"/>
        <w:spacing w:before="480"/>
      </w:pPr>
      <w:r w:rsidRPr="00606314">
        <w:t>Statens skolverk</w:t>
      </w:r>
    </w:p>
    <w:p w:rsidR="00606314" w:rsidRPr="00606314" w:rsidRDefault="00606314">
      <w:pPr>
        <w:shd w:val="clear" w:color="000000" w:fill="auto"/>
      </w:pPr>
      <w:r w:rsidRPr="00606314">
        <w:t>Skolverket har fått ett tillskott på drygt 28 miljoner kronor för arbetet med fler nationella prov. Vänsterpartiet anser att det inte finns något behov av fler nationella prov och minskar anslaget 1:1 med motsvarande summa.</w:t>
      </w:r>
    </w:p>
    <w:p w:rsidR="00606314" w:rsidRPr="00606314" w:rsidRDefault="00606314">
      <w:pPr>
        <w:pStyle w:val="Rubrik1"/>
        <w:shd w:val="clear" w:color="000000" w:fill="auto"/>
      </w:pPr>
      <w:r w:rsidRPr="00606314">
        <w:lastRenderedPageBreak/>
        <w:t>Gymnasieskolan ska ge kunskaper</w:t>
      </w:r>
    </w:p>
    <w:p w:rsidR="00606314" w:rsidRPr="00606314" w:rsidRDefault="00606314">
      <w:pPr>
        <w:shd w:val="clear" w:color="000000" w:fill="auto"/>
      </w:pPr>
      <w:r w:rsidRPr="00606314">
        <w:t>Regeringen har tidigare aviserat att den har för avsikt att förändra gymnasi</w:t>
      </w:r>
      <w:r w:rsidRPr="00606314">
        <w:t>e</w:t>
      </w:r>
      <w:r w:rsidRPr="00606314">
        <w:t>skolan och har därför tillsatt utredningen En reformerad gymnasieskola som nu har kommit med sitt slutbetänkande Framtidsvägen – En reformerad gy</w:t>
      </w:r>
      <w:r w:rsidRPr="00606314">
        <w:t>m</w:t>
      </w:r>
      <w:r w:rsidRPr="00606314">
        <w:t xml:space="preserve">nasieskola (SOU 2008:27). Det har dock redan inletts en försöksverksamhet med lärlingsutbildning där kärnämnena ska kunna reduceras till 500 poäng. Vänsterpartiet anser att all gymnasieutbildning ska ge tillräckliga kunskaper för såväl fortsatta studier som arbets- och samhällsliv och menar därför att detta försök ska upphöra. Som en följd av att vi yrkar avslag </w:t>
      </w:r>
      <w:r w:rsidRPr="00606314">
        <w:t>minskar vi a</w:t>
      </w:r>
      <w:r w:rsidRPr="00606314">
        <w:t>n</w:t>
      </w:r>
      <w:r w:rsidRPr="00606314">
        <w:t>slag 1:5 med 250 miljoner kronor, som är avsedda att gå till denna försök</w:t>
      </w:r>
      <w:r w:rsidRPr="00606314">
        <w:t>s</w:t>
      </w:r>
      <w:r w:rsidRPr="00606314">
        <w:t>verksamhet.</w:t>
      </w:r>
    </w:p>
    <w:p w:rsidR="00606314" w:rsidRPr="00606314" w:rsidRDefault="00606314">
      <w:pPr>
        <w:pStyle w:val="Normaltindrag"/>
        <w:shd w:val="clear" w:color="000000" w:fill="auto"/>
      </w:pPr>
      <w:r w:rsidRPr="00606314">
        <w:t>Vi minskar även anslaget 1:5 med 10 miljoner kronor som är avsedda att gå till implementering av åtgärdsprogram.</w:t>
      </w:r>
    </w:p>
    <w:p w:rsidR="00606314" w:rsidRPr="00606314" w:rsidRDefault="00606314">
      <w:pPr>
        <w:pStyle w:val="Rubrik1"/>
        <w:shd w:val="clear" w:color="000000" w:fill="auto"/>
      </w:pPr>
      <w:r w:rsidRPr="00606314">
        <w:t>Satsning på skolan</w:t>
      </w:r>
    </w:p>
    <w:p w:rsidR="00606314" w:rsidRPr="00606314" w:rsidRDefault="00606314">
      <w:pPr>
        <w:shd w:val="clear" w:color="000000" w:fill="auto"/>
      </w:pPr>
      <w:r w:rsidRPr="00606314">
        <w:t>För att stärka alla elevers rätt till kunskaper anser Vänsterpartiet att det b</w:t>
      </w:r>
      <w:r w:rsidRPr="00606314">
        <w:t>e</w:t>
      </w:r>
      <w:r w:rsidRPr="00606314">
        <w:t>hövs en permanent förstärkning av skolans resurser. Framför allt behövs det fler vuxna i skolan. Det behövs pedagogisk personal, som kan hjälpa eleverna i deras lärande, men även personal som kan ge stöd på annat sätt. I Vänste</w:t>
      </w:r>
      <w:r w:rsidRPr="00606314">
        <w:t>r</w:t>
      </w:r>
      <w:r w:rsidRPr="00606314">
        <w:t>partiets budgetmotion genomförs en satsning på fler anställda i offentlig se</w:t>
      </w:r>
      <w:r w:rsidRPr="00606314">
        <w:t>k</w:t>
      </w:r>
      <w:r w:rsidRPr="00606314">
        <w:t>tor, som bl.a. omfattar förskola, skola och fritidshem och vi vill på sikt skapa 25 000 fler tjänster till barnskötare, förskollärare, fritidspedagoger, fritidsl</w:t>
      </w:r>
      <w:r w:rsidRPr="00606314">
        <w:t>e</w:t>
      </w:r>
      <w:r w:rsidRPr="00606314">
        <w:t>dare, lärare, specialpedagoger, genuspedagog</w:t>
      </w:r>
      <w:r w:rsidRPr="00606314">
        <w:t>er m.m. samt mer personal inom elevhälsan och studie- och yrkesvägledningen. Dessutom vill vi införa ett bidrag för att servera frukost till alla grundskoleelever. Dessa permanenta satsningar ersätter regeringens tillfälliga och opreciserade anslag 1:11 Fö</w:t>
      </w:r>
      <w:r w:rsidRPr="00606314">
        <w:t>r</w:t>
      </w:r>
      <w:r w:rsidRPr="00606314">
        <w:t>stärkning av basfärdigheter, som därför minskas med 250 miljoner kronor.</w:t>
      </w:r>
    </w:p>
    <w:p w:rsidR="00606314" w:rsidRPr="00606314" w:rsidRDefault="00606314">
      <w:pPr>
        <w:pStyle w:val="Normaltindrag"/>
        <w:shd w:val="clear" w:color="000000" w:fill="auto"/>
      </w:pPr>
      <w:r w:rsidRPr="00606314">
        <w:t xml:space="preserve">Under detta utgiftsområde avsätter vi totalt 5 miljoner kronor för att stärka arbetet med feministiskt självförsvar ute på skolorna varav 1 miljon kronor 2009, eftersom de medel som </w:t>
      </w:r>
      <w:r w:rsidRPr="00606314">
        <w:t>avsattes 2002 för att stärka flickors självförtr</w:t>
      </w:r>
      <w:r w:rsidRPr="00606314">
        <w:t>o</w:t>
      </w:r>
      <w:r w:rsidRPr="00606314">
        <w:t>ende i mycket liten utsträckning gick till projekt som innefattade feministiskt självförsvar trots att det var ett av huvudsyftena.</w:t>
      </w:r>
    </w:p>
    <w:p w:rsidR="00606314" w:rsidRPr="00606314" w:rsidRDefault="00606314">
      <w:pPr>
        <w:pStyle w:val="Rubrik1"/>
        <w:shd w:val="clear" w:color="000000" w:fill="auto"/>
      </w:pPr>
      <w:r w:rsidRPr="00606314">
        <w:t>Lärcentrum</w:t>
      </w:r>
    </w:p>
    <w:p w:rsidR="00606314" w:rsidRPr="00606314" w:rsidRDefault="00606314">
      <w:pPr>
        <w:shd w:val="clear" w:color="000000" w:fill="auto"/>
      </w:pPr>
      <w:r w:rsidRPr="00606314">
        <w:t>För att förtydliga statens ansvar för att tillhandahålla en fungerande infr</w:t>
      </w:r>
      <w:r w:rsidRPr="00606314">
        <w:t>a</w:t>
      </w:r>
      <w:r w:rsidRPr="00606314">
        <w:t>struktur för studier på distans bör staten överta ansvaret för finansieringen av kommunala lärcentrum vilket beräknas medföra ökade kostnader med 300 miljoner kronor årligen fr.o.m. 2009.</w:t>
      </w:r>
    </w:p>
    <w:p w:rsidR="00606314" w:rsidRPr="00606314" w:rsidRDefault="00606314">
      <w:pPr>
        <w:pStyle w:val="Rubrik1"/>
        <w:shd w:val="clear" w:color="000000" w:fill="auto"/>
      </w:pPr>
      <w:r w:rsidRPr="00606314">
        <w:t>Fler utbildningsplatser</w:t>
      </w:r>
    </w:p>
    <w:p w:rsidR="00606314" w:rsidRPr="00606314" w:rsidRDefault="00606314">
      <w:pPr>
        <w:shd w:val="clear" w:color="000000" w:fill="auto"/>
      </w:pPr>
      <w:r w:rsidRPr="00606314">
        <w:t>För att genomföra vår satsning på fler anställda och ökad kompetens för att förbättra kvaliteten inom den offentliga sektorn tillför vi fler studieplatser inom kommunal vuxenutbildning, kvalificerad yrkesutbildning (KY) och högskoleutbildning. Det är också en åtgärd för att möta den ökade efterfrågan på utbildningsplatser från dagens stora gymnasiekullar samt för att motverka effekterna av den rådande konjunkturnedgången. 2009 blir det ca 625 fler platser inom KY, ca 5 000 fler högskoleplatser och ca 4 600</w:t>
      </w:r>
      <w:r w:rsidRPr="00606314">
        <w:t xml:space="preserve"> fler platser inom den kommunala vuxenutbildningen. Under detta utgiftsområde innebär det att vi ökar anslagen med drygt 250 miljoner kronor. Denna ökning fördelas med 34,5 miljoner kronor under anslag 1:17, 7 miljoner kronor under anslag 2:58 och 213 miljoner kronor under anslag 2:59. Vi anslår dessutom ytterligare 120 miljoner kronor till högskolan för en förlängning av vissa examina inom lärarutbildningen så att de kan ges på avancerad nivå.</w:t>
      </w:r>
    </w:p>
    <w:p w:rsidR="00606314" w:rsidRPr="00606314" w:rsidRDefault="00606314">
      <w:pPr>
        <w:pStyle w:val="Normaltindrag"/>
        <w:shd w:val="clear" w:color="000000" w:fill="auto"/>
      </w:pPr>
      <w:r w:rsidRPr="00606314">
        <w:t>De ökade anslagen till Komvux redovisas i den motion som behand</w:t>
      </w:r>
      <w:r w:rsidRPr="00606314">
        <w:t>lar u</w:t>
      </w:r>
      <w:r w:rsidRPr="00606314">
        <w:t>t</w:t>
      </w:r>
      <w:r w:rsidRPr="00606314">
        <w:t>giftsområde 25. Vi för dessutom över regeringens satsning på 124 miljoner kronor på yrkesutbildning inom den kommunala vuxenutbildningen till det allmänna statsbidraget till kommunerna under utgiftsområde 25.</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06314">
        <w:trPr>
          <w:cantSplit/>
        </w:trPr>
        <w:tc>
          <w:tcPr>
            <w:tcW w:w="3046" w:type="dxa"/>
          </w:tcPr>
          <w:p w:rsidR="00606314" w:rsidRPr="00606314" w:rsidRDefault="00606314">
            <w:pPr>
              <w:pStyle w:val="UnderskriftDatum"/>
              <w:shd w:val="clear" w:color="000000" w:fill="auto"/>
              <w:spacing w:before="240"/>
            </w:pPr>
            <w:r w:rsidRPr="00606314">
              <w:t>Stockholm den 6 oktober 2008</w:t>
            </w:r>
          </w:p>
        </w:tc>
        <w:tc>
          <w:tcPr>
            <w:tcW w:w="3047" w:type="dxa"/>
          </w:tcPr>
          <w:p w:rsidR="00606314" w:rsidRPr="00606314" w:rsidRDefault="00606314">
            <w:pPr>
              <w:pStyle w:val="Underskrifter"/>
              <w:shd w:val="clear" w:color="000000" w:fill="auto"/>
              <w:spacing w:before="240"/>
            </w:pPr>
          </w:p>
        </w:tc>
      </w:tr>
      <w:tr w:rsidR="00000000" w:rsidRPr="00606314">
        <w:trPr>
          <w:cantSplit/>
        </w:trPr>
        <w:tc>
          <w:tcPr>
            <w:tcW w:w="3046" w:type="dxa"/>
          </w:tcPr>
          <w:p w:rsidR="00606314" w:rsidRPr="00606314" w:rsidRDefault="00606314">
            <w:pPr>
              <w:pStyle w:val="Underskrifter"/>
              <w:shd w:val="clear" w:color="000000" w:fill="auto"/>
            </w:pPr>
            <w:r w:rsidRPr="00606314">
              <w:t>Lars Ohly (v)</w:t>
            </w:r>
          </w:p>
        </w:tc>
        <w:tc>
          <w:tcPr>
            <w:tcW w:w="3046" w:type="dxa"/>
          </w:tcPr>
          <w:p w:rsidR="00606314" w:rsidRPr="00606314" w:rsidRDefault="00606314">
            <w:pPr>
              <w:pStyle w:val="Underskrifter"/>
              <w:shd w:val="clear" w:color="000000" w:fill="auto"/>
            </w:pPr>
          </w:p>
        </w:tc>
      </w:tr>
      <w:tr w:rsidR="00000000" w:rsidRPr="00606314">
        <w:trPr>
          <w:cantSplit/>
        </w:trPr>
        <w:tc>
          <w:tcPr>
            <w:tcW w:w="3046" w:type="dxa"/>
          </w:tcPr>
          <w:p w:rsidR="00606314" w:rsidRPr="00606314" w:rsidRDefault="00606314">
            <w:pPr>
              <w:pStyle w:val="Underskrifter"/>
              <w:shd w:val="clear" w:color="000000" w:fill="auto"/>
            </w:pPr>
            <w:r w:rsidRPr="00606314">
              <w:t>Marianne Berg (v)</w:t>
            </w:r>
          </w:p>
        </w:tc>
        <w:tc>
          <w:tcPr>
            <w:tcW w:w="3046" w:type="dxa"/>
          </w:tcPr>
          <w:p w:rsidR="00606314" w:rsidRPr="00606314" w:rsidRDefault="00606314">
            <w:pPr>
              <w:pStyle w:val="Underskrifter"/>
              <w:shd w:val="clear" w:color="000000" w:fill="auto"/>
            </w:pPr>
            <w:r w:rsidRPr="00606314">
              <w:t>Jacob Johnson (v)</w:t>
            </w:r>
          </w:p>
        </w:tc>
      </w:tr>
      <w:tr w:rsidR="00000000" w:rsidRPr="00606314">
        <w:trPr>
          <w:cantSplit/>
        </w:trPr>
        <w:tc>
          <w:tcPr>
            <w:tcW w:w="3046" w:type="dxa"/>
          </w:tcPr>
          <w:p w:rsidR="00606314" w:rsidRPr="00606314" w:rsidRDefault="00606314">
            <w:pPr>
              <w:pStyle w:val="Underskrifter"/>
              <w:shd w:val="clear" w:color="000000" w:fill="auto"/>
            </w:pPr>
            <w:r w:rsidRPr="00606314">
              <w:t>Hans Linde (v)</w:t>
            </w:r>
          </w:p>
        </w:tc>
        <w:tc>
          <w:tcPr>
            <w:tcW w:w="3046" w:type="dxa"/>
          </w:tcPr>
          <w:p w:rsidR="00606314" w:rsidRPr="00606314" w:rsidRDefault="00606314">
            <w:pPr>
              <w:pStyle w:val="Underskrifter"/>
              <w:shd w:val="clear" w:color="000000" w:fill="auto"/>
            </w:pPr>
            <w:r w:rsidRPr="00606314">
              <w:t>Elina Linna (v)</w:t>
            </w:r>
          </w:p>
        </w:tc>
      </w:tr>
      <w:tr w:rsidR="00000000" w:rsidRPr="00606314">
        <w:trPr>
          <w:cantSplit/>
        </w:trPr>
        <w:tc>
          <w:tcPr>
            <w:tcW w:w="3046" w:type="dxa"/>
          </w:tcPr>
          <w:p w:rsidR="00606314" w:rsidRPr="00606314" w:rsidRDefault="00606314">
            <w:pPr>
              <w:pStyle w:val="Underskrifter"/>
              <w:shd w:val="clear" w:color="000000" w:fill="auto"/>
            </w:pPr>
            <w:r w:rsidRPr="00606314">
              <w:t>Gunilla Wahlén (v)</w:t>
            </w:r>
          </w:p>
        </w:tc>
        <w:tc>
          <w:tcPr>
            <w:tcW w:w="3046" w:type="dxa"/>
          </w:tcPr>
          <w:p w:rsidR="00606314" w:rsidRPr="00606314" w:rsidRDefault="00606314">
            <w:pPr>
              <w:pStyle w:val="Underskrifter"/>
              <w:shd w:val="clear" w:color="000000" w:fill="auto"/>
            </w:pPr>
            <w:r w:rsidRPr="00606314">
              <w:t>Alice Åström (v)</w:t>
            </w:r>
          </w:p>
        </w:tc>
      </w:tr>
      <w:tr w:rsidR="00000000" w:rsidRPr="00606314">
        <w:trPr>
          <w:cantSplit/>
        </w:trPr>
        <w:tc>
          <w:tcPr>
            <w:tcW w:w="3046" w:type="dxa"/>
          </w:tcPr>
          <w:p w:rsidR="00606314" w:rsidRPr="00606314" w:rsidRDefault="00606314">
            <w:pPr>
              <w:pStyle w:val="Underskrifter"/>
              <w:shd w:val="clear" w:color="000000" w:fill="auto"/>
            </w:pPr>
            <w:r w:rsidRPr="00606314">
              <w:t>Rossana Dinamarca (v)</w:t>
            </w:r>
          </w:p>
        </w:tc>
        <w:tc>
          <w:tcPr>
            <w:tcW w:w="3046" w:type="dxa"/>
          </w:tcPr>
          <w:p w:rsidR="00606314" w:rsidRPr="00606314" w:rsidRDefault="00606314">
            <w:pPr>
              <w:pStyle w:val="Underskrifter"/>
              <w:shd w:val="clear" w:color="000000" w:fill="auto"/>
            </w:pPr>
          </w:p>
        </w:tc>
      </w:tr>
    </w:tbl>
    <w:p w:rsidR="00606314" w:rsidRPr="00606314" w:rsidRDefault="00606314">
      <w:pPr>
        <w:pStyle w:val="Normaltindrag"/>
        <w:shd w:val="clear" w:color="000000" w:fill="auto"/>
      </w:pPr>
    </w:p>
    <w:sectPr w:rsidR="00000000" w:rsidRPr="0060631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06314" w:rsidRPr="00606314" w:rsidRDefault="00606314">
      <w:r w:rsidRPr="00606314">
        <w:separator/>
      </w:r>
    </w:p>
  </w:endnote>
  <w:endnote w:type="continuationSeparator" w:id="0">
    <w:p w:rsidR="00606314" w:rsidRPr="00606314" w:rsidRDefault="00606314">
      <w:r w:rsidRPr="0060631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6314" w:rsidRPr="00606314" w:rsidRDefault="00606314">
    <w:pPr>
      <w:pStyle w:val="Sidfot"/>
    </w:pPr>
    <w:r w:rsidRPr="0060631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10914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314" w:rsidRDefault="0060631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06314" w:rsidRDefault="0060631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6314" w:rsidRPr="00606314" w:rsidRDefault="00606314">
    <w:pPr>
      <w:pStyle w:val="Sidfot"/>
    </w:pPr>
    <w:r w:rsidRPr="0060631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3602787"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314" w:rsidRDefault="0060631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06314" w:rsidRDefault="0060631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6314" w:rsidRPr="00606314" w:rsidRDefault="00606314">
    <w:pPr>
      <w:pStyle w:val="Sidfot"/>
    </w:pPr>
    <w:r w:rsidRPr="0060631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4907231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314" w:rsidRDefault="0060631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06314" w:rsidRDefault="0060631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06314" w:rsidRPr="00606314" w:rsidRDefault="00606314">
      <w:r w:rsidRPr="00606314">
        <w:separator/>
      </w:r>
    </w:p>
  </w:footnote>
  <w:footnote w:type="continuationSeparator" w:id="0">
    <w:p w:rsidR="00606314" w:rsidRPr="00606314" w:rsidRDefault="00606314">
      <w:r w:rsidRPr="0060631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6314" w:rsidRPr="00606314" w:rsidRDefault="00606314">
    <w:pPr>
      <w:pStyle w:val="Sidhuvud"/>
    </w:pPr>
    <w:r w:rsidRPr="0060631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5099265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314" w:rsidRDefault="0060631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06314" w:rsidRDefault="0060631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Ub455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6314" w:rsidRPr="00606314" w:rsidRDefault="00606314">
    <w:pPr>
      <w:pStyle w:val="Sidhuvud"/>
    </w:pPr>
    <w:r w:rsidRPr="0060631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64067007"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314" w:rsidRDefault="0060631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06314" w:rsidRDefault="0060631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Ub455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6314" w:rsidRPr="00606314" w:rsidRDefault="00606314">
    <w:pPr>
      <w:pStyle w:val="FSHNormal"/>
      <w:tabs>
        <w:tab w:val="right" w:pos="5840"/>
      </w:tabs>
    </w:pPr>
    <w:r w:rsidRPr="00606314">
      <w:br/>
    </w:r>
    <w:r w:rsidRPr="00606314">
      <w:fldChar w:fldCharType="begin" w:fldLock="1"/>
    </w:r>
    <w:r w:rsidRPr="00606314">
      <w:instrText xml:space="preserve"> DOCPROPERTY</w:instrText>
    </w:r>
    <w:r w:rsidRPr="00606314">
      <w:rPr>
        <w:sz w:val="18"/>
      </w:rPr>
      <w:instrText xml:space="preserve"> "YearUser" *\charformat </w:instrText>
    </w:r>
    <w:r w:rsidRPr="00606314">
      <w:fldChar w:fldCharType="separate"/>
    </w:r>
    <w:r w:rsidRPr="00606314">
      <w:t>2008/09</w:t>
    </w:r>
    <w:r w:rsidRPr="00606314">
      <w:fldChar w:fldCharType="end"/>
    </w:r>
    <w:r w:rsidRPr="00606314">
      <w:t xml:space="preserve"> </w:t>
    </w:r>
    <w:r w:rsidRPr="00606314">
      <w:tab/>
      <w:t xml:space="preserve">mnr: </w:t>
    </w:r>
    <w:r w:rsidRPr="00606314">
      <w:fldChar w:fldCharType="begin" w:fldLock="1"/>
    </w:r>
    <w:r w:rsidRPr="00606314">
      <w:instrText xml:space="preserve"> DOCPROPERTY</w:instrText>
    </w:r>
    <w:r w:rsidRPr="00606314">
      <w:rPr>
        <w:sz w:val="18"/>
      </w:rPr>
      <w:instrText xml:space="preserve"> "Motionsnummer" *\charformat </w:instrText>
    </w:r>
    <w:r w:rsidRPr="00606314">
      <w:fldChar w:fldCharType="separate"/>
    </w:r>
    <w:r w:rsidRPr="00606314">
      <w:t>Ub455</w:t>
    </w:r>
    <w:r w:rsidRPr="00606314">
      <w:fldChar w:fldCharType="end"/>
    </w:r>
    <w:r w:rsidRPr="00606314">
      <w:br/>
    </w:r>
    <w:r w:rsidRPr="00606314">
      <w:fldChar w:fldCharType="begin" w:fldLock="1"/>
    </w:r>
    <w:r w:rsidRPr="00606314">
      <w:instrText xml:space="preserve"> DOCPROPERTY</w:instrText>
    </w:r>
    <w:r w:rsidRPr="00606314">
      <w:rPr>
        <w:sz w:val="18"/>
      </w:rPr>
      <w:instrText xml:space="preserve"> "Samling" *\charformat </w:instrText>
    </w:r>
    <w:r w:rsidRPr="00606314">
      <w:fldChar w:fldCharType="end"/>
    </w:r>
    <w:r w:rsidRPr="00606314">
      <w:tab/>
      <w:t xml:space="preserve">pnr: </w:t>
    </w:r>
    <w:r w:rsidRPr="00606314">
      <w:fldChar w:fldCharType="begin" w:fldLock="1"/>
    </w:r>
    <w:r w:rsidRPr="00606314">
      <w:instrText xml:space="preserve"> DOCPROPERTY</w:instrText>
    </w:r>
    <w:r w:rsidRPr="00606314">
      <w:rPr>
        <w:sz w:val="18"/>
      </w:rPr>
      <w:instrText xml:space="preserve"> "Partinummer" *\charformat </w:instrText>
    </w:r>
    <w:r w:rsidRPr="00606314">
      <w:fldChar w:fldCharType="separate"/>
    </w:r>
    <w:r w:rsidRPr="00606314">
      <w:t>v526</w:t>
    </w:r>
    <w:r w:rsidRPr="00606314">
      <w:fldChar w:fldCharType="end"/>
    </w:r>
  </w:p>
  <w:p w:rsidR="00606314" w:rsidRPr="00606314" w:rsidRDefault="00606314">
    <w:pPr>
      <w:pStyle w:val="FSHRub1"/>
    </w:pPr>
    <w:r w:rsidRPr="00606314">
      <w:t>Motion till riksdagen</w:t>
    </w:r>
    <w:r w:rsidRPr="00606314">
      <w:br/>
    </w:r>
    <w:r w:rsidRPr="00606314">
      <w:fldChar w:fldCharType="begin" w:fldLock="1"/>
    </w:r>
    <w:r w:rsidRPr="00606314">
      <w:instrText xml:space="preserve"> DOCPROPERTY "YearUser" *\charformat </w:instrText>
    </w:r>
    <w:r w:rsidRPr="00606314">
      <w:fldChar w:fldCharType="separate"/>
    </w:r>
    <w:r w:rsidRPr="00606314">
      <w:t>2008/09</w:t>
    </w:r>
    <w:r w:rsidRPr="00606314">
      <w:fldChar w:fldCharType="end"/>
    </w:r>
    <w:r w:rsidRPr="00606314">
      <w:t>:</w:t>
    </w:r>
    <w:r w:rsidRPr="00606314">
      <w:fldChar w:fldCharType="begin" w:fldLock="1"/>
    </w:r>
    <w:r w:rsidRPr="00606314">
      <w:instrText xml:space="preserve"> DOCPROPERTY "Motionsnummer" *\charformat </w:instrText>
    </w:r>
    <w:r w:rsidRPr="00606314">
      <w:fldChar w:fldCharType="separate"/>
    </w:r>
    <w:r w:rsidRPr="00606314">
      <w:t>Ub455</w:t>
    </w:r>
    <w:r w:rsidRPr="00606314">
      <w:fldChar w:fldCharType="end"/>
    </w:r>
  </w:p>
  <w:p w:rsidR="00606314" w:rsidRPr="00606314" w:rsidRDefault="00606314">
    <w:pPr>
      <w:pStyle w:val="FSHNormalS5"/>
    </w:pPr>
    <w:r w:rsidRPr="00606314">
      <w:fldChar w:fldCharType="begin" w:fldLock="1"/>
    </w:r>
    <w:r w:rsidRPr="00606314">
      <w:instrText xml:space="preserve"> DOCPROPERTY "MotionarText" *\charformat </w:instrText>
    </w:r>
    <w:r w:rsidRPr="00606314">
      <w:fldChar w:fldCharType="separate"/>
    </w:r>
    <w:r w:rsidRPr="00606314">
      <w:t>av Lars Ohly m.fl. (v)</w:t>
    </w:r>
    <w:r w:rsidRPr="00606314">
      <w:fldChar w:fldCharType="end"/>
    </w:r>
    <w:r w:rsidRPr="00606314">
      <w:br/>
    </w:r>
    <w:r w:rsidRPr="00606314">
      <w:fldChar w:fldCharType="begin" w:fldLock="1"/>
    </w:r>
    <w:r w:rsidRPr="00606314">
      <w:instrText xml:space="preserve"> DOCPROPERTY "SvarFrasKort" *\charformat </w:instrText>
    </w:r>
    <w:r w:rsidRPr="00606314">
      <w:fldChar w:fldCharType="end"/>
    </w:r>
  </w:p>
  <w:p w:rsidR="00606314" w:rsidRPr="00606314" w:rsidRDefault="00606314">
    <w:pPr>
      <w:pStyle w:val="FSHTitel"/>
    </w:pPr>
    <w:r w:rsidRPr="00606314">
      <w:fldChar w:fldCharType="begin" w:fldLock="1"/>
    </w:r>
    <w:r w:rsidRPr="00606314">
      <w:instrText xml:space="preserve"> DOCPROPERTY</w:instrText>
    </w:r>
    <w:r w:rsidRPr="00606314">
      <w:rPr>
        <w:sz w:val="18"/>
      </w:rPr>
      <w:instrText xml:space="preserve"> "RubrikSvar" *\charformat </w:instrText>
    </w:r>
    <w:r w:rsidRPr="00606314">
      <w:fldChar w:fldCharType="separate"/>
    </w:r>
    <w:r w:rsidRPr="00606314">
      <w:t>Utgiftsområde 16</w:t>
    </w:r>
    <w:r w:rsidRPr="00606314">
      <w:fldChar w:fldCharType="end"/>
    </w:r>
  </w:p>
  <w:p w:rsidR="00606314" w:rsidRPr="00606314" w:rsidRDefault="00606314">
    <w:pPr>
      <w:pStyle w:val="Normal00"/>
    </w:pPr>
  </w:p>
  <w:p w:rsidR="00606314" w:rsidRPr="00606314" w:rsidRDefault="0060631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2C60DC8"/>
    <w:multiLevelType w:val="multilevel"/>
    <w:tmpl w:val="8E1EA31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77275789"/>
    <w:multiLevelType w:val="multilevel"/>
    <w:tmpl w:val="54A6FA1E"/>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num w:numId="1" w16cid:durableId="637760016">
    <w:abstractNumId w:val="8"/>
  </w:num>
  <w:num w:numId="2" w16cid:durableId="719403293">
    <w:abstractNumId w:val="9"/>
  </w:num>
  <w:num w:numId="3" w16cid:durableId="998115301">
    <w:abstractNumId w:val="8"/>
  </w:num>
  <w:num w:numId="4" w16cid:durableId="2101943891">
    <w:abstractNumId w:val="9"/>
  </w:num>
  <w:num w:numId="5" w16cid:durableId="391805869">
    <w:abstractNumId w:val="13"/>
  </w:num>
  <w:num w:numId="6" w16cid:durableId="1655143110">
    <w:abstractNumId w:val="10"/>
  </w:num>
  <w:num w:numId="7" w16cid:durableId="1482651060">
    <w:abstractNumId w:val="11"/>
  </w:num>
  <w:num w:numId="8" w16cid:durableId="1209100985">
    <w:abstractNumId w:val="12"/>
  </w:num>
  <w:num w:numId="9" w16cid:durableId="8878532">
    <w:abstractNumId w:val="8"/>
  </w:num>
  <w:num w:numId="10" w16cid:durableId="451099676">
    <w:abstractNumId w:val="3"/>
  </w:num>
  <w:num w:numId="11" w16cid:durableId="1226838092">
    <w:abstractNumId w:val="2"/>
  </w:num>
  <w:num w:numId="12" w16cid:durableId="1615477925">
    <w:abstractNumId w:val="1"/>
  </w:num>
  <w:num w:numId="13" w16cid:durableId="1453984024">
    <w:abstractNumId w:val="0"/>
  </w:num>
  <w:num w:numId="14" w16cid:durableId="438454791">
    <w:abstractNumId w:val="9"/>
  </w:num>
  <w:num w:numId="15" w16cid:durableId="716975460">
    <w:abstractNumId w:val="7"/>
  </w:num>
  <w:num w:numId="16" w16cid:durableId="395590262">
    <w:abstractNumId w:val="6"/>
  </w:num>
  <w:num w:numId="17" w16cid:durableId="267279386">
    <w:abstractNumId w:val="5"/>
  </w:num>
  <w:num w:numId="18" w16cid:durableId="482936953">
    <w:abstractNumId w:val="4"/>
  </w:num>
  <w:num w:numId="19" w16cid:durableId="1223174687">
    <w:abstractNumId w:val="14"/>
  </w:num>
  <w:num w:numId="20" w16cid:durableId="37712389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5"/>
    <w:docVar w:name="PersonGUIDs" w:val="{F1A2565D-4D2F-4887-9B1D-3D7BE825DA8C},{25384487-954A-4B3D-A759-FB67661DCC6F},{70ED92E7-062B-44F5-98C0-1732E6D079B7},{88576935-7337-4AFA-923F-6E59D33EEBED},{8B923F15-4996-4696-A089-6A5BE8BF8E1B},{233588E7-F7BD-4F60-BEE5-22A19EE80FB2},{7E0BF71E-CD03-4DBF-9F51-3B5B798F2741},{E342D5A8-46A1-48DE-8F45-AD50F7AFB7F8}"/>
  </w:docVars>
  <w:rsids>
    <w:rsidRoot w:val="00FB7E1E"/>
    <w:rsid w:val="00606314"/>
    <w:rsid w:val="00FB7E1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EABB2879-6377-47A1-9547-35E5A99F8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0"/>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714</Words>
  <Characters>4222</Characters>
  <Application>Microsoft Office Word</Application>
  <DocSecurity>4</DocSecurity>
  <Lines>127</Lines>
  <Paragraphs>77</Paragraphs>
  <ScaleCrop>false</ScaleCrop>
  <HeadingPairs>
    <vt:vector size="2" baseType="variant">
      <vt:variant>
        <vt:lpstr>Rubrik</vt:lpstr>
      </vt:variant>
      <vt:variant>
        <vt:i4>1</vt:i4>
      </vt:variant>
    </vt:vector>
  </HeadingPairs>
  <TitlesOfParts>
    <vt:vector size="1" baseType="lpstr">
      <vt:lpstr>v526</vt:lpstr>
    </vt:vector>
  </TitlesOfParts>
  <Company>Riksdagen</Company>
  <LinksUpToDate>false</LinksUpToDate>
  <CharactersWithSpaces>4859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v526</dc:title>
  <dc:subject>v526</dc:subject>
  <dc:creator>Riksdagen</dc:creator>
  <cp:keywords>Riksdagen</cp:keywords>
  <dc:description>TKG-ktrl, MSMQ4mb, PersReg-Distribution mm b-&gt;ny fplogga</dc:description>
  <cp:lastModifiedBy>Lars Brink</cp:lastModifiedBy>
  <cp:revision>2</cp:revision>
  <cp:lastPrinted>2008-11-04T11:52:00Z</cp:lastPrinted>
  <dcterms:created xsi:type="dcterms:W3CDTF">2025-12-17T18:57:00Z</dcterms:created>
  <dcterms:modified xsi:type="dcterms:W3CDTF">2025-12-17T18:57:00Z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mot2000_495_2008-09-25</vt:lpwstr>
  </property>
  <property fmtid="{D5CDD505-2E9C-101B-9397-08002B2CF9AE}" pid="3" name="version">
    <vt:lpwstr>mot2000_495_2008-09-25</vt:lpwstr>
  </property>
  <property fmtid="{D5CDD505-2E9C-101B-9397-08002B2CF9AE}" pid="4" name="dokumenttyp">
    <vt:lpwstr>motion</vt:lpwstr>
  </property>
  <property fmtid="{D5CDD505-2E9C-101B-9397-08002B2CF9AE}" pid="5" name="Sekr">
    <vt:lpwstr>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Utgiftsområde 16</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16</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v526</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Lars Ohly m.fl. (v)</vt:lpwstr>
  </property>
  <property fmtid="{D5CDD505-2E9C-101B-9397-08002B2CF9AE}" pid="26" name="MotionarLista">
    <vt:lpwstr>Ohly, Lars (v)\Berg, Marianne (v)\Johnson, Jacob (v)\Linde, Hans (v)\Linna, Elina (v)\Wahlén, Gunilla (v)\Åström, Alice (v)\Dinamarca, Rossana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Marianne Berg (v), Jacob Johnson (v), Hans Linde (v), Elina Linna (v), Gunilla Wahlén (v), Alice Åström (v), Rossana Dinamarca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Ub455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inger.diaz@riksdagen.se</vt:lpwstr>
  </property>
  <property fmtid="{D5CDD505-2E9C-101B-9397-08002B2CF9AE}" pid="45" name="ReservUID">
    <vt:lpwstr>ir1226aa</vt:lpwstr>
  </property>
  <property fmtid="{D5CDD505-2E9C-101B-9397-08002B2CF9AE}" pid="46" name="MotionID">
    <vt:lpwstr>20082009000000000118000005260080</vt:lpwstr>
  </property>
  <property fmtid="{D5CDD505-2E9C-101B-9397-08002B2CF9AE}" pid="47" name="datum">
    <vt:lpwstr>081006</vt:lpwstr>
  </property>
  <property fmtid="{D5CDD505-2E9C-101B-9397-08002B2CF9AE}" pid="48" name="avsändar-e-post">
    <vt:lpwstr>inger.diaz@riksdagen.se</vt:lpwstr>
  </property>
  <property fmtid="{D5CDD505-2E9C-101B-9397-08002B2CF9AE}" pid="49" name="id">
    <vt:lpwstr>20082009000000000118000005260080</vt:lpwstr>
  </property>
  <property fmtid="{D5CDD505-2E9C-101B-9397-08002B2CF9AE}" pid="50" name="nummer">
    <vt:lpwstr>455</vt:lpwstr>
  </property>
  <property fmtid="{D5CDD505-2E9C-101B-9397-08002B2CF9AE}" pid="51" name="utskottsbeteckning">
    <vt:lpwstr>Ub</vt:lpwstr>
  </property>
  <property fmtid="{D5CDD505-2E9C-101B-9397-08002B2CF9AE}" pid="52" name="GlobalUID">
    <vt:lpwstr>{88AE9F98-6ADE-4362-9957-41BECF8E1F7C}</vt:lpwstr>
  </property>
  <property fmtid="{D5CDD505-2E9C-101B-9397-08002B2CF9AE}" pid="53" name="Överföringar">
    <vt:i4>0</vt:i4>
  </property>
  <property fmtid="{D5CDD505-2E9C-101B-9397-08002B2CF9AE}" pid="54" name="Checksum">
    <vt:lpwstr>*0002034688032*</vt:lpwstr>
  </property>
  <property fmtid="{D5CDD505-2E9C-101B-9397-08002B2CF9AE}" pid="55" name="skuggnummer">
    <vt:lpwstr>2455</vt:lpwstr>
  </property>
  <property fmtid="{D5CDD505-2E9C-101B-9397-08002B2CF9AE}" pid="56" name="urixVersion">
    <vt:lpwstr>3.2.0.8</vt:lpwstr>
  </property>
  <property fmtid="{D5CDD505-2E9C-101B-9397-08002B2CF9AE}" pid="57" name="urixOrigin">
    <vt:lpwstr>090401 19:36:15.974</vt:lpwstr>
  </property>
  <property fmtid="{D5CDD505-2E9C-101B-9397-08002B2CF9AE}" pid="58" name="urixGuid">
    <vt:lpwstr>{6B1E72BC-9373-452A-81F3-37DA8931A1D2}</vt:lpwstr>
  </property>
</Properties>
</file>