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4EA6" w:rsidRPr="00155DA4" w:rsidRDefault="00CF4EA6">
      <w:pPr>
        <w:framePr w:w="3119" w:h="1406" w:hRule="exact" w:wrap="around" w:vAnchor="page" w:hAnchor="page" w:x="1441" w:y="781"/>
        <w:tabs>
          <w:tab w:val="left" w:pos="142"/>
        </w:tabs>
      </w:pPr>
      <w:bookmarkStart w:id="0" w:name="RapportLogga"/>
      <w:r w:rsidRPr="00155DA4">
        <w:t xml:space="preserve">  </w:t>
      </w:r>
      <w:bookmarkStart w:id="1" w:name="logga"/>
      <w:bookmarkStart w:id="2" w:name="webtabort"/>
      <w:r w:rsidR="00155DA4" w:rsidRPr="00155DA4">
        <w:rPr>
          <w:noProof/>
        </w:rPr>
        <w:drawing>
          <wp:inline distT="0" distB="0" distL="0" distR="0">
            <wp:extent cx="19113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1350" cy="838200"/>
                    </a:xfrm>
                    <a:prstGeom prst="rect">
                      <a:avLst/>
                    </a:prstGeom>
                    <a:noFill/>
                    <a:ln>
                      <a:noFill/>
                    </a:ln>
                  </pic:spPr>
                </pic:pic>
              </a:graphicData>
            </a:graphic>
          </wp:inline>
        </w:drawing>
      </w:r>
      <w:bookmarkEnd w:id="1"/>
    </w:p>
    <w:p w:rsidR="00CF4EA6" w:rsidRPr="00155DA4" w:rsidRDefault="00CF4EA6">
      <w:pPr>
        <w:framePr w:w="3119" w:h="1406" w:hRule="exact" w:wrap="around" w:vAnchor="page" w:hAnchor="page" w:x="1441" w:y="781"/>
        <w:tabs>
          <w:tab w:val="left" w:pos="142"/>
        </w:tabs>
      </w:pPr>
    </w:p>
    <w:p w:rsidR="00CF4EA6" w:rsidRPr="00155DA4" w:rsidRDefault="00155DA4">
      <w:pPr>
        <w:framePr w:w="3119" w:h="1406" w:hRule="exact" w:wrap="around" w:vAnchor="page" w:hAnchor="page" w:x="1441" w:y="781"/>
        <w:tabs>
          <w:tab w:val="left" w:pos="142"/>
        </w:tabs>
      </w:pPr>
      <w:r w:rsidRPr="00155DA4">
        <w:rPr>
          <w:noProof/>
        </w:rPr>
        <w:drawing>
          <wp:inline distT="0" distB="0" distL="0" distR="0">
            <wp:extent cx="1981200" cy="8636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0" cy="863600"/>
                    </a:xfrm>
                    <a:prstGeom prst="rect">
                      <a:avLst/>
                    </a:prstGeom>
                    <a:noFill/>
                    <a:ln>
                      <a:noFill/>
                    </a:ln>
                  </pic:spPr>
                </pic:pic>
              </a:graphicData>
            </a:graphic>
          </wp:inline>
        </w:drawing>
      </w:r>
      <w:bookmarkEnd w:id="0"/>
    </w:p>
    <w:tbl>
      <w:tblPr>
        <w:tblW w:w="0" w:type="auto"/>
        <w:tblInd w:w="8" w:type="dxa"/>
        <w:tblLayout w:type="fixed"/>
        <w:tblCellMar>
          <w:left w:w="0" w:type="dxa"/>
          <w:right w:w="0" w:type="dxa"/>
        </w:tblCellMar>
        <w:tblLook w:val="0000" w:firstRow="0" w:lastRow="0" w:firstColumn="0" w:lastColumn="0" w:noHBand="0" w:noVBand="0"/>
      </w:tblPr>
      <w:tblGrid>
        <w:gridCol w:w="3380"/>
        <w:gridCol w:w="1893"/>
      </w:tblGrid>
      <w:tr w:rsidR="00CF4EA6" w:rsidRPr="00155DA4">
        <w:tblPrEx>
          <w:tblCellMar>
            <w:top w:w="0" w:type="dxa"/>
            <w:left w:w="0" w:type="dxa"/>
            <w:bottom w:w="0" w:type="dxa"/>
            <w:right w:w="0" w:type="dxa"/>
          </w:tblCellMar>
        </w:tblPrEx>
        <w:tc>
          <w:tcPr>
            <w:tcW w:w="3380" w:type="dxa"/>
          </w:tcPr>
          <w:p w:rsidR="00CF4EA6" w:rsidRPr="00155DA4" w:rsidRDefault="00CF4EA6">
            <w:pPr>
              <w:pStyle w:val="Brdtexthuvud"/>
              <w:framePr w:hSpace="0" w:wrap="around" w:x="6601" w:y="852"/>
            </w:pPr>
            <w:bookmarkStart w:id="3" w:name="UDkoncept"/>
            <w:bookmarkEnd w:id="3"/>
          </w:p>
        </w:tc>
        <w:tc>
          <w:tcPr>
            <w:tcW w:w="1893" w:type="dxa"/>
          </w:tcPr>
          <w:p w:rsidR="00CF4EA6" w:rsidRPr="00155DA4" w:rsidRDefault="00CF4EA6">
            <w:pPr>
              <w:pStyle w:val="Brdtexthuvud"/>
              <w:framePr w:hSpace="0" w:wrap="around" w:x="6601" w:y="852"/>
            </w:pPr>
            <w:bookmarkStart w:id="4" w:name="UDsidan"/>
            <w:bookmarkEnd w:id="4"/>
          </w:p>
        </w:tc>
      </w:tr>
      <w:tr w:rsidR="00CF4EA6" w:rsidRPr="00155DA4">
        <w:tblPrEx>
          <w:tblCellMar>
            <w:top w:w="0" w:type="dxa"/>
            <w:left w:w="0" w:type="dxa"/>
            <w:bottom w:w="0" w:type="dxa"/>
            <w:right w:w="0" w:type="dxa"/>
          </w:tblCellMar>
        </w:tblPrEx>
        <w:tc>
          <w:tcPr>
            <w:tcW w:w="3380" w:type="dxa"/>
          </w:tcPr>
          <w:p w:rsidR="00CF4EA6" w:rsidRPr="00155DA4" w:rsidRDefault="00CF4EA6">
            <w:pPr>
              <w:pStyle w:val="Brdtexthuvud"/>
              <w:framePr w:hSpace="0" w:wrap="around" w:x="6601" w:y="852"/>
              <w:rPr>
                <w:b/>
                <w:sz w:val="22"/>
              </w:rPr>
            </w:pPr>
            <w:bookmarkStart w:id="5" w:name="UDdokname"/>
            <w:bookmarkStart w:id="6" w:name="RapportExpsatt"/>
            <w:bookmarkEnd w:id="5"/>
            <w:bookmarkEnd w:id="6"/>
            <w:r w:rsidRPr="00155DA4">
              <w:rPr>
                <w:b/>
                <w:sz w:val="22"/>
              </w:rPr>
              <w:t>TELEMEDDELANDE</w:t>
            </w:r>
          </w:p>
        </w:tc>
        <w:bookmarkStart w:id="7" w:name="UDnr"/>
        <w:bookmarkEnd w:id="7"/>
        <w:tc>
          <w:tcPr>
            <w:tcW w:w="1893" w:type="dxa"/>
          </w:tcPr>
          <w:p w:rsidR="00CF4EA6" w:rsidRPr="00155DA4" w:rsidRDefault="00CF4EA6">
            <w:pPr>
              <w:pStyle w:val="Brdtexthuvud"/>
              <w:framePr w:hSpace="0" w:wrap="around" w:x="6601" w:y="852"/>
              <w:rPr>
                <w:rFonts w:ascii="Garamond" w:hAnsi="Garamond"/>
              </w:rPr>
            </w:pPr>
            <w:r w:rsidRPr="00155DA4">
              <w:rPr>
                <w:rFonts w:ascii="Garamond" w:hAnsi="Garamond"/>
              </w:rPr>
              <w:fldChar w:fldCharType="begin" w:fldLock="1"/>
            </w:r>
            <w:r w:rsidRPr="00155DA4">
              <w:rPr>
                <w:rFonts w:ascii="Garamond" w:hAnsi="Garamond"/>
              </w:rPr>
              <w:instrText xml:space="preserve"> PAGE  \* MERGEFORMAT </w:instrText>
            </w:r>
            <w:r w:rsidRPr="00155DA4">
              <w:rPr>
                <w:rFonts w:ascii="Garamond" w:hAnsi="Garamond"/>
              </w:rPr>
              <w:fldChar w:fldCharType="separate"/>
            </w:r>
            <w:r w:rsidR="009C75A3" w:rsidRPr="00155DA4">
              <w:rPr>
                <w:rFonts w:ascii="Garamond" w:hAnsi="Garamond"/>
              </w:rPr>
              <w:t>1</w:t>
            </w:r>
            <w:r w:rsidRPr="00155DA4">
              <w:rPr>
                <w:rFonts w:ascii="Garamond" w:hAnsi="Garamond"/>
              </w:rPr>
              <w:fldChar w:fldCharType="end"/>
            </w:r>
            <w:r w:rsidR="000831E4" w:rsidRPr="00155DA4">
              <w:rPr>
                <w:rFonts w:ascii="Garamond" w:hAnsi="Garamond"/>
              </w:rPr>
              <w:t xml:space="preserve"> </w:t>
            </w:r>
          </w:p>
        </w:tc>
      </w:tr>
      <w:tr w:rsidR="00CF4EA6" w:rsidRPr="00155DA4">
        <w:tblPrEx>
          <w:tblCellMar>
            <w:top w:w="0" w:type="dxa"/>
            <w:left w:w="0" w:type="dxa"/>
            <w:bottom w:w="0" w:type="dxa"/>
            <w:right w:w="0" w:type="dxa"/>
          </w:tblCellMar>
        </w:tblPrEx>
        <w:tc>
          <w:tcPr>
            <w:tcW w:w="3380" w:type="dxa"/>
          </w:tcPr>
          <w:p w:rsidR="00CF4EA6" w:rsidRPr="00155DA4" w:rsidRDefault="00CF4EA6">
            <w:pPr>
              <w:pStyle w:val="Brdtexthuvud"/>
              <w:framePr w:hSpace="0" w:wrap="around" w:x="6601" w:y="852"/>
            </w:pPr>
          </w:p>
        </w:tc>
        <w:tc>
          <w:tcPr>
            <w:tcW w:w="1893" w:type="dxa"/>
          </w:tcPr>
          <w:p w:rsidR="00CF4EA6" w:rsidRPr="00155DA4" w:rsidRDefault="00CF4EA6">
            <w:pPr>
              <w:pStyle w:val="Brdtexthuvud"/>
              <w:framePr w:hSpace="0" w:wrap="around" w:x="6601" w:y="852"/>
            </w:pPr>
          </w:p>
        </w:tc>
      </w:tr>
      <w:tr w:rsidR="00CF4EA6" w:rsidRPr="00155DA4">
        <w:tblPrEx>
          <w:tblCellMar>
            <w:top w:w="0" w:type="dxa"/>
            <w:left w:w="0" w:type="dxa"/>
            <w:bottom w:w="0" w:type="dxa"/>
            <w:right w:w="0" w:type="dxa"/>
          </w:tblCellMar>
        </w:tblPrEx>
        <w:tc>
          <w:tcPr>
            <w:tcW w:w="3380" w:type="dxa"/>
          </w:tcPr>
          <w:p w:rsidR="00CF4EA6" w:rsidRPr="00155DA4" w:rsidRDefault="00CF4EA6">
            <w:pPr>
              <w:pStyle w:val="Brdtexthuvud"/>
              <w:framePr w:hSpace="0" w:wrap="around" w:x="6601" w:y="852"/>
              <w:rPr>
                <w:rFonts w:ascii="Garamond" w:hAnsi="Garamond"/>
              </w:rPr>
            </w:pPr>
            <w:bookmarkStart w:id="8" w:name="RapportDatumRef"/>
            <w:bookmarkStart w:id="9" w:name="RapportDatum"/>
            <w:bookmarkEnd w:id="8"/>
            <w:r w:rsidRPr="00155DA4">
              <w:rPr>
                <w:rFonts w:ascii="Garamond" w:hAnsi="Garamond"/>
              </w:rPr>
              <w:t>200</w:t>
            </w:r>
            <w:r w:rsidR="0004591E" w:rsidRPr="00155DA4">
              <w:rPr>
                <w:rFonts w:ascii="Garamond" w:hAnsi="Garamond"/>
              </w:rPr>
              <w:t>9</w:t>
            </w:r>
            <w:r w:rsidRPr="00155DA4">
              <w:rPr>
                <w:rFonts w:ascii="Garamond" w:hAnsi="Garamond"/>
              </w:rPr>
              <w:t>-</w:t>
            </w:r>
            <w:bookmarkEnd w:id="9"/>
            <w:r w:rsidR="0004591E" w:rsidRPr="00155DA4">
              <w:rPr>
                <w:rFonts w:ascii="Garamond" w:hAnsi="Garamond"/>
              </w:rPr>
              <w:t>06-1</w:t>
            </w:r>
            <w:r w:rsidR="005F7CE3" w:rsidRPr="00155DA4">
              <w:rPr>
                <w:rFonts w:ascii="Garamond" w:hAnsi="Garamond"/>
              </w:rPr>
              <w:t>2</w:t>
            </w:r>
          </w:p>
        </w:tc>
        <w:tc>
          <w:tcPr>
            <w:tcW w:w="1893" w:type="dxa"/>
          </w:tcPr>
          <w:p w:rsidR="00CF4EA6" w:rsidRPr="00155DA4" w:rsidRDefault="00CF4EA6">
            <w:pPr>
              <w:pStyle w:val="Brdtexthuvud"/>
              <w:framePr w:hSpace="0" w:wrap="around" w:x="6601" w:y="852"/>
              <w:rPr>
                <w:rFonts w:ascii="Garamond" w:hAnsi="Garamond"/>
              </w:rPr>
            </w:pPr>
            <w:bookmarkStart w:id="10" w:name="UDdnr"/>
            <w:bookmarkEnd w:id="10"/>
          </w:p>
          <w:p w:rsidR="00CF4EA6" w:rsidRPr="00155DA4" w:rsidRDefault="00CF4EA6">
            <w:pPr>
              <w:pStyle w:val="Brdtexthuvud"/>
              <w:framePr w:hSpace="0" w:wrap="around" w:x="6601" w:y="852"/>
            </w:pPr>
            <w:bookmarkStart w:id="11" w:name="UDskrivnr"/>
            <w:bookmarkEnd w:id="11"/>
          </w:p>
          <w:p w:rsidR="00CF4EA6" w:rsidRPr="00155DA4" w:rsidRDefault="00CF4EA6">
            <w:pPr>
              <w:pStyle w:val="Brdtexthuvud"/>
              <w:framePr w:hSpace="0" w:wrap="around" w:x="6601" w:y="852"/>
            </w:pPr>
          </w:p>
        </w:tc>
      </w:tr>
    </w:tbl>
    <w:tbl>
      <w:tblPr>
        <w:tblW w:w="0" w:type="auto"/>
        <w:tblInd w:w="8" w:type="dxa"/>
        <w:tblLayout w:type="fixed"/>
        <w:tblCellMar>
          <w:left w:w="0" w:type="dxa"/>
          <w:right w:w="0" w:type="dxa"/>
        </w:tblCellMar>
        <w:tblLook w:val="0000" w:firstRow="0" w:lastRow="0" w:firstColumn="0" w:lastColumn="0" w:noHBand="0" w:noVBand="0"/>
      </w:tblPr>
      <w:tblGrid>
        <w:gridCol w:w="5157"/>
        <w:gridCol w:w="4908"/>
      </w:tblGrid>
      <w:tr w:rsidR="00CF4EA6" w:rsidRPr="00155DA4">
        <w:tblPrEx>
          <w:tblCellMar>
            <w:top w:w="0" w:type="dxa"/>
            <w:left w:w="0" w:type="dxa"/>
            <w:bottom w:w="0" w:type="dxa"/>
            <w:right w:w="0" w:type="dxa"/>
          </w:tblCellMar>
        </w:tblPrEx>
        <w:tc>
          <w:tcPr>
            <w:tcW w:w="5157" w:type="dxa"/>
          </w:tcPr>
          <w:p w:rsidR="00CF4EA6" w:rsidRPr="00155DA4" w:rsidRDefault="00CF4EA6">
            <w:pPr>
              <w:pStyle w:val="Depnamn"/>
              <w:framePr w:h="2183" w:wrap="notBeside" w:vAnchor="page" w:hAnchor="page" w:x="1441" w:y="2496"/>
              <w:rPr>
                <w:rFonts w:ascii="Arial" w:hAnsi="Arial"/>
              </w:rPr>
            </w:pPr>
            <w:bookmarkStart w:id="12" w:name="UDdepartement"/>
            <w:bookmarkStart w:id="13" w:name="UDminister"/>
            <w:bookmarkStart w:id="14" w:name="UDStad"/>
            <w:bookmarkEnd w:id="12"/>
            <w:bookmarkEnd w:id="13"/>
            <w:bookmarkEnd w:id="14"/>
          </w:p>
          <w:p w:rsidR="00CF4EA6" w:rsidRPr="00155DA4" w:rsidRDefault="00CF4EA6">
            <w:pPr>
              <w:pStyle w:val="Namnenhet"/>
              <w:framePr w:wrap="notBeside" w:vAnchor="page" w:x="1441" w:y="2496"/>
            </w:pPr>
            <w:bookmarkStart w:id="15" w:name="UDenhet"/>
            <w:bookmarkStart w:id="16" w:name="UDchefenhet"/>
            <w:bookmarkStart w:id="17" w:name="RapportEnhet"/>
            <w:bookmarkEnd w:id="15"/>
            <w:bookmarkEnd w:id="16"/>
            <w:bookmarkEnd w:id="17"/>
            <w:r w:rsidRPr="00155DA4">
              <w:t>Socialråd</w:t>
            </w:r>
            <w:r w:rsidR="0004591E" w:rsidRPr="00155DA4">
              <w:t xml:space="preserve"> </w:t>
            </w:r>
            <w:bookmarkStart w:id="18" w:name="UDnamn"/>
            <w:bookmarkStart w:id="19" w:name="RapportNamn"/>
            <w:bookmarkEnd w:id="18"/>
            <w:bookmarkEnd w:id="19"/>
            <w:r w:rsidRPr="00155DA4">
              <w:t>Annika Mansnérus</w:t>
            </w:r>
          </w:p>
          <w:p w:rsidR="00556AC2" w:rsidRPr="00155DA4" w:rsidRDefault="00556AC2">
            <w:pPr>
              <w:pStyle w:val="Namnenhet"/>
              <w:framePr w:wrap="notBeside" w:vAnchor="page" w:x="1441" w:y="2496"/>
            </w:pPr>
            <w:bookmarkStart w:id="20" w:name="UDtelefon"/>
            <w:bookmarkStart w:id="21" w:name="RapportTel"/>
            <w:bookmarkEnd w:id="20"/>
            <w:bookmarkEnd w:id="21"/>
            <w:r w:rsidRPr="00155DA4">
              <w:t>Arbetsmarknadsråd Gustaf Lindgren</w:t>
            </w:r>
          </w:p>
          <w:p w:rsidR="0004591E" w:rsidRPr="00155DA4" w:rsidRDefault="0004591E">
            <w:pPr>
              <w:pStyle w:val="Namnenhet"/>
              <w:framePr w:wrap="notBeside" w:vAnchor="page" w:x="1441" w:y="2496"/>
            </w:pPr>
            <w:r w:rsidRPr="00155DA4">
              <w:t>Social- och arbe</w:t>
            </w:r>
            <w:r w:rsidR="005F7CE3" w:rsidRPr="00155DA4">
              <w:t>tsmarknadsattaché Jeanette Lund</w:t>
            </w:r>
          </w:p>
          <w:p w:rsidR="00CF4EA6" w:rsidRPr="00155DA4" w:rsidRDefault="00CF4EA6">
            <w:pPr>
              <w:pStyle w:val="Namnenhet"/>
              <w:framePr w:wrap="notBeside" w:vAnchor="page" w:x="1441" w:y="2496"/>
            </w:pPr>
            <w:bookmarkStart w:id="22" w:name="UDdelges"/>
            <w:bookmarkStart w:id="23" w:name="RapportInterndelgivning"/>
            <w:bookmarkEnd w:id="22"/>
            <w:bookmarkEnd w:id="23"/>
          </w:p>
          <w:p w:rsidR="00CF4EA6" w:rsidRPr="00155DA4" w:rsidRDefault="00CF4EA6">
            <w:pPr>
              <w:pStyle w:val="Depnamn"/>
              <w:framePr w:h="2183" w:wrap="notBeside" w:vAnchor="page" w:hAnchor="page" w:x="1441" w:y="2496"/>
            </w:pPr>
            <w:bookmarkStart w:id="24" w:name="UDendruta"/>
            <w:bookmarkEnd w:id="24"/>
          </w:p>
        </w:tc>
        <w:tc>
          <w:tcPr>
            <w:tcW w:w="4908" w:type="dxa"/>
          </w:tcPr>
          <w:p w:rsidR="00CF4EA6" w:rsidRPr="00155DA4" w:rsidRDefault="00CF4EA6">
            <w:pPr>
              <w:pStyle w:val="Brdtext"/>
              <w:framePr w:h="2183" w:wrap="notBeside" w:vAnchor="page" w:hAnchor="page" w:x="1441" w:y="2496"/>
              <w:rPr>
                <w:rFonts w:ascii="Garamond" w:hAnsi="Garamond"/>
              </w:rPr>
            </w:pPr>
            <w:bookmarkStart w:id="25" w:name="UDmottagare"/>
            <w:bookmarkEnd w:id="25"/>
          </w:p>
          <w:p w:rsidR="00CF4EA6" w:rsidRPr="00155DA4" w:rsidRDefault="00CF4EA6">
            <w:pPr>
              <w:pStyle w:val="Brdtext"/>
              <w:framePr w:h="2183" w:wrap="notBeside" w:vAnchor="page" w:hAnchor="page" w:x="1441" w:y="2496"/>
            </w:pPr>
          </w:p>
        </w:tc>
      </w:tr>
    </w:tbl>
    <w:p w:rsidR="00CF4EA6" w:rsidRPr="00155DA4" w:rsidRDefault="00CF4EA6">
      <w:pPr>
        <w:pStyle w:val="Brdtext"/>
        <w:spacing w:line="120" w:lineRule="exact"/>
        <w:ind w:firstLine="2127"/>
      </w:pPr>
    </w:p>
    <w:p w:rsidR="00CF4EA6" w:rsidRPr="00155DA4" w:rsidRDefault="00556AC2">
      <w:pPr>
        <w:pStyle w:val="Brdtext"/>
        <w:rPr>
          <w:rFonts w:ascii="Garamond" w:hAnsi="Garamond"/>
        </w:rPr>
      </w:pPr>
      <w:bookmarkStart w:id="26" w:name="UDfaxmottagare"/>
      <w:bookmarkStart w:id="27" w:name="RapportUDDnr"/>
      <w:bookmarkEnd w:id="26"/>
      <w:r w:rsidRPr="00155DA4">
        <w:rPr>
          <w:rFonts w:ascii="Garamond" w:hAnsi="Garamond"/>
        </w:rPr>
        <w:t>ARBETSMARKANDSDE</w:t>
      </w:r>
      <w:r w:rsidR="00CF4EA6" w:rsidRPr="00155DA4">
        <w:rPr>
          <w:rFonts w:ascii="Garamond" w:hAnsi="Garamond"/>
        </w:rPr>
        <w:t>PARTEMENTET</w:t>
      </w:r>
      <w:r w:rsidR="00485858" w:rsidRPr="00155DA4">
        <w:rPr>
          <w:rFonts w:ascii="Garamond" w:hAnsi="Garamond"/>
        </w:rPr>
        <w:t xml:space="preserve"> </w:t>
      </w:r>
      <w:bookmarkStart w:id="28" w:name="RapportDnr"/>
      <w:bookmarkEnd w:id="27"/>
      <w:bookmarkEnd w:id="28"/>
      <w:r w:rsidR="00CF4EA6" w:rsidRPr="00155DA4">
        <w:rPr>
          <w:rFonts w:ascii="Garamond" w:hAnsi="Garamond"/>
        </w:rPr>
        <w:t>SOCIALDEPARTEMENTET</w:t>
      </w:r>
    </w:p>
    <w:p w:rsidR="0004591E" w:rsidRPr="00155DA4" w:rsidRDefault="00F065FA">
      <w:pPr>
        <w:pStyle w:val="Brdtext"/>
        <w:rPr>
          <w:rFonts w:ascii="Garamond" w:hAnsi="Garamond"/>
        </w:rPr>
      </w:pPr>
      <w:r w:rsidRPr="00155DA4">
        <w:rPr>
          <w:rFonts w:ascii="Garamond" w:hAnsi="Garamond"/>
        </w:rPr>
        <w:t>IN</w:t>
      </w:r>
      <w:r w:rsidR="0004591E" w:rsidRPr="00155DA4">
        <w:rPr>
          <w:rFonts w:ascii="Garamond" w:hAnsi="Garamond"/>
        </w:rPr>
        <w:t>TEGRATIONS- OCH JÄMSTÄLLDHETSDEPARTEMENTET</w:t>
      </w:r>
    </w:p>
    <w:p w:rsidR="00CF4EA6" w:rsidRPr="00155DA4" w:rsidRDefault="00CF4EA6">
      <w:pPr>
        <w:pStyle w:val="Brdtext"/>
        <w:rPr>
          <w:rFonts w:ascii="Garamond" w:hAnsi="Garamond"/>
        </w:rPr>
      </w:pPr>
    </w:p>
    <w:p w:rsidR="00CF4EA6" w:rsidRPr="00155DA4" w:rsidRDefault="00CF4EA6">
      <w:pPr>
        <w:pStyle w:val="Brdtext"/>
        <w:rPr>
          <w:rFonts w:ascii="Garamond" w:hAnsi="Garamond"/>
        </w:rPr>
      </w:pPr>
      <w:bookmarkStart w:id="29" w:name="RapportFör"/>
      <w:bookmarkEnd w:id="29"/>
      <w:r w:rsidRPr="00155DA4">
        <w:rPr>
          <w:rFonts w:ascii="Garamond" w:hAnsi="Garamond"/>
        </w:rPr>
        <w:t xml:space="preserve">Kopia: </w:t>
      </w:r>
      <w:bookmarkStart w:id="30" w:name="RapportKopia"/>
      <w:bookmarkEnd w:id="30"/>
      <w:r w:rsidR="00556AC2" w:rsidRPr="00155DA4">
        <w:rPr>
          <w:rFonts w:ascii="Garamond" w:hAnsi="Garamond"/>
        </w:rPr>
        <w:t xml:space="preserve">Ulrika </w:t>
      </w:r>
      <w:r w:rsidR="008B7B00" w:rsidRPr="00155DA4">
        <w:rPr>
          <w:rFonts w:ascii="Garamond" w:hAnsi="Garamond"/>
        </w:rPr>
        <w:t>B</w:t>
      </w:r>
      <w:r w:rsidR="00556AC2" w:rsidRPr="00155DA4">
        <w:rPr>
          <w:rFonts w:ascii="Garamond" w:hAnsi="Garamond"/>
        </w:rPr>
        <w:t>arklund Larsson</w:t>
      </w:r>
      <w:r w:rsidR="008B7B00" w:rsidRPr="00155DA4">
        <w:rPr>
          <w:rFonts w:ascii="Garamond" w:hAnsi="Garamond"/>
        </w:rPr>
        <w:t xml:space="preserve">, </w:t>
      </w:r>
      <w:r w:rsidR="00C508C6" w:rsidRPr="00155DA4">
        <w:rPr>
          <w:rFonts w:ascii="Garamond" w:hAnsi="Garamond"/>
        </w:rPr>
        <w:t>Daniel Svensson</w:t>
      </w:r>
      <w:r w:rsidR="008B7B00" w:rsidRPr="00155DA4">
        <w:rPr>
          <w:rFonts w:ascii="Garamond" w:hAnsi="Garamond"/>
        </w:rPr>
        <w:t xml:space="preserve">, </w:t>
      </w:r>
      <w:r w:rsidR="0004591E" w:rsidRPr="00155DA4">
        <w:rPr>
          <w:rFonts w:ascii="Garamond" w:hAnsi="Garamond"/>
        </w:rPr>
        <w:t xml:space="preserve">Moa Lagercrantz, </w:t>
      </w:r>
      <w:r w:rsidR="00556AC2" w:rsidRPr="00155DA4">
        <w:rPr>
          <w:rFonts w:ascii="Garamond" w:hAnsi="Garamond"/>
        </w:rPr>
        <w:t>Anna-Charlotta Eriksson</w:t>
      </w:r>
    </w:p>
    <w:p w:rsidR="0004591E" w:rsidRPr="00155DA4" w:rsidRDefault="0004591E">
      <w:pPr>
        <w:pStyle w:val="Brdtext"/>
        <w:rPr>
          <w:rFonts w:ascii="Garamond" w:hAnsi="Garamond"/>
        </w:rPr>
      </w:pPr>
    </w:p>
    <w:p w:rsidR="00C508C6" w:rsidRPr="00155DA4" w:rsidRDefault="00C508C6" w:rsidP="00C508C6">
      <w:pPr>
        <w:pStyle w:val="UDrubrik"/>
        <w:pBdr>
          <w:bottom w:val="single" w:sz="6" w:space="1" w:color="auto"/>
        </w:pBdr>
        <w:rPr>
          <w:rFonts w:ascii="Arial" w:hAnsi="Arial"/>
        </w:rPr>
      </w:pPr>
      <w:r w:rsidRPr="00155DA4">
        <w:rPr>
          <w:rFonts w:ascii="Arial" w:hAnsi="Arial"/>
        </w:rPr>
        <w:t>Rapport från rådets (EPSCO) möte den</w:t>
      </w:r>
      <w:r w:rsidR="0004591E" w:rsidRPr="00155DA4">
        <w:rPr>
          <w:rFonts w:ascii="Arial" w:hAnsi="Arial"/>
        </w:rPr>
        <w:t xml:space="preserve"> 8 juni 2009</w:t>
      </w:r>
    </w:p>
    <w:p w:rsidR="00C508C6" w:rsidRPr="00155DA4" w:rsidRDefault="00C508C6">
      <w:pPr>
        <w:pStyle w:val="Brdtext"/>
        <w:rPr>
          <w:rFonts w:ascii="Garamond" w:hAnsi="Garamond"/>
        </w:rPr>
      </w:pPr>
    </w:p>
    <w:p w:rsidR="005F7CE3" w:rsidRPr="00155DA4" w:rsidRDefault="005F7CE3" w:rsidP="005F7CE3">
      <w:pPr>
        <w:rPr>
          <w:i/>
        </w:rPr>
      </w:pPr>
      <w:r w:rsidRPr="00155DA4">
        <w:rPr>
          <w:i/>
        </w:rPr>
        <w:t xml:space="preserve">Mötet inleddes med en frukostdebatt för ministrarna som </w:t>
      </w:r>
      <w:r w:rsidRPr="00155DA4">
        <w:rPr>
          <w:b/>
          <w:i/>
        </w:rPr>
        <w:t>förberedelse för Europeiska rådet i juni</w:t>
      </w:r>
      <w:r w:rsidRPr="00155DA4">
        <w:rPr>
          <w:i/>
        </w:rPr>
        <w:t xml:space="preserve">. Budskap från det informella sysselsättningstoppmötet i maj i Prag samt kommissionens meddelande ”A shared Commitment for Employment” utgjorde del av underlag för debatten.  </w:t>
      </w:r>
    </w:p>
    <w:p w:rsidR="005F7CE3" w:rsidRPr="00155DA4" w:rsidRDefault="005F7CE3" w:rsidP="005F7CE3">
      <w:pPr>
        <w:rPr>
          <w:i/>
        </w:rPr>
      </w:pPr>
    </w:p>
    <w:p w:rsidR="005F7CE3" w:rsidRPr="00155DA4" w:rsidRDefault="005F7CE3" w:rsidP="005F7CE3">
      <w:pPr>
        <w:rPr>
          <w:i/>
        </w:rPr>
      </w:pPr>
      <w:r w:rsidRPr="00155DA4">
        <w:rPr>
          <w:i/>
        </w:rPr>
        <w:t xml:space="preserve">Ministrarna antog också en politisk överenskommelse om </w:t>
      </w:r>
      <w:r w:rsidRPr="00155DA4">
        <w:rPr>
          <w:b/>
          <w:i/>
        </w:rPr>
        <w:t>riktlinjer för medlemsstaternas sysselsättningspolitik</w:t>
      </w:r>
      <w:r w:rsidRPr="00155DA4">
        <w:rPr>
          <w:i/>
        </w:rPr>
        <w:t xml:space="preserve"> samt slutsatser om</w:t>
      </w:r>
      <w:r w:rsidRPr="00155DA4">
        <w:rPr>
          <w:b/>
          <w:i/>
        </w:rPr>
        <w:t xml:space="preserve"> flexicurity i kristider</w:t>
      </w:r>
      <w:r w:rsidRPr="00155DA4">
        <w:rPr>
          <w:i/>
        </w:rPr>
        <w:t xml:space="preserve">, </w:t>
      </w:r>
      <w:r w:rsidRPr="00155DA4">
        <w:rPr>
          <w:b/>
          <w:i/>
        </w:rPr>
        <w:t>sociala tjänster</w:t>
      </w:r>
      <w:r w:rsidRPr="00155DA4">
        <w:rPr>
          <w:i/>
        </w:rPr>
        <w:t xml:space="preserve"> som ett verktyg för social sammanhållning, lika möjligheter för kvinnor och män till </w:t>
      </w:r>
      <w:r w:rsidRPr="00155DA4">
        <w:rPr>
          <w:b/>
          <w:i/>
        </w:rPr>
        <w:t>aktivt och värdigt åldrand</w:t>
      </w:r>
      <w:r w:rsidRPr="00155DA4">
        <w:rPr>
          <w:i/>
        </w:rPr>
        <w:t xml:space="preserve">e samt om </w:t>
      </w:r>
      <w:r w:rsidRPr="00155DA4">
        <w:rPr>
          <w:b/>
          <w:i/>
        </w:rPr>
        <w:t xml:space="preserve">integrering av romer. </w:t>
      </w:r>
      <w:r w:rsidRPr="00155DA4">
        <w:rPr>
          <w:i/>
        </w:rPr>
        <w:t>Ministrarna kunde</w:t>
      </w:r>
      <w:r w:rsidRPr="00155DA4">
        <w:rPr>
          <w:b/>
          <w:i/>
        </w:rPr>
        <w:t xml:space="preserve"> </w:t>
      </w:r>
      <w:r w:rsidRPr="00155DA4">
        <w:rPr>
          <w:i/>
        </w:rPr>
        <w:t xml:space="preserve">däremot inte nå en politisk uppgörelse om bestämmelser som </w:t>
      </w:r>
      <w:r w:rsidRPr="00155DA4">
        <w:rPr>
          <w:b/>
          <w:i/>
        </w:rPr>
        <w:t>utvidgar bestämmelserna om samordning av sociala trygghetssystemen till tredjelandsmedborgare</w:t>
      </w:r>
      <w:r w:rsidRPr="00155DA4">
        <w:rPr>
          <w:i/>
        </w:rPr>
        <w:t xml:space="preserve"> som flyttar inom EU. Det blir därmed en uppgift för Sverige att försöka lösa den utestående frågan om eventuellt fortsatt undantag för </w:t>
      </w:r>
      <w:r w:rsidR="004713E6" w:rsidRPr="00155DA4">
        <w:rPr>
          <w:i/>
        </w:rPr>
        <w:t>vissa länder</w:t>
      </w:r>
      <w:r w:rsidRPr="00155DA4">
        <w:rPr>
          <w:i/>
        </w:rPr>
        <w:t xml:space="preserve"> när det gäller tredjelandsmedborgares rätt till familjeförmåner.  </w:t>
      </w:r>
    </w:p>
    <w:p w:rsidR="005F7CE3" w:rsidRPr="00155DA4" w:rsidRDefault="005F7CE3" w:rsidP="005F7CE3">
      <w:pPr>
        <w:rPr>
          <w:i/>
        </w:rPr>
      </w:pPr>
    </w:p>
    <w:p w:rsidR="005F7CE3" w:rsidRPr="00155DA4" w:rsidRDefault="005F7CE3" w:rsidP="005F7CE3">
      <w:pPr>
        <w:rPr>
          <w:i/>
        </w:rPr>
      </w:pPr>
      <w:r w:rsidRPr="00155DA4">
        <w:rPr>
          <w:i/>
        </w:rPr>
        <w:t>Ordförandeskapet lämnade därutöver  lägesrapporter</w:t>
      </w:r>
      <w:r w:rsidRPr="00155DA4">
        <w:rPr>
          <w:b/>
          <w:i/>
        </w:rPr>
        <w:t xml:space="preserve"> </w:t>
      </w:r>
      <w:r w:rsidRPr="00155DA4">
        <w:rPr>
          <w:i/>
        </w:rPr>
        <w:t xml:space="preserve">om de pågående förhandlingarna om förslaget till direktivet om </w:t>
      </w:r>
      <w:r w:rsidRPr="00155DA4">
        <w:rPr>
          <w:b/>
          <w:i/>
        </w:rPr>
        <w:t>likabehandling av personer oavsett religion, funktionshinder, ålder eller sexuell läggning,</w:t>
      </w:r>
      <w:r w:rsidRPr="00155DA4">
        <w:rPr>
          <w:i/>
        </w:rPr>
        <w:t xml:space="preserve"> förslaget till direktiv om likabehandling av </w:t>
      </w:r>
      <w:r w:rsidRPr="00155DA4">
        <w:rPr>
          <w:b/>
          <w:i/>
        </w:rPr>
        <w:t>kvinnor och män som är egenföretagare</w:t>
      </w:r>
      <w:r w:rsidRPr="00155DA4">
        <w:rPr>
          <w:i/>
        </w:rPr>
        <w:t xml:space="preserve"> samt förslaget om direktiv om arbetsmiljön för </w:t>
      </w:r>
      <w:r w:rsidRPr="00155DA4">
        <w:rPr>
          <w:b/>
          <w:i/>
        </w:rPr>
        <w:t>arbetstagare som är gravida, nyligen har fött barn eller som ammar</w:t>
      </w:r>
      <w:r w:rsidRPr="00155DA4">
        <w:rPr>
          <w:i/>
        </w:rPr>
        <w:t xml:space="preserve">. Sr Sven-Otto Littorin lämnade också en redogörelse för Sveriges prioriteringar rörande arbetsmarknads- och socialpolitiken och ss Christer Hallerby en motsvarande redogörelse i fråga om jämställdhet och lika möjligheter. </w:t>
      </w:r>
    </w:p>
    <w:p w:rsidR="005F7CE3" w:rsidRPr="00155DA4" w:rsidRDefault="005F7CE3" w:rsidP="005F7CE3">
      <w:pPr>
        <w:rPr>
          <w:i/>
        </w:rPr>
      </w:pPr>
    </w:p>
    <w:p w:rsidR="005F7CE3" w:rsidRPr="00155DA4" w:rsidRDefault="005F7CE3" w:rsidP="005F7CE3">
      <w:pPr>
        <w:rPr>
          <w:i/>
        </w:rPr>
      </w:pPr>
      <w:r w:rsidRPr="00155DA4">
        <w:rPr>
          <w:i/>
        </w:rPr>
        <w:t xml:space="preserve">Under lunchen diskuterade ministrarna sitt bidrag till Lissabonstrategin post 2010. </w:t>
      </w:r>
    </w:p>
    <w:p w:rsidR="009C75A3" w:rsidRPr="00155DA4" w:rsidRDefault="009C75A3">
      <w:pPr>
        <w:pStyle w:val="Brdtext"/>
        <w:rPr>
          <w:rFonts w:ascii="Garamond" w:hAnsi="Garamond"/>
        </w:rPr>
      </w:pPr>
    </w:p>
    <w:p w:rsidR="009C75A3" w:rsidRPr="00155DA4" w:rsidRDefault="009C75A3" w:rsidP="009C75A3"/>
    <w:p w:rsidR="009C75A3" w:rsidRPr="00155DA4" w:rsidRDefault="009C75A3" w:rsidP="009C75A3">
      <w:pPr>
        <w:rPr>
          <w:b/>
        </w:rPr>
      </w:pPr>
      <w:r w:rsidRPr="00155DA4">
        <w:t xml:space="preserve">3.         </w:t>
      </w:r>
      <w:r w:rsidRPr="00155DA4">
        <w:rPr>
          <w:b/>
        </w:rPr>
        <w:t>Förberedelse inför Europeiska rådet i juni</w:t>
      </w:r>
    </w:p>
    <w:p w:rsidR="009C75A3" w:rsidRPr="00155DA4" w:rsidRDefault="009C75A3" w:rsidP="009C75A3">
      <w:pPr>
        <w:ind w:left="567"/>
        <w:rPr>
          <w:b/>
        </w:rPr>
      </w:pPr>
      <w:r w:rsidRPr="00155DA4">
        <w:rPr>
          <w:b/>
        </w:rPr>
        <w:sym w:font="Symbol" w:char="F02D"/>
      </w:r>
      <w:r w:rsidRPr="00155DA4">
        <w:rPr>
          <w:b/>
        </w:rPr>
        <w:tab/>
        <w:t>Riktlinjedebatt</w:t>
      </w:r>
    </w:p>
    <w:p w:rsidR="009C75A3" w:rsidRPr="00155DA4" w:rsidRDefault="009C75A3" w:rsidP="009C75A3">
      <w:pPr>
        <w:rPr>
          <w:b/>
        </w:rPr>
      </w:pPr>
    </w:p>
    <w:p w:rsidR="009C75A3" w:rsidRPr="00155DA4" w:rsidRDefault="009C75A3" w:rsidP="009C75A3">
      <w:pPr>
        <w:ind w:left="567"/>
        <w:rPr>
          <w:b/>
        </w:rPr>
      </w:pPr>
      <w:r w:rsidRPr="00155DA4">
        <w:rPr>
          <w:b/>
        </w:rPr>
        <w:t xml:space="preserve">a)       Det informella toppmötet om sysselsättning </w:t>
      </w:r>
      <w:r w:rsidRPr="00155DA4">
        <w:rPr>
          <w:b/>
        </w:rPr>
        <w:sym w:font="Symbol" w:char="F02D"/>
      </w:r>
      <w:r w:rsidRPr="00155DA4">
        <w:rPr>
          <w:b/>
        </w:rPr>
        <w:t xml:space="preserve"> huvudbudskap</w:t>
      </w:r>
    </w:p>
    <w:p w:rsidR="009C75A3" w:rsidRPr="00155DA4" w:rsidRDefault="009C75A3" w:rsidP="009C75A3">
      <w:pPr>
        <w:ind w:left="1134"/>
        <w:rPr>
          <w:b/>
        </w:rPr>
      </w:pPr>
      <w:r w:rsidRPr="00155DA4">
        <w:rPr>
          <w:b/>
        </w:rPr>
        <w:t>i)</w:t>
      </w:r>
      <w:r w:rsidRPr="00155DA4">
        <w:rPr>
          <w:b/>
        </w:rPr>
        <w:tab/>
        <w:t>Bidrag från sysselsättningskommittén</w:t>
      </w:r>
    </w:p>
    <w:p w:rsidR="009C75A3" w:rsidRPr="00155DA4" w:rsidRDefault="009C75A3" w:rsidP="009C75A3">
      <w:pPr>
        <w:ind w:left="1134"/>
        <w:rPr>
          <w:b/>
        </w:rPr>
      </w:pPr>
      <w:r w:rsidRPr="00155DA4">
        <w:rPr>
          <w:b/>
        </w:rPr>
        <w:lastRenderedPageBreak/>
        <w:t>ii)</w:t>
      </w:r>
      <w:r w:rsidRPr="00155DA4">
        <w:rPr>
          <w:b/>
        </w:rPr>
        <w:tab/>
        <w:t>Bidrag från kommittén för socialt skydd</w:t>
      </w:r>
    </w:p>
    <w:p w:rsidR="009C75A3" w:rsidRPr="00155DA4" w:rsidRDefault="009C75A3" w:rsidP="009C75A3">
      <w:pPr>
        <w:rPr>
          <w:b/>
        </w:rPr>
      </w:pPr>
    </w:p>
    <w:p w:rsidR="009C75A3" w:rsidRPr="00155DA4" w:rsidRDefault="009C75A3" w:rsidP="009C75A3">
      <w:pPr>
        <w:ind w:left="1134" w:hanging="567"/>
        <w:rPr>
          <w:b/>
        </w:rPr>
      </w:pPr>
      <w:r w:rsidRPr="00155DA4">
        <w:rPr>
          <w:b/>
        </w:rPr>
        <w:t>b)</w:t>
      </w:r>
      <w:r w:rsidRPr="00155DA4">
        <w:rPr>
          <w:b/>
        </w:rPr>
        <w:tab/>
        <w:t>Meddelande från kommissionen till Europeiska rådet i juni: "A Shared Commitment for Employment"</w:t>
      </w:r>
    </w:p>
    <w:p w:rsidR="009C75A3" w:rsidRPr="00155DA4" w:rsidRDefault="009C75A3" w:rsidP="009C75A3">
      <w:pPr>
        <w:rPr>
          <w:b/>
        </w:rPr>
      </w:pPr>
    </w:p>
    <w:p w:rsidR="009C75A3" w:rsidRPr="00155DA4" w:rsidRDefault="009C75A3" w:rsidP="009C75A3">
      <w:pPr>
        <w:ind w:left="1134" w:hanging="567"/>
        <w:rPr>
          <w:b/>
        </w:rPr>
      </w:pPr>
      <w:r w:rsidRPr="00155DA4">
        <w:rPr>
          <w:b/>
        </w:rPr>
        <w:t>c)</w:t>
      </w:r>
      <w:r w:rsidRPr="00155DA4">
        <w:rPr>
          <w:b/>
        </w:rPr>
        <w:tab/>
        <w:t>Meddelande från kommissionen till Europaparlamentet, rådet, Europeiska ekonomiska och sociala kommittén och Regionkommittén – om hanteringen av effekterna av en åldrande befolkning i EU (2009 års åldranderapport)</w:t>
      </w:r>
    </w:p>
    <w:p w:rsidR="009C75A3" w:rsidRPr="00155DA4" w:rsidRDefault="009C75A3" w:rsidP="009C75A3">
      <w:pPr>
        <w:rPr>
          <w:b/>
        </w:rPr>
      </w:pPr>
    </w:p>
    <w:p w:rsidR="009C75A3" w:rsidRPr="00155DA4" w:rsidRDefault="009C75A3" w:rsidP="009C75A3">
      <w:pPr>
        <w:ind w:left="567"/>
        <w:rPr>
          <w:b/>
        </w:rPr>
      </w:pPr>
      <w:r w:rsidRPr="00155DA4">
        <w:rPr>
          <w:b/>
        </w:rPr>
        <w:t>d)</w:t>
      </w:r>
      <w:r w:rsidRPr="00155DA4">
        <w:rPr>
          <w:b/>
        </w:rPr>
        <w:tab/>
        <w:t>Flexicurity i kristider</w:t>
      </w:r>
    </w:p>
    <w:p w:rsidR="009C75A3" w:rsidRPr="00155DA4" w:rsidRDefault="009C75A3" w:rsidP="009C75A3">
      <w:pPr>
        <w:ind w:left="1134"/>
        <w:rPr>
          <w:b/>
        </w:rPr>
      </w:pPr>
      <w:r w:rsidRPr="00155DA4">
        <w:rPr>
          <w:b/>
        </w:rPr>
        <w:sym w:font="Symbol" w:char="F02D"/>
      </w:r>
      <w:r w:rsidRPr="00155DA4">
        <w:rPr>
          <w:b/>
        </w:rPr>
        <w:tab/>
        <w:t>Antagande av rådets slutsatser</w:t>
      </w:r>
    </w:p>
    <w:p w:rsidR="009C75A3" w:rsidRPr="00155DA4" w:rsidRDefault="009C75A3" w:rsidP="009C75A3">
      <w:pPr>
        <w:rPr>
          <w:b/>
        </w:rPr>
      </w:pPr>
    </w:p>
    <w:p w:rsidR="009C75A3" w:rsidRPr="00155DA4" w:rsidRDefault="009C75A3" w:rsidP="009C75A3">
      <w:pPr>
        <w:ind w:left="1134" w:hanging="567"/>
        <w:rPr>
          <w:b/>
        </w:rPr>
      </w:pPr>
      <w:r w:rsidRPr="00155DA4">
        <w:rPr>
          <w:b/>
        </w:rPr>
        <w:t>e)</w:t>
      </w:r>
      <w:r w:rsidRPr="00155DA4">
        <w:rPr>
          <w:b/>
        </w:rPr>
        <w:tab/>
        <w:t>Socialt skydd som ett verktyg för aktiv integration, stärkt social sammanhållning och arbetstillfällen</w:t>
      </w:r>
    </w:p>
    <w:p w:rsidR="009C75A3" w:rsidRPr="00155DA4" w:rsidRDefault="009C75A3" w:rsidP="009C75A3">
      <w:pPr>
        <w:ind w:left="1134"/>
        <w:rPr>
          <w:b/>
        </w:rPr>
      </w:pPr>
      <w:r w:rsidRPr="00155DA4">
        <w:rPr>
          <w:b/>
        </w:rPr>
        <w:sym w:font="Symbol" w:char="F02D"/>
      </w:r>
      <w:r w:rsidRPr="00155DA4">
        <w:rPr>
          <w:b/>
        </w:rPr>
        <w:tab/>
        <w:t>Antagande av rådets slutsatser</w:t>
      </w:r>
    </w:p>
    <w:p w:rsidR="009C75A3" w:rsidRPr="00155DA4" w:rsidRDefault="009C75A3" w:rsidP="009C75A3">
      <w:pPr>
        <w:rPr>
          <w:b/>
        </w:rPr>
      </w:pPr>
    </w:p>
    <w:p w:rsidR="009C75A3" w:rsidRPr="00155DA4" w:rsidRDefault="009C75A3" w:rsidP="009C75A3">
      <w:pPr>
        <w:ind w:left="567"/>
        <w:rPr>
          <w:b/>
        </w:rPr>
      </w:pPr>
      <w:r w:rsidRPr="00155DA4">
        <w:rPr>
          <w:b/>
        </w:rPr>
        <w:t>f)</w:t>
      </w:r>
      <w:r w:rsidRPr="00155DA4">
        <w:rPr>
          <w:b/>
        </w:rPr>
        <w:tab/>
        <w:t xml:space="preserve">         Kompetens och rörlighet</w:t>
      </w:r>
    </w:p>
    <w:p w:rsidR="009C75A3" w:rsidRPr="00155DA4" w:rsidRDefault="009C75A3" w:rsidP="009C75A3">
      <w:pPr>
        <w:ind w:left="1134"/>
        <w:rPr>
          <w:b/>
        </w:rPr>
      </w:pPr>
      <w:r w:rsidRPr="00155DA4">
        <w:rPr>
          <w:b/>
        </w:rPr>
        <w:sym w:font="Symbol" w:char="F02D"/>
      </w:r>
      <w:r w:rsidRPr="00155DA4">
        <w:rPr>
          <w:b/>
        </w:rPr>
        <w:tab/>
        <w:t>Godkännande av sysselsättningskommitténs yttrande</w:t>
      </w:r>
    </w:p>
    <w:p w:rsidR="009C75A3" w:rsidRPr="00155DA4" w:rsidRDefault="009C75A3" w:rsidP="009C75A3">
      <w:pPr>
        <w:rPr>
          <w:b/>
        </w:rPr>
      </w:pPr>
    </w:p>
    <w:p w:rsidR="009C75A3" w:rsidRPr="00155DA4" w:rsidRDefault="009C75A3" w:rsidP="009C75A3"/>
    <w:p w:rsidR="009C75A3" w:rsidRPr="00155DA4" w:rsidRDefault="009C75A3" w:rsidP="009C75A3">
      <w:pPr>
        <w:ind w:left="720"/>
      </w:pPr>
      <w:r w:rsidRPr="00155DA4">
        <w:rPr>
          <w:b/>
        </w:rPr>
        <w:t>EMCO</w:t>
      </w:r>
      <w:r w:rsidRPr="00155DA4">
        <w:t xml:space="preserve"> och </w:t>
      </w:r>
      <w:r w:rsidRPr="00155DA4">
        <w:rPr>
          <w:b/>
        </w:rPr>
        <w:t>KST</w:t>
      </w:r>
      <w:r w:rsidRPr="00155DA4">
        <w:t xml:space="preserve"> ordföranden informerade kort om sina respektive bidrag. </w:t>
      </w:r>
      <w:r w:rsidRPr="00155DA4">
        <w:rPr>
          <w:b/>
        </w:rPr>
        <w:t>EMCO ORDF</w:t>
      </w:r>
      <w:r w:rsidRPr="00155DA4">
        <w:t xml:space="preserve"> betonade vikten av att fortsätta genomföra reformer i linje med bl.a. flexicurity-principerna. I krisen handlar det inte om att skydda enskilda jobb, utan om att främja anställningsbarheten hos individer underströk </w:t>
      </w:r>
      <w:r w:rsidRPr="00155DA4">
        <w:rPr>
          <w:b/>
        </w:rPr>
        <w:t>EMCO ORDF</w:t>
      </w:r>
      <w:r w:rsidRPr="00155DA4">
        <w:t xml:space="preserve">. </w:t>
      </w:r>
    </w:p>
    <w:p w:rsidR="009C75A3" w:rsidRPr="00155DA4" w:rsidRDefault="009C75A3" w:rsidP="009C75A3">
      <w:pPr>
        <w:ind w:left="720"/>
      </w:pPr>
    </w:p>
    <w:p w:rsidR="009C75A3" w:rsidRPr="00155DA4" w:rsidRDefault="009C75A3" w:rsidP="009C75A3">
      <w:pPr>
        <w:ind w:left="720"/>
      </w:pPr>
      <w:r w:rsidRPr="00155DA4">
        <w:t>Utifrån de frågor (</w:t>
      </w:r>
      <w:r w:rsidR="005F7CE3" w:rsidRPr="00155DA4">
        <w:t xml:space="preserve">dok. </w:t>
      </w:r>
      <w:r w:rsidRPr="00155DA4">
        <w:t xml:space="preserve">10108/09) som ordförandeskapet presenterat inför diskussionen gjordes en rad inlägg av medlemsstaterna. </w:t>
      </w:r>
    </w:p>
    <w:p w:rsidR="009C75A3" w:rsidRPr="00155DA4" w:rsidRDefault="009C75A3" w:rsidP="009C75A3">
      <w:pPr>
        <w:ind w:left="720"/>
      </w:pPr>
    </w:p>
    <w:p w:rsidR="009C75A3" w:rsidRPr="00155DA4" w:rsidRDefault="00C43E6A" w:rsidP="009C75A3">
      <w:pPr>
        <w:ind w:left="720"/>
      </w:pPr>
      <w:r w:rsidRPr="00155DA4">
        <w:rPr>
          <w:b/>
        </w:rPr>
        <w:t>XA</w:t>
      </w:r>
      <w:r w:rsidR="009C75A3" w:rsidRPr="00155DA4">
        <w:rPr>
          <w:b/>
        </w:rPr>
        <w:t xml:space="preserve"> </w:t>
      </w:r>
      <w:r w:rsidR="009C75A3" w:rsidRPr="00155DA4">
        <w:t xml:space="preserve">nämnde nationella åtgärder som vidtagits samt betonade att nya jobb endast kommer att skapas när krisen ebbat ut, varför det bland annat var viktigt att nu återskapa förtroendet i de finansiella systemen. Post-Lissabon måste handla om att främja bättre kvaliteten på jobben menade </w:t>
      </w:r>
      <w:r w:rsidRPr="00155DA4">
        <w:rPr>
          <w:b/>
        </w:rPr>
        <w:t>XA</w:t>
      </w:r>
      <w:r w:rsidR="009C75A3" w:rsidRPr="00155DA4">
        <w:t xml:space="preserve">, genomförandet av pensionsreformer var en viktig del av detta. </w:t>
      </w:r>
    </w:p>
    <w:p w:rsidR="009C75A3" w:rsidRPr="00155DA4" w:rsidRDefault="009C75A3" w:rsidP="009C75A3">
      <w:pPr>
        <w:ind w:left="720"/>
      </w:pPr>
    </w:p>
    <w:p w:rsidR="009C75A3" w:rsidRPr="00155DA4" w:rsidRDefault="00C43E6A" w:rsidP="009C75A3">
      <w:pPr>
        <w:ind w:left="720"/>
      </w:pPr>
      <w:r w:rsidRPr="00155DA4">
        <w:rPr>
          <w:b/>
        </w:rPr>
        <w:t>XB</w:t>
      </w:r>
      <w:r w:rsidR="009C75A3" w:rsidRPr="00155DA4">
        <w:t xml:space="preserve"> betonade att finansiella systemen måste fungera, men att det också var viktigt att skapa jobb och mer inkluderande arbetsmarknader. Staten har en viktig roll att spela menade </w:t>
      </w:r>
      <w:r w:rsidRPr="00155DA4">
        <w:rPr>
          <w:b/>
        </w:rPr>
        <w:t>XB</w:t>
      </w:r>
      <w:r w:rsidR="009C75A3" w:rsidRPr="00155DA4">
        <w:t xml:space="preserve">, som lyfte fram vidtagna nationella satsningar som enligt dem bidragit till att 24000 färre arbetslösa och 70 tusen nya jobb. </w:t>
      </w:r>
      <w:r w:rsidRPr="00155DA4">
        <w:rPr>
          <w:b/>
        </w:rPr>
        <w:t>XB</w:t>
      </w:r>
      <w:r w:rsidR="009C75A3" w:rsidRPr="00155DA4">
        <w:t xml:space="preserve"> betonade också vikten av att värna om sociala trygghetssystem och främja kunskapsinhämtning. Vikten av att på nationell och EU nivå främja social dialog betonades också. </w:t>
      </w:r>
    </w:p>
    <w:p w:rsidR="009C75A3" w:rsidRPr="00155DA4" w:rsidRDefault="009C75A3" w:rsidP="009C75A3">
      <w:pPr>
        <w:ind w:left="720"/>
      </w:pPr>
    </w:p>
    <w:p w:rsidR="009C75A3" w:rsidRPr="00155DA4" w:rsidRDefault="00C43E6A" w:rsidP="009C75A3">
      <w:pPr>
        <w:ind w:left="720"/>
      </w:pPr>
      <w:r w:rsidRPr="00155DA4">
        <w:rPr>
          <w:b/>
        </w:rPr>
        <w:t>XC</w:t>
      </w:r>
      <w:r w:rsidR="009C75A3" w:rsidRPr="00155DA4">
        <w:t xml:space="preserve"> underströk hur viktigt det var att stärka den sociala dimensionen genom fortsatta strukturreformer, bättre koordinering, och en mer hållbar tillväxt som både tar hänsyn till sociala och miljömässiga aspekter. </w:t>
      </w:r>
      <w:r w:rsidRPr="00155DA4">
        <w:rPr>
          <w:b/>
        </w:rPr>
        <w:t>XC</w:t>
      </w:r>
      <w:r w:rsidR="009C75A3" w:rsidRPr="00155DA4">
        <w:t xml:space="preserve"> välkomnade KOM meddelande per den 3 juni bl.a. därför att den betonar arbetstidsförkortningssystemen och flexicurity. </w:t>
      </w:r>
      <w:r w:rsidRPr="00155DA4">
        <w:rPr>
          <w:b/>
        </w:rPr>
        <w:t>XC</w:t>
      </w:r>
      <w:r w:rsidR="009C75A3" w:rsidRPr="00155DA4">
        <w:t xml:space="preserve"> välkomnade också förslaget i meddelandet om mikrokrediter och förslagen om ESF. Vad gäller ESF förslaget ansåg </w:t>
      </w:r>
      <w:r w:rsidRPr="00155DA4">
        <w:rPr>
          <w:b/>
        </w:rPr>
        <w:t>XC</w:t>
      </w:r>
      <w:r w:rsidR="009C75A3" w:rsidRPr="00155DA4">
        <w:t xml:space="preserve"> att de budgetära konsekvenserna av förslaget först måste analyseras mer ingående. </w:t>
      </w:r>
      <w:r w:rsidRPr="00155DA4">
        <w:t>XC</w:t>
      </w:r>
      <w:r w:rsidR="009C75A3" w:rsidRPr="00155DA4">
        <w:t xml:space="preserve"> bad KOM fortsätta följa upp krisen i EU. </w:t>
      </w:r>
    </w:p>
    <w:p w:rsidR="009C75A3" w:rsidRPr="00155DA4" w:rsidRDefault="009C75A3" w:rsidP="009C75A3">
      <w:pPr>
        <w:ind w:left="720"/>
      </w:pPr>
    </w:p>
    <w:p w:rsidR="009C75A3" w:rsidRPr="00155DA4" w:rsidRDefault="00C43E6A" w:rsidP="009C75A3">
      <w:pPr>
        <w:ind w:left="720"/>
      </w:pPr>
      <w:r w:rsidRPr="00155DA4">
        <w:rPr>
          <w:b/>
        </w:rPr>
        <w:t>XD</w:t>
      </w:r>
      <w:r w:rsidR="009C75A3" w:rsidRPr="00155DA4">
        <w:t xml:space="preserve"> betonade att de var mindre påverkade än många andra MS av krisen. </w:t>
      </w:r>
      <w:r w:rsidRPr="00155DA4">
        <w:rPr>
          <w:b/>
        </w:rPr>
        <w:t>XD</w:t>
      </w:r>
      <w:r w:rsidR="009C75A3" w:rsidRPr="00155DA4">
        <w:t xml:space="preserve"> menade att 7 maj huvudbudskapen kunde haft ett mer tydligt socialt fokus. </w:t>
      </w:r>
    </w:p>
    <w:p w:rsidR="009C75A3" w:rsidRPr="00155DA4" w:rsidRDefault="009C75A3" w:rsidP="009C75A3">
      <w:pPr>
        <w:ind w:left="720"/>
      </w:pPr>
    </w:p>
    <w:p w:rsidR="009C75A3" w:rsidRPr="00155DA4" w:rsidRDefault="00C43E6A" w:rsidP="009C75A3">
      <w:pPr>
        <w:ind w:left="720"/>
      </w:pPr>
      <w:r w:rsidRPr="00155DA4">
        <w:rPr>
          <w:b/>
        </w:rPr>
        <w:t>XE</w:t>
      </w:r>
      <w:r w:rsidR="009C75A3" w:rsidRPr="00155DA4">
        <w:t xml:space="preserve"> informerade om vidtagna nationella åtgärder. </w:t>
      </w:r>
      <w:r w:rsidRPr="00155DA4">
        <w:rPr>
          <w:b/>
        </w:rPr>
        <w:t>XE</w:t>
      </w:r>
      <w:r w:rsidR="009C75A3" w:rsidRPr="00155DA4">
        <w:t xml:space="preserve"> var positivt inställda till KOM meddelande per den 3 juni och dess förslag till ändringar i gemenskapsfonder. </w:t>
      </w:r>
    </w:p>
    <w:p w:rsidR="009C75A3" w:rsidRPr="00155DA4" w:rsidRDefault="009C75A3" w:rsidP="009C75A3">
      <w:pPr>
        <w:ind w:left="720"/>
      </w:pPr>
    </w:p>
    <w:p w:rsidR="009C75A3" w:rsidRPr="00155DA4" w:rsidRDefault="00C43E6A" w:rsidP="009C75A3">
      <w:pPr>
        <w:ind w:left="720"/>
      </w:pPr>
      <w:r w:rsidRPr="00155DA4">
        <w:rPr>
          <w:b/>
        </w:rPr>
        <w:t>XF</w:t>
      </w:r>
      <w:r w:rsidR="009C75A3" w:rsidRPr="00155DA4">
        <w:t xml:space="preserve"> uppmanade ER i juni att anta tydliga och kraftfulla slutsatser på sysselsättnings och det sociala området. Vad gäller begreppet ”making transitions pay” ansåg </w:t>
      </w:r>
      <w:r w:rsidRPr="00155DA4">
        <w:rPr>
          <w:b/>
        </w:rPr>
        <w:t>XF</w:t>
      </w:r>
      <w:r w:rsidR="009C75A3" w:rsidRPr="00155DA4">
        <w:t xml:space="preserve"> att detta inte bara fick handla om att få in fler på arbetsmarkanden, utan också om stöd till dem som står utanför. </w:t>
      </w:r>
      <w:r w:rsidRPr="00155DA4">
        <w:rPr>
          <w:b/>
        </w:rPr>
        <w:t>XF</w:t>
      </w:r>
      <w:r w:rsidR="009C75A3" w:rsidRPr="00155DA4">
        <w:t xml:space="preserve"> efterfrågade tydligare koordinering av ekonomisk, miljö- och sysselsättningspolitik. Vad gäller SE ORDF, ansåg </w:t>
      </w:r>
      <w:r w:rsidRPr="00155DA4">
        <w:rPr>
          <w:b/>
        </w:rPr>
        <w:t>XF</w:t>
      </w:r>
      <w:r w:rsidR="009C75A3" w:rsidRPr="00155DA4">
        <w:t xml:space="preserve"> att SE bör göra inkluderande arbetsmarknader till sin topp prioritet. </w:t>
      </w:r>
      <w:r w:rsidRPr="00155DA4">
        <w:rPr>
          <w:b/>
        </w:rPr>
        <w:t>XF</w:t>
      </w:r>
      <w:r w:rsidR="009C75A3" w:rsidRPr="00155DA4">
        <w:t xml:space="preserve"> såg också fram emot KOM kommande analys av kunskapsbehov, i enlighet med 7 maj huvudbudskapen. </w:t>
      </w:r>
    </w:p>
    <w:p w:rsidR="009C75A3" w:rsidRPr="00155DA4" w:rsidRDefault="009C75A3" w:rsidP="009C75A3">
      <w:pPr>
        <w:ind w:left="720"/>
      </w:pPr>
    </w:p>
    <w:p w:rsidR="009C75A3" w:rsidRPr="00155DA4" w:rsidRDefault="00C43E6A" w:rsidP="009C75A3">
      <w:pPr>
        <w:ind w:left="720"/>
      </w:pPr>
      <w:r w:rsidRPr="00155DA4">
        <w:rPr>
          <w:b/>
        </w:rPr>
        <w:t>XG</w:t>
      </w:r>
      <w:r w:rsidR="009C75A3" w:rsidRPr="00155DA4">
        <w:t xml:space="preserve"> gav stöd åt KOM</w:t>
      </w:r>
      <w:r w:rsidR="005F7CE3" w:rsidRPr="00155DA4">
        <w:t>:s</w:t>
      </w:r>
      <w:r w:rsidR="009C75A3" w:rsidRPr="00155DA4">
        <w:t xml:space="preserve"> meddelande </w:t>
      </w:r>
      <w:r w:rsidR="005F7CE3" w:rsidRPr="00155DA4">
        <w:t xml:space="preserve">av </w:t>
      </w:r>
      <w:r w:rsidR="009C75A3" w:rsidRPr="00155DA4">
        <w:t xml:space="preserve">den 3 juni men betonade att medfinansieringsfrågan i ESF krävde fortsatt diskussion. Viktigt vad gäller ESF att KOM tittar på de administrativa hindren menade </w:t>
      </w:r>
      <w:r w:rsidRPr="00155DA4">
        <w:rPr>
          <w:b/>
        </w:rPr>
        <w:t>XG</w:t>
      </w:r>
      <w:r w:rsidR="009C75A3" w:rsidRPr="00155DA4">
        <w:t xml:space="preserve">. </w:t>
      </w:r>
      <w:r w:rsidR="005F7CE3" w:rsidRPr="00155DA4">
        <w:t>Även</w:t>
      </w:r>
      <w:r w:rsidR="005F7CE3" w:rsidRPr="00155DA4">
        <w:rPr>
          <w:b/>
        </w:rPr>
        <w:t xml:space="preserve"> </w:t>
      </w:r>
      <w:r w:rsidR="009C75A3" w:rsidRPr="00155DA4">
        <w:t>vikten av att stärka EU:s konkurrenskraft och få in svaga på arbetsmarknaden</w:t>
      </w:r>
      <w:r w:rsidR="005F7CE3" w:rsidRPr="00155DA4">
        <w:t xml:space="preserve"> underströks</w:t>
      </w:r>
      <w:r w:rsidR="009C75A3" w:rsidRPr="00155DA4">
        <w:t xml:space="preserve">. </w:t>
      </w:r>
    </w:p>
    <w:p w:rsidR="009C75A3" w:rsidRPr="00155DA4" w:rsidRDefault="009C75A3" w:rsidP="009C75A3">
      <w:pPr>
        <w:ind w:left="720"/>
      </w:pPr>
    </w:p>
    <w:p w:rsidR="009C75A3" w:rsidRPr="00155DA4" w:rsidRDefault="00C43E6A" w:rsidP="009C75A3">
      <w:pPr>
        <w:ind w:left="720"/>
      </w:pPr>
      <w:r w:rsidRPr="00155DA4">
        <w:rPr>
          <w:b/>
        </w:rPr>
        <w:t>XH</w:t>
      </w:r>
      <w:r w:rsidR="009C75A3" w:rsidRPr="00155DA4">
        <w:t xml:space="preserve"> menade att arbetstidsförkortningssystem som genomförts i många MS var bra om de kombinerades med kompetenshöjande insatser. </w:t>
      </w:r>
      <w:r w:rsidRPr="00155DA4">
        <w:rPr>
          <w:b/>
        </w:rPr>
        <w:t>XH</w:t>
      </w:r>
      <w:r w:rsidR="009C75A3" w:rsidRPr="00155DA4">
        <w:t xml:space="preserve"> informerade bl.a. om en nyligen införd yrkesutbildningsgaranti för unga (15-18 år). </w:t>
      </w:r>
      <w:r w:rsidRPr="00155DA4">
        <w:rPr>
          <w:b/>
        </w:rPr>
        <w:t>XH</w:t>
      </w:r>
      <w:r w:rsidR="009C75A3" w:rsidRPr="00155DA4">
        <w:t xml:space="preserve"> efterfrågade en flerårig treparts pakt för sysselsättning på EU nivå som kunde användas för att hantera ekonomiska nedgång och främja social trygghet. </w:t>
      </w:r>
      <w:r w:rsidRPr="00155DA4">
        <w:rPr>
          <w:b/>
        </w:rPr>
        <w:t>XH</w:t>
      </w:r>
      <w:r w:rsidR="009C75A3" w:rsidRPr="00155DA4">
        <w:t xml:space="preserve"> önskade också en starkare betoning på sociala delen av flexicurity. </w:t>
      </w:r>
    </w:p>
    <w:p w:rsidR="009C75A3" w:rsidRPr="00155DA4" w:rsidRDefault="009C75A3" w:rsidP="009C75A3">
      <w:pPr>
        <w:ind w:left="720"/>
      </w:pPr>
    </w:p>
    <w:p w:rsidR="009C75A3" w:rsidRPr="00155DA4" w:rsidRDefault="00C43E6A" w:rsidP="009C75A3">
      <w:pPr>
        <w:ind w:left="720"/>
      </w:pPr>
      <w:r w:rsidRPr="00155DA4">
        <w:rPr>
          <w:b/>
        </w:rPr>
        <w:t>XI</w:t>
      </w:r>
      <w:r w:rsidR="009C75A3" w:rsidRPr="00155DA4">
        <w:t xml:space="preserve"> informerade om nationella vidtagna åtgärder och betonade hur viktigt det var med Europeiska gemenskapsfonder i hanteringen av krisen. </w:t>
      </w:r>
    </w:p>
    <w:p w:rsidR="009C75A3" w:rsidRPr="00155DA4" w:rsidRDefault="009C75A3" w:rsidP="009C75A3">
      <w:pPr>
        <w:ind w:left="720"/>
      </w:pPr>
    </w:p>
    <w:p w:rsidR="009C75A3" w:rsidRPr="00155DA4" w:rsidRDefault="00C43E6A" w:rsidP="009C75A3">
      <w:pPr>
        <w:ind w:left="720"/>
      </w:pPr>
      <w:r w:rsidRPr="00155DA4">
        <w:rPr>
          <w:b/>
        </w:rPr>
        <w:t>XJ</w:t>
      </w:r>
      <w:r w:rsidR="009C75A3" w:rsidRPr="00155DA4">
        <w:t xml:space="preserve"> välkomnade KOM meddelande per den 3 juni och såg positivt på förslaget om ESF. </w:t>
      </w:r>
      <w:r w:rsidRPr="00155DA4">
        <w:rPr>
          <w:b/>
        </w:rPr>
        <w:t>XJ</w:t>
      </w:r>
      <w:r w:rsidR="009C75A3" w:rsidRPr="00155DA4">
        <w:t xml:space="preserve"> tyckte också att hur viktigt det var med utbyte av erfarenheter och goda exempel. </w:t>
      </w:r>
    </w:p>
    <w:p w:rsidR="009C75A3" w:rsidRPr="00155DA4" w:rsidRDefault="009C75A3" w:rsidP="009C75A3">
      <w:pPr>
        <w:ind w:left="720"/>
      </w:pPr>
    </w:p>
    <w:p w:rsidR="009C75A3" w:rsidRPr="00155DA4" w:rsidRDefault="009C75A3" w:rsidP="009C75A3">
      <w:pPr>
        <w:ind w:left="720"/>
      </w:pPr>
      <w:r w:rsidRPr="00155DA4">
        <w:rPr>
          <w:b/>
        </w:rPr>
        <w:t>KOM</w:t>
      </w:r>
      <w:r w:rsidRPr="00155DA4">
        <w:t xml:space="preserve"> reagerade på MS inlägg med att betona hur viktigt det var att nu rusta individer under krisen så att alla får möjlighet att ta del av den ekonomiska återhämtningen när den väl kommer. Vad gäller ESF, betonade </w:t>
      </w:r>
      <w:r w:rsidRPr="00155DA4">
        <w:rPr>
          <w:b/>
        </w:rPr>
        <w:t>KOM</w:t>
      </w:r>
      <w:r w:rsidRPr="00155DA4">
        <w:t xml:space="preserve"> att det var just de MS som drabbats värst av krisen som också hade bäst erfarenhet av ESF och att förslag till ändringar i ESF är viktigt för att ge dem ytterligare stöd. </w:t>
      </w:r>
      <w:r w:rsidRPr="00155DA4">
        <w:rPr>
          <w:b/>
        </w:rPr>
        <w:t>KOM</w:t>
      </w:r>
      <w:r w:rsidRPr="00155DA4">
        <w:t xml:space="preserve"> ansåg att en teknisk diskussion om ESF förslaget i meddelandet per den 3 juni kunde behövas, men att det överlag fanns en samstämmighet bland MS om inriktningen på kommissionens förslag. </w:t>
      </w:r>
      <w:r w:rsidRPr="00155DA4">
        <w:rPr>
          <w:b/>
        </w:rPr>
        <w:t xml:space="preserve">KOM </w:t>
      </w:r>
      <w:r w:rsidRPr="00155DA4">
        <w:t xml:space="preserve">tyckte också det var positivt att så många MS uppfattat meddelandet om ett ”Gemensamt åtagande för sysselsättning” som balanserat. </w:t>
      </w:r>
      <w:r w:rsidRPr="00155DA4">
        <w:rPr>
          <w:b/>
        </w:rPr>
        <w:t xml:space="preserve">KOM </w:t>
      </w:r>
      <w:r w:rsidRPr="00155DA4">
        <w:t xml:space="preserve">betonade också utmaningen om framtida brist på kvalificerad arbetskraft. </w:t>
      </w:r>
    </w:p>
    <w:p w:rsidR="009C75A3" w:rsidRPr="00155DA4" w:rsidRDefault="009C75A3" w:rsidP="009C75A3">
      <w:pPr>
        <w:ind w:left="720"/>
      </w:pPr>
    </w:p>
    <w:p w:rsidR="009C75A3" w:rsidRPr="00155DA4" w:rsidRDefault="009C75A3" w:rsidP="009C75A3">
      <w:pPr>
        <w:ind w:left="720"/>
      </w:pPr>
      <w:r w:rsidRPr="00155DA4">
        <w:rPr>
          <w:b/>
        </w:rPr>
        <w:t>ORDF</w:t>
      </w:r>
      <w:r w:rsidRPr="00155DA4">
        <w:t xml:space="preserve"> sammanfattade diskussionen med att notera att krisen påverkat samtliga MS om än i varierande grad och att MS vidtagit snabba åtgärder som svar på krisen. </w:t>
      </w:r>
      <w:r w:rsidRPr="00155DA4">
        <w:rPr>
          <w:b/>
        </w:rPr>
        <w:t>ORDF</w:t>
      </w:r>
      <w:r w:rsidRPr="00155DA4">
        <w:t xml:space="preserve"> betonade hur viktigt det vara att förena kort- och långsiktigt tänkande i hanteringen av krisen. Att behovet av ökad rörlighet flexicurity präglat diskussionen välkomnades av </w:t>
      </w:r>
      <w:r w:rsidRPr="00155DA4">
        <w:rPr>
          <w:b/>
        </w:rPr>
        <w:t>ORDF</w:t>
      </w:r>
      <w:r w:rsidRPr="00155DA4">
        <w:t xml:space="preserve">. Vad gäller gemenskapsfonder noterade </w:t>
      </w:r>
      <w:r w:rsidRPr="00155DA4">
        <w:rPr>
          <w:b/>
        </w:rPr>
        <w:t>ORDF</w:t>
      </w:r>
      <w:r w:rsidRPr="00155DA4">
        <w:t xml:space="preserve"> att dessa måste användas effektivt. </w:t>
      </w:r>
    </w:p>
    <w:p w:rsidR="009C75A3" w:rsidRPr="00155DA4" w:rsidRDefault="009C75A3" w:rsidP="009C75A3">
      <w:pPr>
        <w:ind w:left="720"/>
      </w:pPr>
    </w:p>
    <w:p w:rsidR="009C75A3" w:rsidRPr="00155DA4" w:rsidRDefault="005F7CE3" w:rsidP="009C75A3">
      <w:pPr>
        <w:ind w:left="720"/>
      </w:pPr>
      <w:r w:rsidRPr="00155DA4">
        <w:t>U</w:t>
      </w:r>
      <w:r w:rsidR="00485858" w:rsidRPr="00155DA4">
        <w:t>tkast</w:t>
      </w:r>
      <w:r w:rsidRPr="00155DA4">
        <w:t>e</w:t>
      </w:r>
      <w:r w:rsidR="00056372" w:rsidRPr="00155DA4">
        <w:t>n</w:t>
      </w:r>
      <w:r w:rsidR="00485858" w:rsidRPr="00155DA4">
        <w:t xml:space="preserve"> till </w:t>
      </w:r>
      <w:r w:rsidR="009C75A3" w:rsidRPr="00155DA4">
        <w:t xml:space="preserve">rådslutsatser </w:t>
      </w:r>
      <w:r w:rsidRPr="00155DA4">
        <w:t>om Flexi</w:t>
      </w:r>
      <w:r w:rsidR="00056372" w:rsidRPr="00155DA4">
        <w:t xml:space="preserve">curity och sociala tjänster </w:t>
      </w:r>
      <w:r w:rsidR="009C75A3" w:rsidRPr="00155DA4">
        <w:t xml:space="preserve">antogs. </w:t>
      </w:r>
    </w:p>
    <w:p w:rsidR="009C75A3" w:rsidRPr="00155DA4" w:rsidRDefault="009C75A3" w:rsidP="009C75A3"/>
    <w:p w:rsidR="009C75A3" w:rsidRPr="00155DA4" w:rsidRDefault="009C75A3" w:rsidP="009C75A3">
      <w:pPr>
        <w:rPr>
          <w:b/>
        </w:rPr>
      </w:pPr>
      <w:r w:rsidRPr="00155DA4">
        <w:rPr>
          <w:b/>
        </w:rPr>
        <w:t xml:space="preserve">4.         Förslag till rådets beslut om riktlinjer för medlemsstaternas </w:t>
      </w:r>
      <w:r w:rsidRPr="00155DA4">
        <w:rPr>
          <w:b/>
        </w:rPr>
        <w:tab/>
        <w:t xml:space="preserve">sysselsättningspolitik </w:t>
      </w:r>
    </w:p>
    <w:p w:rsidR="009C75A3" w:rsidRPr="00155DA4" w:rsidRDefault="009C75A3" w:rsidP="009C75A3"/>
    <w:p w:rsidR="009C75A3" w:rsidRPr="00155DA4" w:rsidRDefault="009C75A3" w:rsidP="009C75A3">
      <w:pPr>
        <w:ind w:left="709"/>
      </w:pPr>
      <w:r w:rsidRPr="00155DA4">
        <w:t xml:space="preserve">En politisk överenskommelse antogs utan debatt. </w:t>
      </w:r>
    </w:p>
    <w:p w:rsidR="009C75A3" w:rsidRPr="00155DA4" w:rsidRDefault="009C75A3" w:rsidP="009C75A3">
      <w:pPr>
        <w:ind w:left="567" w:hanging="567"/>
      </w:pPr>
    </w:p>
    <w:p w:rsidR="009C75A3" w:rsidRPr="00155DA4" w:rsidRDefault="009C75A3" w:rsidP="009C75A3">
      <w:pPr>
        <w:ind w:left="567" w:hanging="567"/>
        <w:rPr>
          <w:b/>
        </w:rPr>
      </w:pPr>
      <w:r w:rsidRPr="00155DA4">
        <w:rPr>
          <w:b/>
        </w:rPr>
        <w:t>5.</w:t>
      </w:r>
      <w:r w:rsidRPr="00155DA4">
        <w:rPr>
          <w:b/>
        </w:rPr>
        <w:tab/>
        <w:t xml:space="preserve">Förslag till rådets förordning om utvidgning av bestämmelserna i förordning (EG) nr 883/2004 och förordning (EG) nr [...] till att gälla de tredjelandsmedborgare som enbart på grund av sitt medborgarskap inte omfattas av dessa bestämmelser </w:t>
      </w:r>
    </w:p>
    <w:p w:rsidR="009C75A3" w:rsidRPr="00155DA4" w:rsidRDefault="009C75A3" w:rsidP="009C75A3"/>
    <w:p w:rsidR="009C75A3" w:rsidRPr="00155DA4" w:rsidRDefault="004713E6" w:rsidP="00A43861">
      <w:pPr>
        <w:ind w:left="709"/>
      </w:pPr>
      <w:r w:rsidRPr="00155DA4">
        <w:rPr>
          <w:b/>
        </w:rPr>
        <w:t>YA</w:t>
      </w:r>
      <w:r w:rsidR="00A43861" w:rsidRPr="00155DA4">
        <w:t xml:space="preserve"> avvisade det  kompromissförslag som hade cirkulerat under fredagen, eftersom det fortsatt innebar en tidsbegränsning i den bilaga som medger att</w:t>
      </w:r>
      <w:r w:rsidRPr="00155DA4">
        <w:t xml:space="preserve"> YA</w:t>
      </w:r>
      <w:r w:rsidR="00A43861" w:rsidRPr="00155DA4">
        <w:t xml:space="preserve"> och </w:t>
      </w:r>
      <w:r w:rsidRPr="00155DA4">
        <w:rPr>
          <w:b/>
        </w:rPr>
        <w:t>YB</w:t>
      </w:r>
      <w:r w:rsidR="00A43861" w:rsidRPr="00155DA4">
        <w:t xml:space="preserve"> kan undanta vissa tredjelandsmedborgare från familjeförmåner. </w:t>
      </w:r>
      <w:r w:rsidRPr="00155DA4">
        <w:rPr>
          <w:b/>
        </w:rPr>
        <w:t>YB</w:t>
      </w:r>
      <w:r w:rsidR="00A43861" w:rsidRPr="00155DA4">
        <w:t xml:space="preserve"> kunde stödja ORDF:s kompromiss, medan </w:t>
      </w:r>
      <w:r w:rsidRPr="00155DA4">
        <w:rPr>
          <w:b/>
        </w:rPr>
        <w:t>YC</w:t>
      </w:r>
      <w:r w:rsidR="00A43861" w:rsidRPr="00155DA4">
        <w:t xml:space="preserve"> och </w:t>
      </w:r>
      <w:r w:rsidRPr="00155DA4">
        <w:rPr>
          <w:b/>
        </w:rPr>
        <w:t>YD</w:t>
      </w:r>
      <w:r w:rsidR="00A43861" w:rsidRPr="00155DA4">
        <w:t xml:space="preserve"> annonserade att om en bilaga med möjlighet finns, vill också de ha en anteckning i den. ORDF presenterade därför ett nytt kompromissförslag, som innebar att en uppmjukning i fråga om tidsbegränsningen (översyn av bilagan inom två år på basis av en rapport från AK), men utan att öppna den för fler än </w:t>
      </w:r>
      <w:r w:rsidRPr="00155DA4">
        <w:rPr>
          <w:b/>
        </w:rPr>
        <w:t>YA</w:t>
      </w:r>
      <w:r w:rsidR="00A43861" w:rsidRPr="00155DA4">
        <w:t xml:space="preserve"> och </w:t>
      </w:r>
      <w:r w:rsidRPr="00155DA4">
        <w:rPr>
          <w:b/>
        </w:rPr>
        <w:t>YB</w:t>
      </w:r>
      <w:r w:rsidR="00A43861" w:rsidRPr="00155DA4">
        <w:t xml:space="preserve">.  MS föreföll kunna acceptera förslaget </w:t>
      </w:r>
      <w:r w:rsidR="0017150D" w:rsidRPr="00155DA4">
        <w:t xml:space="preserve">i den del som rörde </w:t>
      </w:r>
      <w:r w:rsidR="00A43861" w:rsidRPr="00155DA4">
        <w:t>tidsbegränsningen</w:t>
      </w:r>
      <w:r w:rsidR="0017150D" w:rsidRPr="00155DA4">
        <w:t xml:space="preserve"> – </w:t>
      </w:r>
      <w:r w:rsidRPr="00155DA4">
        <w:rPr>
          <w:b/>
        </w:rPr>
        <w:t>YA</w:t>
      </w:r>
      <w:r w:rsidR="0017150D" w:rsidRPr="00155DA4">
        <w:t xml:space="preserve"> dock motvilligt -</w:t>
      </w:r>
      <w:r w:rsidR="00A43861" w:rsidRPr="00155DA4">
        <w:t>, me</w:t>
      </w:r>
      <w:r w:rsidR="0017150D" w:rsidRPr="00155DA4">
        <w:t xml:space="preserve">dan </w:t>
      </w:r>
      <w:r w:rsidRPr="00155DA4">
        <w:rPr>
          <w:b/>
        </w:rPr>
        <w:t>YC</w:t>
      </w:r>
      <w:r w:rsidR="0017150D" w:rsidRPr="00155DA4">
        <w:t xml:space="preserve">, </w:t>
      </w:r>
      <w:r w:rsidRPr="00155DA4">
        <w:rPr>
          <w:b/>
        </w:rPr>
        <w:t>YD</w:t>
      </w:r>
      <w:r w:rsidR="0017150D" w:rsidRPr="00155DA4">
        <w:t xml:space="preserve"> </w:t>
      </w:r>
      <w:r w:rsidRPr="00155DA4">
        <w:rPr>
          <w:b/>
        </w:rPr>
        <w:t>YE</w:t>
      </w:r>
      <w:r w:rsidR="0017150D" w:rsidRPr="00155DA4">
        <w:t xml:space="preserve"> </w:t>
      </w:r>
      <w:r w:rsidRPr="00155DA4">
        <w:rPr>
          <w:b/>
        </w:rPr>
        <w:t>YF</w:t>
      </w:r>
      <w:r w:rsidR="0017150D" w:rsidRPr="00155DA4">
        <w:t xml:space="preserve"> inte kunde acceptera att bilagan skulle vara stängd för andra än </w:t>
      </w:r>
      <w:r w:rsidR="0017150D" w:rsidRPr="00155DA4">
        <w:rPr>
          <w:b/>
        </w:rPr>
        <w:t>DE</w:t>
      </w:r>
      <w:r w:rsidR="0017150D" w:rsidRPr="00155DA4">
        <w:t xml:space="preserve"> och </w:t>
      </w:r>
      <w:r w:rsidRPr="00155DA4">
        <w:rPr>
          <w:b/>
        </w:rPr>
        <w:t>YB</w:t>
      </w:r>
      <w:r w:rsidR="0017150D" w:rsidRPr="00155DA4">
        <w:t xml:space="preserve">. </w:t>
      </w:r>
      <w:r w:rsidRPr="00155DA4">
        <w:rPr>
          <w:b/>
        </w:rPr>
        <w:t>YG</w:t>
      </w:r>
      <w:r w:rsidR="0017150D" w:rsidRPr="00155DA4">
        <w:t xml:space="preserve">, </w:t>
      </w:r>
      <w:r w:rsidRPr="00155DA4">
        <w:rPr>
          <w:b/>
        </w:rPr>
        <w:t>YH</w:t>
      </w:r>
      <w:r w:rsidR="0017150D" w:rsidRPr="00155DA4">
        <w:t xml:space="preserve">, </w:t>
      </w:r>
      <w:r w:rsidRPr="00155DA4">
        <w:rPr>
          <w:b/>
        </w:rPr>
        <w:t>YI</w:t>
      </w:r>
      <w:r w:rsidR="0017150D" w:rsidRPr="00155DA4">
        <w:t xml:space="preserve"> och </w:t>
      </w:r>
      <w:r w:rsidRPr="00155DA4">
        <w:rPr>
          <w:b/>
        </w:rPr>
        <w:t>YJ</w:t>
      </w:r>
      <w:r w:rsidR="0017150D" w:rsidRPr="00155DA4">
        <w:t xml:space="preserve">, som kunde acceptera en särlösning för </w:t>
      </w:r>
      <w:r w:rsidRPr="00155DA4">
        <w:rPr>
          <w:b/>
        </w:rPr>
        <w:t>YA</w:t>
      </w:r>
      <w:r w:rsidR="0017150D" w:rsidRPr="00155DA4">
        <w:t xml:space="preserve"> och </w:t>
      </w:r>
      <w:r w:rsidRPr="00155DA4">
        <w:rPr>
          <w:b/>
        </w:rPr>
        <w:t>YB</w:t>
      </w:r>
      <w:r w:rsidR="0017150D" w:rsidRPr="00155DA4">
        <w:t xml:space="preserve"> kunde däremot inte acceptera en öppen bilaga, som skulle innebära ett steg tillbaka i förhållande till nuvarande regler. KOM underströk att tiden inte var mogen för beslut, samt att man inte kunde acceptera </w:t>
      </w:r>
      <w:r w:rsidR="00485858" w:rsidRPr="00155DA4">
        <w:t xml:space="preserve">en </w:t>
      </w:r>
      <w:r w:rsidR="0017150D" w:rsidRPr="00155DA4">
        <w:t>möjlighet till allmänt undantag. ORDF konsta</w:t>
      </w:r>
      <w:r w:rsidR="00485858" w:rsidRPr="00155DA4">
        <w:t>t</w:t>
      </w:r>
      <w:r w:rsidR="0017150D" w:rsidRPr="00155DA4">
        <w:t xml:space="preserve">erade </w:t>
      </w:r>
      <w:r w:rsidR="00485858" w:rsidRPr="00155DA4">
        <w:t xml:space="preserve">avslutningsvis </w:t>
      </w:r>
      <w:r w:rsidR="0017150D" w:rsidRPr="00155DA4">
        <w:t xml:space="preserve">att </w:t>
      </w:r>
      <w:r w:rsidR="00485858" w:rsidRPr="00155DA4">
        <w:t xml:space="preserve">man inte lyckats uppnå en politisk kompromiss, samt uttryckte en förhoppning om att frågan skulle få en lösning skulle kunna ske under </w:t>
      </w:r>
      <w:r w:rsidR="00056372" w:rsidRPr="00155DA4">
        <w:rPr>
          <w:b/>
        </w:rPr>
        <w:t>SE:s</w:t>
      </w:r>
      <w:r w:rsidR="00485858" w:rsidRPr="00155DA4">
        <w:t xml:space="preserve"> ordförandeskapet.  </w:t>
      </w:r>
    </w:p>
    <w:p w:rsidR="00A43861" w:rsidRPr="00155DA4" w:rsidRDefault="00A43861" w:rsidP="00A43861">
      <w:pPr>
        <w:ind w:left="709"/>
      </w:pPr>
    </w:p>
    <w:p w:rsidR="009C75A3" w:rsidRPr="00155DA4" w:rsidRDefault="009C75A3" w:rsidP="009C75A3">
      <w:pPr>
        <w:ind w:left="567" w:hanging="567"/>
        <w:rPr>
          <w:b/>
        </w:rPr>
      </w:pPr>
      <w:r w:rsidRPr="00155DA4">
        <w:rPr>
          <w:b/>
        </w:rPr>
        <w:t>6.</w:t>
      </w:r>
      <w:r w:rsidRPr="00155DA4">
        <w:rPr>
          <w:b/>
        </w:rPr>
        <w:tab/>
        <w:t>Förslag till Europaparlamentets och rådets direktiv om ändring av rådets direktiv 92/85/EEG om åtgärder för att förbättra säkerhet och hälsa på arbetsplatsen för arbetstagare som är gravida, nyligen har fött barn eller ammar (R)</w:t>
      </w:r>
    </w:p>
    <w:p w:rsidR="009C75A3" w:rsidRPr="00155DA4" w:rsidRDefault="009C75A3" w:rsidP="009C75A3">
      <w:pPr>
        <w:rPr>
          <w:b/>
        </w:rPr>
      </w:pPr>
    </w:p>
    <w:p w:rsidR="009C75A3" w:rsidRPr="00155DA4" w:rsidRDefault="009C75A3" w:rsidP="0004591E">
      <w:pPr>
        <w:ind w:left="709"/>
      </w:pPr>
      <w:r w:rsidRPr="00155DA4">
        <w:tab/>
        <w:t>ORDF:s lägesrapport noterades utan debatt</w:t>
      </w:r>
      <w:r w:rsidR="00485858" w:rsidRPr="00155DA4">
        <w:t>.</w:t>
      </w:r>
    </w:p>
    <w:p w:rsidR="009C75A3" w:rsidRPr="00155DA4" w:rsidRDefault="009C75A3" w:rsidP="009C75A3"/>
    <w:p w:rsidR="009C75A3" w:rsidRPr="00155DA4" w:rsidRDefault="009C75A3" w:rsidP="009C75A3">
      <w:pPr>
        <w:ind w:left="567" w:hanging="567"/>
        <w:rPr>
          <w:b/>
        </w:rPr>
      </w:pPr>
      <w:r w:rsidRPr="00155DA4">
        <w:rPr>
          <w:b/>
        </w:rPr>
        <w:t>7.</w:t>
      </w:r>
      <w:r w:rsidRPr="00155DA4">
        <w:rPr>
          <w:b/>
        </w:rPr>
        <w:tab/>
        <w:t>Förslag till rådets direktiv om genomförande av principen om likabehandling av personer oavsett religion eller övertygelse, funktionshinder, ålder eller sexuell läggning (R)</w:t>
      </w:r>
    </w:p>
    <w:p w:rsidR="0004591E" w:rsidRPr="00155DA4" w:rsidRDefault="009C75A3" w:rsidP="009C75A3">
      <w:r w:rsidRPr="00155DA4">
        <w:t xml:space="preserve">             </w:t>
      </w:r>
    </w:p>
    <w:p w:rsidR="009C75A3" w:rsidRPr="00155DA4" w:rsidRDefault="0004591E" w:rsidP="0004591E">
      <w:pPr>
        <w:ind w:left="709"/>
      </w:pPr>
      <w:r w:rsidRPr="00155DA4">
        <w:tab/>
      </w:r>
      <w:r w:rsidR="009C75A3" w:rsidRPr="00155DA4">
        <w:t xml:space="preserve"> ORDF:s lägesrapport noterades utan debatt</w:t>
      </w:r>
      <w:r w:rsidR="00485858" w:rsidRPr="00155DA4">
        <w:t>.</w:t>
      </w:r>
    </w:p>
    <w:p w:rsidR="009C75A3" w:rsidRPr="00155DA4" w:rsidRDefault="009C75A3" w:rsidP="009C75A3"/>
    <w:p w:rsidR="009C75A3" w:rsidRPr="00155DA4" w:rsidRDefault="009C75A3" w:rsidP="009C75A3"/>
    <w:p w:rsidR="009C75A3" w:rsidRPr="00155DA4" w:rsidRDefault="009C75A3" w:rsidP="009C75A3">
      <w:pPr>
        <w:rPr>
          <w:b/>
          <w:bCs/>
        </w:rPr>
      </w:pPr>
      <w:r w:rsidRPr="00155DA4">
        <w:rPr>
          <w:b/>
        </w:rPr>
        <w:t>8.         Lika möjligheter för kvinnor och män: aktivt och värdigt åldrande</w:t>
      </w:r>
    </w:p>
    <w:p w:rsidR="0004591E" w:rsidRPr="00155DA4" w:rsidRDefault="009C75A3" w:rsidP="009C75A3">
      <w:r w:rsidRPr="00155DA4">
        <w:t xml:space="preserve">              </w:t>
      </w:r>
    </w:p>
    <w:p w:rsidR="009C75A3" w:rsidRPr="00155DA4" w:rsidRDefault="0004591E" w:rsidP="0004591E">
      <w:pPr>
        <w:ind w:left="709"/>
      </w:pPr>
      <w:r w:rsidRPr="00155DA4">
        <w:tab/>
        <w:t>Slutsatserna antogs</w:t>
      </w:r>
      <w:r w:rsidR="009C75A3" w:rsidRPr="00155DA4">
        <w:t xml:space="preserve"> utan debatt</w:t>
      </w:r>
      <w:r w:rsidR="00485858" w:rsidRPr="00155DA4">
        <w:t>.</w:t>
      </w:r>
    </w:p>
    <w:p w:rsidR="009C75A3" w:rsidRPr="00155DA4" w:rsidRDefault="009C75A3" w:rsidP="009C75A3">
      <w:pPr>
        <w:rPr>
          <w:bCs/>
        </w:rPr>
      </w:pPr>
    </w:p>
    <w:p w:rsidR="009C75A3" w:rsidRPr="00155DA4" w:rsidRDefault="009C75A3" w:rsidP="009C75A3">
      <w:pPr>
        <w:rPr>
          <w:bCs/>
        </w:rPr>
      </w:pPr>
    </w:p>
    <w:p w:rsidR="009C75A3" w:rsidRPr="00155DA4" w:rsidRDefault="009C75A3" w:rsidP="009C75A3">
      <w:pPr>
        <w:rPr>
          <w:b/>
          <w:color w:val="000000"/>
        </w:rPr>
      </w:pPr>
      <w:r w:rsidRPr="00155DA4">
        <w:rPr>
          <w:b/>
          <w:bCs/>
        </w:rPr>
        <w:t>9.</w:t>
      </w:r>
      <w:r w:rsidR="0004591E" w:rsidRPr="00155DA4">
        <w:rPr>
          <w:b/>
          <w:bCs/>
        </w:rPr>
        <w:t xml:space="preserve">        </w:t>
      </w:r>
      <w:r w:rsidRPr="00155DA4">
        <w:rPr>
          <w:b/>
          <w:color w:val="000000"/>
        </w:rPr>
        <w:t>Romers integrering</w:t>
      </w:r>
    </w:p>
    <w:p w:rsidR="0004591E" w:rsidRPr="00155DA4" w:rsidRDefault="0004591E" w:rsidP="0004591E">
      <w:r w:rsidRPr="00155DA4">
        <w:t xml:space="preserve">              </w:t>
      </w:r>
    </w:p>
    <w:p w:rsidR="0004591E" w:rsidRPr="00155DA4" w:rsidRDefault="0004591E" w:rsidP="0004591E">
      <w:pPr>
        <w:ind w:left="709"/>
      </w:pPr>
      <w:r w:rsidRPr="00155DA4">
        <w:tab/>
        <w:t>Slutsatserna antogs utan debatt</w:t>
      </w:r>
      <w:r w:rsidR="00485858" w:rsidRPr="00155DA4">
        <w:t>.</w:t>
      </w:r>
    </w:p>
    <w:p w:rsidR="009C75A3" w:rsidRPr="00155DA4" w:rsidRDefault="009C75A3" w:rsidP="009C75A3">
      <w:pPr>
        <w:rPr>
          <w:color w:val="000000"/>
        </w:rPr>
      </w:pPr>
    </w:p>
    <w:p w:rsidR="009C75A3" w:rsidRPr="00155DA4" w:rsidRDefault="009C75A3" w:rsidP="009C75A3">
      <w:pPr>
        <w:ind w:left="567" w:hanging="567"/>
        <w:rPr>
          <w:b/>
        </w:rPr>
      </w:pPr>
      <w:r w:rsidRPr="00155DA4">
        <w:rPr>
          <w:b/>
          <w:color w:val="000000"/>
        </w:rPr>
        <w:t>10.</w:t>
      </w:r>
      <w:r w:rsidRPr="00155DA4">
        <w:rPr>
          <w:b/>
          <w:color w:val="000000"/>
        </w:rPr>
        <w:tab/>
      </w:r>
      <w:r w:rsidRPr="00155DA4">
        <w:rPr>
          <w:b/>
        </w:rPr>
        <w:t>Förslag till Europaparlamentets och rådets direktiv om tillämpning av principen om likabehandling av kvinnor och män som är egenföretagare och om upphävande av direktiv 86/613/EEG (R)</w:t>
      </w:r>
    </w:p>
    <w:p w:rsidR="0004591E" w:rsidRPr="00155DA4" w:rsidRDefault="0004591E" w:rsidP="009C75A3">
      <w:pPr>
        <w:ind w:left="567"/>
      </w:pPr>
      <w:r w:rsidRPr="00155DA4">
        <w:t xml:space="preserve"> </w:t>
      </w:r>
      <w:r w:rsidR="009C75A3" w:rsidRPr="00155DA4">
        <w:tab/>
      </w:r>
    </w:p>
    <w:p w:rsidR="009C75A3" w:rsidRPr="00155DA4" w:rsidRDefault="009C75A3" w:rsidP="009C75A3">
      <w:pPr>
        <w:ind w:left="567"/>
        <w:rPr>
          <w:color w:val="000000"/>
        </w:rPr>
      </w:pPr>
      <w:r w:rsidRPr="00155DA4">
        <w:t>Lägesrapport</w:t>
      </w:r>
      <w:r w:rsidR="005F7CE3" w:rsidRPr="00155DA4">
        <w:t xml:space="preserve">en noterades. </w:t>
      </w:r>
      <w:r w:rsidR="00056372" w:rsidRPr="00155DA4">
        <w:rPr>
          <w:b/>
        </w:rPr>
        <w:t>NL</w:t>
      </w:r>
      <w:r w:rsidR="005F7CE3" w:rsidRPr="00155DA4">
        <w:t xml:space="preserve"> underströk att oklarheter gällande den rättsliga grunden måste lösas.</w:t>
      </w:r>
    </w:p>
    <w:bookmarkEnd w:id="2"/>
    <w:p w:rsidR="00132618" w:rsidRPr="00155DA4" w:rsidRDefault="00132618" w:rsidP="002506A0">
      <w:pPr>
        <w:rPr>
          <w:sz w:val="24"/>
          <w:szCs w:val="24"/>
        </w:rPr>
      </w:pPr>
    </w:p>
    <w:p w:rsidR="00132618" w:rsidRPr="00155DA4" w:rsidRDefault="00132618" w:rsidP="002506A0">
      <w:pPr>
        <w:rPr>
          <w:sz w:val="24"/>
          <w:szCs w:val="24"/>
        </w:rPr>
      </w:pPr>
    </w:p>
    <w:p w:rsidR="00132618" w:rsidRPr="00155DA4" w:rsidRDefault="0004591E" w:rsidP="00132618">
      <w:pPr>
        <w:pStyle w:val="Brdtext"/>
        <w:spacing w:line="360" w:lineRule="auto"/>
        <w:rPr>
          <w:rFonts w:ascii="Garamond" w:hAnsi="Garamond"/>
        </w:rPr>
      </w:pPr>
      <w:r w:rsidRPr="00155DA4">
        <w:rPr>
          <w:rFonts w:ascii="Garamond" w:hAnsi="Garamond"/>
        </w:rPr>
        <w:t>DANIELSSON/</w:t>
      </w:r>
      <w:r w:rsidR="00132618" w:rsidRPr="00155DA4">
        <w:rPr>
          <w:rFonts w:ascii="Garamond" w:hAnsi="Garamond"/>
        </w:rPr>
        <w:t xml:space="preserve">REPRESENTATIONEN   </w:t>
      </w:r>
    </w:p>
    <w:p w:rsidR="00132618" w:rsidRPr="00155DA4" w:rsidRDefault="00132618" w:rsidP="00132618"/>
    <w:sectPr w:rsidR="00132618" w:rsidRPr="00155DA4">
      <w:headerReference w:type="default" r:id="rId13"/>
      <w:footerReference w:type="default" r:id="rId14"/>
      <w:footerReference w:type="first" r:id="rId15"/>
      <w:pgSz w:w="11907" w:h="16840" w:code="9"/>
      <w:pgMar w:top="2529" w:right="1797" w:bottom="1418" w:left="2835" w:header="851"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0CC3" w:rsidRPr="00155DA4" w:rsidRDefault="00DC0CC3">
      <w:r w:rsidRPr="00155DA4">
        <w:separator/>
      </w:r>
    </w:p>
  </w:endnote>
  <w:endnote w:type="continuationSeparator" w:id="0">
    <w:p w:rsidR="00DC0CC3" w:rsidRPr="00155DA4" w:rsidRDefault="00DC0CC3">
      <w:r w:rsidRPr="00155D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Bold">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A3" w:rsidRPr="00155DA4" w:rsidRDefault="009C75A3">
    <w:pPr>
      <w:pStyle w:val="Sidfot"/>
      <w:spacing w:line="160" w:lineRule="exact"/>
      <w:rPr>
        <w:rFonts w:ascii="TradeGothic" w:hAnsi="TradeGothic"/>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1928"/>
      <w:gridCol w:w="3572"/>
    </w:tblGrid>
    <w:tr w:rsidR="009C75A3" w:rsidRPr="00155DA4">
      <w:tblPrEx>
        <w:tblCellMar>
          <w:top w:w="0" w:type="dxa"/>
          <w:left w:w="0" w:type="dxa"/>
          <w:bottom w:w="0" w:type="dxa"/>
          <w:right w:w="0" w:type="dxa"/>
        </w:tblCellMar>
      </w:tblPrEx>
      <w:tc>
        <w:tcPr>
          <w:tcW w:w="1871" w:type="dxa"/>
          <w:tcBorders>
            <w:top w:val="nil"/>
            <w:left w:val="nil"/>
            <w:bottom w:val="nil"/>
            <w:right w:val="nil"/>
          </w:tcBorders>
        </w:tcPr>
        <w:p w:rsidR="009C75A3" w:rsidRPr="00155DA4" w:rsidRDefault="009C75A3">
          <w:pPr>
            <w:pStyle w:val="Sidfot"/>
            <w:rPr>
              <w:rFonts w:ascii="Arial" w:hAnsi="Arial"/>
              <w:sz w:val="12"/>
            </w:rPr>
          </w:pPr>
        </w:p>
      </w:tc>
      <w:tc>
        <w:tcPr>
          <w:tcW w:w="1928" w:type="dxa"/>
          <w:tcBorders>
            <w:top w:val="nil"/>
            <w:left w:val="nil"/>
            <w:bottom w:val="nil"/>
            <w:right w:val="nil"/>
          </w:tcBorders>
        </w:tcPr>
        <w:p w:rsidR="009C75A3" w:rsidRPr="00155DA4" w:rsidRDefault="009C75A3">
          <w:pPr>
            <w:pStyle w:val="Sidfot"/>
            <w:rPr>
              <w:rFonts w:ascii="TradeGothic" w:hAnsi="TradeGothic"/>
              <w:sz w:val="12"/>
            </w:rPr>
          </w:pPr>
        </w:p>
      </w:tc>
      <w:tc>
        <w:tcPr>
          <w:tcW w:w="3572" w:type="dxa"/>
          <w:tcBorders>
            <w:top w:val="nil"/>
            <w:left w:val="nil"/>
            <w:bottom w:val="nil"/>
            <w:right w:val="nil"/>
          </w:tcBorders>
        </w:tcPr>
        <w:p w:rsidR="009C75A3" w:rsidRPr="00155DA4" w:rsidRDefault="009C75A3">
          <w:pPr>
            <w:pStyle w:val="Sidfot"/>
            <w:rPr>
              <w:rFonts w:ascii="TradeGothic" w:hAnsi="TradeGothic"/>
              <w:sz w:val="12"/>
            </w:rPr>
          </w:pPr>
        </w:p>
      </w:tc>
    </w:tr>
    <w:tr w:rsidR="009C75A3" w:rsidRPr="00155DA4">
      <w:tblPrEx>
        <w:tblCellMar>
          <w:top w:w="0" w:type="dxa"/>
          <w:left w:w="0" w:type="dxa"/>
          <w:bottom w:w="0" w:type="dxa"/>
          <w:right w:w="0" w:type="dxa"/>
        </w:tblCellMar>
      </w:tblPrEx>
      <w:tc>
        <w:tcPr>
          <w:tcW w:w="1871" w:type="dxa"/>
          <w:tcBorders>
            <w:top w:val="single" w:sz="6" w:space="0" w:color="auto"/>
            <w:left w:val="nil"/>
            <w:bottom w:val="nil"/>
            <w:right w:val="nil"/>
          </w:tcBorders>
        </w:tcPr>
        <w:p w:rsidR="009C75A3" w:rsidRPr="00155DA4" w:rsidRDefault="009C75A3">
          <w:pPr>
            <w:pStyle w:val="Sidfot"/>
            <w:spacing w:before="40"/>
            <w:rPr>
              <w:rFonts w:ascii="TradeGothic" w:hAnsi="TradeGothic"/>
              <w:i/>
              <w:sz w:val="12"/>
            </w:rPr>
          </w:pPr>
          <w:r w:rsidRPr="00155DA4">
            <w:rPr>
              <w:rFonts w:ascii="TradeGothic" w:hAnsi="TradeGothic"/>
              <w:i/>
              <w:sz w:val="12"/>
            </w:rPr>
            <w:t>Postadress</w:t>
          </w:r>
        </w:p>
      </w:tc>
      <w:tc>
        <w:tcPr>
          <w:tcW w:w="1928" w:type="dxa"/>
          <w:tcBorders>
            <w:top w:val="single" w:sz="6" w:space="0" w:color="auto"/>
            <w:left w:val="nil"/>
            <w:bottom w:val="nil"/>
            <w:right w:val="nil"/>
          </w:tcBorders>
        </w:tcPr>
        <w:p w:rsidR="009C75A3" w:rsidRPr="00155DA4" w:rsidRDefault="009C75A3">
          <w:pPr>
            <w:pStyle w:val="Sidfot"/>
            <w:spacing w:before="40"/>
            <w:rPr>
              <w:rFonts w:ascii="TradeGothic" w:hAnsi="TradeGothic"/>
              <w:i/>
              <w:sz w:val="12"/>
            </w:rPr>
          </w:pPr>
          <w:r w:rsidRPr="00155DA4">
            <w:rPr>
              <w:rFonts w:ascii="TradeGothic" w:hAnsi="TradeGothic"/>
              <w:i/>
              <w:sz w:val="12"/>
            </w:rPr>
            <w:t>Telefon</w:t>
          </w:r>
        </w:p>
      </w:tc>
      <w:tc>
        <w:tcPr>
          <w:tcW w:w="3572" w:type="dxa"/>
          <w:tcBorders>
            <w:top w:val="single" w:sz="6" w:space="0" w:color="auto"/>
            <w:left w:val="nil"/>
            <w:bottom w:val="nil"/>
            <w:right w:val="nil"/>
          </w:tcBorders>
        </w:tcPr>
        <w:p w:rsidR="009C75A3" w:rsidRPr="00155DA4" w:rsidRDefault="009C75A3">
          <w:pPr>
            <w:pStyle w:val="Sidfot"/>
            <w:spacing w:before="40"/>
            <w:rPr>
              <w:rFonts w:ascii="TradeGothic" w:hAnsi="TradeGothic"/>
              <w:i/>
              <w:sz w:val="12"/>
            </w:rPr>
          </w:pPr>
          <w:r w:rsidRPr="00155DA4">
            <w:rPr>
              <w:rFonts w:ascii="TradeGothic" w:hAnsi="TradeGothic"/>
              <w:i/>
              <w:sz w:val="12"/>
            </w:rPr>
            <w:t>E-post</w:t>
          </w:r>
        </w:p>
      </w:tc>
    </w:tr>
    <w:tr w:rsidR="009C75A3" w:rsidRPr="00155DA4">
      <w:tblPrEx>
        <w:tblCellMar>
          <w:top w:w="0" w:type="dxa"/>
          <w:left w:w="0" w:type="dxa"/>
          <w:bottom w:w="0" w:type="dxa"/>
          <w:right w:w="0" w:type="dxa"/>
        </w:tblCellMar>
      </w:tblPrEx>
      <w:tc>
        <w:tcPr>
          <w:tcW w:w="1871" w:type="dxa"/>
          <w:tcBorders>
            <w:top w:val="nil"/>
            <w:left w:val="nil"/>
            <w:bottom w:val="nil"/>
            <w:right w:val="nil"/>
          </w:tcBorders>
        </w:tcPr>
        <w:p w:rsidR="009C75A3" w:rsidRPr="00155DA4" w:rsidRDefault="009C75A3">
          <w:pPr>
            <w:pStyle w:val="Sidfot"/>
            <w:rPr>
              <w:rFonts w:ascii="TradeGothic" w:hAnsi="TradeGothic"/>
              <w:sz w:val="12"/>
            </w:rPr>
          </w:pPr>
          <w:r w:rsidRPr="00155DA4">
            <w:rPr>
              <w:rFonts w:ascii="TradeGothic" w:hAnsi="TradeGothic"/>
              <w:sz w:val="12"/>
            </w:rPr>
            <w:t>Square de Meeûs 30</w:t>
          </w:r>
        </w:p>
      </w:tc>
      <w:tc>
        <w:tcPr>
          <w:tcW w:w="1928" w:type="dxa"/>
          <w:tcBorders>
            <w:top w:val="nil"/>
            <w:left w:val="nil"/>
            <w:bottom w:val="nil"/>
            <w:right w:val="nil"/>
          </w:tcBorders>
        </w:tcPr>
        <w:p w:rsidR="009C75A3" w:rsidRPr="00155DA4" w:rsidRDefault="009C75A3">
          <w:pPr>
            <w:pStyle w:val="Sidfot"/>
            <w:rPr>
              <w:rFonts w:ascii="TradeGothic" w:hAnsi="TradeGothic"/>
              <w:sz w:val="12"/>
            </w:rPr>
          </w:pPr>
          <w:r w:rsidRPr="00155DA4">
            <w:rPr>
              <w:rFonts w:ascii="TradeGothic" w:hAnsi="TradeGothic"/>
              <w:sz w:val="12"/>
            </w:rPr>
            <w:t>+32 2 289 56 11</w:t>
          </w:r>
        </w:p>
      </w:tc>
      <w:tc>
        <w:tcPr>
          <w:tcW w:w="3572" w:type="dxa"/>
          <w:tcBorders>
            <w:top w:val="nil"/>
            <w:left w:val="nil"/>
            <w:bottom w:val="nil"/>
            <w:right w:val="nil"/>
          </w:tcBorders>
        </w:tcPr>
        <w:p w:rsidR="009C75A3" w:rsidRPr="00155DA4" w:rsidRDefault="009C75A3">
          <w:pPr>
            <w:pStyle w:val="Sidfot"/>
            <w:rPr>
              <w:rFonts w:ascii="TradeGothic" w:hAnsi="TradeGothic"/>
              <w:sz w:val="12"/>
            </w:rPr>
          </w:pPr>
          <w:r w:rsidRPr="00155DA4">
            <w:rPr>
              <w:rFonts w:ascii="TradeGothic" w:hAnsi="TradeGothic"/>
              <w:sz w:val="12"/>
            </w:rPr>
            <w:t>representationen.bryssel@foreign.ministry.se</w:t>
          </w:r>
        </w:p>
      </w:tc>
    </w:tr>
    <w:tr w:rsidR="009C75A3" w:rsidRPr="00155DA4">
      <w:tblPrEx>
        <w:tblCellMar>
          <w:top w:w="0" w:type="dxa"/>
          <w:left w:w="0" w:type="dxa"/>
          <w:bottom w:w="0" w:type="dxa"/>
          <w:right w:w="0" w:type="dxa"/>
        </w:tblCellMar>
      </w:tblPrEx>
      <w:tc>
        <w:tcPr>
          <w:tcW w:w="1871" w:type="dxa"/>
          <w:tcBorders>
            <w:top w:val="nil"/>
            <w:left w:val="nil"/>
            <w:bottom w:val="nil"/>
            <w:right w:val="nil"/>
          </w:tcBorders>
        </w:tcPr>
        <w:p w:rsidR="009C75A3" w:rsidRPr="00155DA4" w:rsidRDefault="009C75A3">
          <w:pPr>
            <w:pStyle w:val="Sidfot"/>
            <w:rPr>
              <w:rFonts w:ascii="TradeGothic" w:hAnsi="TradeGothic"/>
              <w:sz w:val="12"/>
            </w:rPr>
          </w:pPr>
          <w:r w:rsidRPr="00155DA4">
            <w:rPr>
              <w:rFonts w:ascii="TradeGothic" w:hAnsi="TradeGothic"/>
              <w:sz w:val="12"/>
            </w:rPr>
            <w:t>B - 1000 BRYSSEL</w:t>
          </w:r>
        </w:p>
      </w:tc>
      <w:tc>
        <w:tcPr>
          <w:tcW w:w="1928" w:type="dxa"/>
          <w:tcBorders>
            <w:top w:val="nil"/>
            <w:left w:val="nil"/>
            <w:bottom w:val="nil"/>
            <w:right w:val="nil"/>
          </w:tcBorders>
        </w:tcPr>
        <w:p w:rsidR="009C75A3" w:rsidRPr="00155DA4" w:rsidRDefault="009C75A3">
          <w:pPr>
            <w:pStyle w:val="Sidfot"/>
            <w:rPr>
              <w:rFonts w:ascii="TradeGothic" w:hAnsi="TradeGothic"/>
              <w:sz w:val="12"/>
            </w:rPr>
          </w:pPr>
        </w:p>
      </w:tc>
      <w:tc>
        <w:tcPr>
          <w:tcW w:w="3572" w:type="dxa"/>
          <w:tcBorders>
            <w:top w:val="nil"/>
            <w:left w:val="nil"/>
            <w:bottom w:val="nil"/>
            <w:right w:val="nil"/>
          </w:tcBorders>
        </w:tcPr>
        <w:p w:rsidR="009C75A3" w:rsidRPr="00155DA4" w:rsidRDefault="009C75A3">
          <w:pPr>
            <w:pStyle w:val="Sidfot"/>
            <w:rPr>
              <w:rFonts w:ascii="TradeGothic" w:hAnsi="TradeGothic"/>
              <w:sz w:val="12"/>
            </w:rPr>
          </w:pPr>
        </w:p>
      </w:tc>
    </w:tr>
    <w:tr w:rsidR="009C75A3" w:rsidRPr="00155DA4">
      <w:tblPrEx>
        <w:tblCellMar>
          <w:top w:w="0" w:type="dxa"/>
          <w:left w:w="0" w:type="dxa"/>
          <w:bottom w:w="0" w:type="dxa"/>
          <w:right w:w="0" w:type="dxa"/>
        </w:tblCellMar>
      </w:tblPrEx>
      <w:tc>
        <w:tcPr>
          <w:tcW w:w="1871" w:type="dxa"/>
          <w:tcBorders>
            <w:top w:val="nil"/>
            <w:left w:val="nil"/>
            <w:bottom w:val="nil"/>
            <w:right w:val="nil"/>
          </w:tcBorders>
        </w:tcPr>
        <w:p w:rsidR="009C75A3" w:rsidRPr="00155DA4" w:rsidRDefault="009C75A3">
          <w:pPr>
            <w:pStyle w:val="Sidfot"/>
            <w:rPr>
              <w:rFonts w:ascii="TradeGothic" w:hAnsi="TradeGothic"/>
              <w:sz w:val="12"/>
            </w:rPr>
          </w:pPr>
          <w:r w:rsidRPr="00155DA4">
            <w:rPr>
              <w:rFonts w:ascii="TradeGothic" w:hAnsi="TradeGothic"/>
              <w:sz w:val="12"/>
            </w:rPr>
            <w:t>Belgien</w:t>
          </w:r>
        </w:p>
      </w:tc>
      <w:tc>
        <w:tcPr>
          <w:tcW w:w="1928" w:type="dxa"/>
          <w:tcBorders>
            <w:top w:val="nil"/>
            <w:left w:val="nil"/>
            <w:bottom w:val="nil"/>
            <w:right w:val="nil"/>
          </w:tcBorders>
        </w:tcPr>
        <w:p w:rsidR="009C75A3" w:rsidRPr="00155DA4" w:rsidRDefault="009C75A3">
          <w:pPr>
            <w:pStyle w:val="Sidfot"/>
            <w:rPr>
              <w:rFonts w:ascii="TradeGothic" w:hAnsi="TradeGothic"/>
              <w:sz w:val="12"/>
            </w:rPr>
          </w:pPr>
        </w:p>
      </w:tc>
      <w:tc>
        <w:tcPr>
          <w:tcW w:w="3572" w:type="dxa"/>
          <w:tcBorders>
            <w:top w:val="nil"/>
            <w:left w:val="nil"/>
            <w:bottom w:val="nil"/>
            <w:right w:val="nil"/>
          </w:tcBorders>
        </w:tcPr>
        <w:p w:rsidR="009C75A3" w:rsidRPr="00155DA4" w:rsidRDefault="009C75A3">
          <w:pPr>
            <w:pStyle w:val="Sidfot"/>
            <w:rPr>
              <w:rFonts w:ascii="TradeGothic" w:hAnsi="TradeGothic"/>
              <w:sz w:val="12"/>
            </w:rPr>
          </w:pPr>
        </w:p>
      </w:tc>
    </w:tr>
    <w:tr w:rsidR="009C75A3" w:rsidRPr="00155DA4">
      <w:tblPrEx>
        <w:tblCellMar>
          <w:top w:w="0" w:type="dxa"/>
          <w:left w:w="0" w:type="dxa"/>
          <w:bottom w:w="0" w:type="dxa"/>
          <w:right w:w="0" w:type="dxa"/>
        </w:tblCellMar>
      </w:tblPrEx>
      <w:trPr>
        <w:trHeight w:hRule="exact" w:val="80"/>
      </w:trPr>
      <w:tc>
        <w:tcPr>
          <w:tcW w:w="1871" w:type="dxa"/>
          <w:tcBorders>
            <w:top w:val="nil"/>
            <w:left w:val="nil"/>
            <w:bottom w:val="nil"/>
            <w:right w:val="nil"/>
          </w:tcBorders>
        </w:tcPr>
        <w:p w:rsidR="009C75A3" w:rsidRPr="00155DA4" w:rsidRDefault="009C75A3">
          <w:pPr>
            <w:pStyle w:val="Sidfot"/>
            <w:rPr>
              <w:rFonts w:ascii="TradeGothic" w:hAnsi="TradeGothic"/>
              <w:sz w:val="12"/>
            </w:rPr>
          </w:pPr>
        </w:p>
      </w:tc>
      <w:tc>
        <w:tcPr>
          <w:tcW w:w="1928" w:type="dxa"/>
          <w:tcBorders>
            <w:top w:val="nil"/>
            <w:left w:val="nil"/>
            <w:bottom w:val="nil"/>
            <w:right w:val="nil"/>
          </w:tcBorders>
        </w:tcPr>
        <w:p w:rsidR="009C75A3" w:rsidRPr="00155DA4" w:rsidRDefault="009C75A3">
          <w:pPr>
            <w:pStyle w:val="Sidfot"/>
            <w:rPr>
              <w:rFonts w:ascii="TradeGothic" w:hAnsi="TradeGothic"/>
              <w:sz w:val="12"/>
            </w:rPr>
          </w:pPr>
        </w:p>
      </w:tc>
      <w:tc>
        <w:tcPr>
          <w:tcW w:w="3572" w:type="dxa"/>
          <w:tcBorders>
            <w:top w:val="nil"/>
            <w:left w:val="nil"/>
            <w:bottom w:val="nil"/>
            <w:right w:val="nil"/>
          </w:tcBorders>
        </w:tcPr>
        <w:p w:rsidR="009C75A3" w:rsidRPr="00155DA4" w:rsidRDefault="009C75A3">
          <w:pPr>
            <w:pStyle w:val="Sidfot"/>
            <w:rPr>
              <w:rFonts w:ascii="TradeGothic" w:hAnsi="TradeGothic"/>
              <w:sz w:val="12"/>
            </w:rPr>
          </w:pPr>
        </w:p>
      </w:tc>
    </w:tr>
    <w:tr w:rsidR="009C75A3" w:rsidRPr="00155DA4">
      <w:tblPrEx>
        <w:tblCellMar>
          <w:top w:w="0" w:type="dxa"/>
          <w:left w:w="0" w:type="dxa"/>
          <w:bottom w:w="0" w:type="dxa"/>
          <w:right w:w="0" w:type="dxa"/>
        </w:tblCellMar>
      </w:tblPrEx>
      <w:tc>
        <w:tcPr>
          <w:tcW w:w="1871" w:type="dxa"/>
          <w:tcBorders>
            <w:top w:val="nil"/>
            <w:left w:val="nil"/>
            <w:bottom w:val="nil"/>
            <w:right w:val="nil"/>
          </w:tcBorders>
        </w:tcPr>
        <w:p w:rsidR="009C75A3" w:rsidRPr="00155DA4" w:rsidRDefault="009C75A3">
          <w:pPr>
            <w:pStyle w:val="Sidfot"/>
            <w:rPr>
              <w:rFonts w:ascii="TradeGothic" w:hAnsi="TradeGothic"/>
              <w:i/>
              <w:sz w:val="12"/>
            </w:rPr>
          </w:pPr>
          <w:r w:rsidRPr="00155DA4">
            <w:rPr>
              <w:rFonts w:ascii="TradeGothic" w:hAnsi="TradeGothic"/>
              <w:i/>
              <w:sz w:val="12"/>
            </w:rPr>
            <w:t>Telegram:</w:t>
          </w:r>
        </w:p>
      </w:tc>
      <w:tc>
        <w:tcPr>
          <w:tcW w:w="1928" w:type="dxa"/>
          <w:tcBorders>
            <w:top w:val="nil"/>
            <w:left w:val="nil"/>
            <w:bottom w:val="nil"/>
            <w:right w:val="nil"/>
          </w:tcBorders>
        </w:tcPr>
        <w:p w:rsidR="009C75A3" w:rsidRPr="00155DA4" w:rsidRDefault="009C75A3">
          <w:pPr>
            <w:pStyle w:val="Sidfot"/>
            <w:rPr>
              <w:rFonts w:ascii="TradeGothic" w:hAnsi="TradeGothic"/>
              <w:i/>
              <w:sz w:val="12"/>
            </w:rPr>
          </w:pPr>
          <w:r w:rsidRPr="00155DA4">
            <w:rPr>
              <w:rFonts w:ascii="TradeGothic" w:hAnsi="TradeGothic"/>
              <w:i/>
              <w:sz w:val="12"/>
            </w:rPr>
            <w:t>Telefax</w:t>
          </w:r>
        </w:p>
      </w:tc>
      <w:tc>
        <w:tcPr>
          <w:tcW w:w="3572" w:type="dxa"/>
          <w:tcBorders>
            <w:top w:val="nil"/>
            <w:left w:val="nil"/>
            <w:bottom w:val="nil"/>
            <w:right w:val="nil"/>
          </w:tcBorders>
        </w:tcPr>
        <w:p w:rsidR="009C75A3" w:rsidRPr="00155DA4" w:rsidRDefault="009C75A3">
          <w:pPr>
            <w:pStyle w:val="Sidfot"/>
            <w:rPr>
              <w:rFonts w:ascii="TradeGothic" w:hAnsi="TradeGothic"/>
              <w:i/>
              <w:sz w:val="12"/>
            </w:rPr>
          </w:pPr>
          <w:r w:rsidRPr="00155DA4">
            <w:rPr>
              <w:rFonts w:ascii="TradeGothic" w:hAnsi="TradeGothic"/>
              <w:i/>
              <w:sz w:val="12"/>
            </w:rPr>
            <w:t>Telex:</w:t>
          </w:r>
        </w:p>
      </w:tc>
    </w:tr>
    <w:tr w:rsidR="009C75A3" w:rsidRPr="00155DA4">
      <w:tblPrEx>
        <w:tblCellMar>
          <w:top w:w="0" w:type="dxa"/>
          <w:left w:w="0" w:type="dxa"/>
          <w:bottom w:w="0" w:type="dxa"/>
          <w:right w:w="0" w:type="dxa"/>
        </w:tblCellMar>
      </w:tblPrEx>
      <w:tc>
        <w:tcPr>
          <w:tcW w:w="1871" w:type="dxa"/>
          <w:tcBorders>
            <w:top w:val="nil"/>
            <w:left w:val="nil"/>
            <w:bottom w:val="nil"/>
            <w:right w:val="nil"/>
          </w:tcBorders>
        </w:tcPr>
        <w:p w:rsidR="009C75A3" w:rsidRPr="00155DA4" w:rsidRDefault="009C75A3">
          <w:pPr>
            <w:pStyle w:val="Sidfot"/>
            <w:rPr>
              <w:rFonts w:ascii="TradeGothic" w:hAnsi="TradeGothic"/>
              <w:sz w:val="12"/>
            </w:rPr>
          </w:pPr>
        </w:p>
      </w:tc>
      <w:tc>
        <w:tcPr>
          <w:tcW w:w="1928" w:type="dxa"/>
          <w:tcBorders>
            <w:top w:val="nil"/>
            <w:left w:val="nil"/>
            <w:bottom w:val="nil"/>
            <w:right w:val="nil"/>
          </w:tcBorders>
        </w:tcPr>
        <w:p w:rsidR="009C75A3" w:rsidRPr="00155DA4" w:rsidRDefault="009C75A3">
          <w:pPr>
            <w:pStyle w:val="Sidfot"/>
            <w:rPr>
              <w:rFonts w:ascii="TradeGothic" w:hAnsi="TradeGothic"/>
              <w:sz w:val="12"/>
            </w:rPr>
          </w:pPr>
          <w:r w:rsidRPr="00155DA4">
            <w:rPr>
              <w:rFonts w:ascii="TradeGothic" w:hAnsi="TradeGothic"/>
              <w:sz w:val="12"/>
            </w:rPr>
            <w:t>+32 2 289 56 00</w:t>
          </w:r>
        </w:p>
      </w:tc>
      <w:tc>
        <w:tcPr>
          <w:tcW w:w="3572" w:type="dxa"/>
          <w:tcBorders>
            <w:top w:val="nil"/>
            <w:left w:val="nil"/>
            <w:bottom w:val="nil"/>
            <w:right w:val="nil"/>
          </w:tcBorders>
        </w:tcPr>
        <w:p w:rsidR="009C75A3" w:rsidRPr="00155DA4" w:rsidRDefault="009C75A3">
          <w:pPr>
            <w:pStyle w:val="Sidfot"/>
            <w:rPr>
              <w:rFonts w:ascii="TradeGothic" w:hAnsi="TradeGothic"/>
              <w:sz w:val="12"/>
            </w:rPr>
          </w:pPr>
        </w:p>
      </w:tc>
    </w:tr>
    <w:tr w:rsidR="009C75A3" w:rsidRPr="00155DA4">
      <w:tblPrEx>
        <w:tblCellMar>
          <w:top w:w="0" w:type="dxa"/>
          <w:left w:w="0" w:type="dxa"/>
          <w:bottom w:w="0" w:type="dxa"/>
          <w:right w:w="0" w:type="dxa"/>
        </w:tblCellMar>
      </w:tblPrEx>
      <w:tc>
        <w:tcPr>
          <w:tcW w:w="1871" w:type="dxa"/>
          <w:tcBorders>
            <w:top w:val="nil"/>
            <w:left w:val="nil"/>
            <w:bottom w:val="nil"/>
            <w:right w:val="nil"/>
          </w:tcBorders>
        </w:tcPr>
        <w:p w:rsidR="009C75A3" w:rsidRPr="00155DA4" w:rsidRDefault="009C75A3">
          <w:pPr>
            <w:pStyle w:val="Sidfot"/>
            <w:rPr>
              <w:rFonts w:ascii="TradeGothic" w:hAnsi="TradeGothic"/>
              <w:sz w:val="12"/>
            </w:rPr>
          </w:pPr>
        </w:p>
      </w:tc>
      <w:tc>
        <w:tcPr>
          <w:tcW w:w="1928" w:type="dxa"/>
          <w:tcBorders>
            <w:top w:val="nil"/>
            <w:left w:val="nil"/>
            <w:bottom w:val="nil"/>
            <w:right w:val="nil"/>
          </w:tcBorders>
        </w:tcPr>
        <w:p w:rsidR="009C75A3" w:rsidRPr="00155DA4" w:rsidRDefault="009C75A3">
          <w:pPr>
            <w:pStyle w:val="Sidfot"/>
            <w:rPr>
              <w:rFonts w:ascii="TradeGothic" w:hAnsi="TradeGothic"/>
              <w:sz w:val="12"/>
            </w:rPr>
          </w:pPr>
        </w:p>
      </w:tc>
      <w:tc>
        <w:tcPr>
          <w:tcW w:w="3572" w:type="dxa"/>
          <w:tcBorders>
            <w:top w:val="nil"/>
            <w:left w:val="nil"/>
            <w:bottom w:val="nil"/>
            <w:right w:val="nil"/>
          </w:tcBorders>
        </w:tcPr>
        <w:p w:rsidR="009C75A3" w:rsidRPr="00155DA4" w:rsidRDefault="009C75A3">
          <w:pPr>
            <w:pStyle w:val="Sidfot"/>
            <w:rPr>
              <w:rFonts w:ascii="TradeGothic" w:hAnsi="TradeGothic"/>
              <w:sz w:val="12"/>
            </w:rPr>
          </w:pPr>
        </w:p>
      </w:tc>
    </w:tr>
    <w:tr w:rsidR="009C75A3" w:rsidRPr="00155DA4">
      <w:tblPrEx>
        <w:tblCellMar>
          <w:top w:w="0" w:type="dxa"/>
          <w:left w:w="0" w:type="dxa"/>
          <w:bottom w:w="0" w:type="dxa"/>
          <w:right w:w="0" w:type="dxa"/>
        </w:tblCellMar>
      </w:tblPrEx>
      <w:tc>
        <w:tcPr>
          <w:tcW w:w="1871" w:type="dxa"/>
          <w:tcBorders>
            <w:top w:val="nil"/>
            <w:left w:val="nil"/>
            <w:bottom w:val="nil"/>
            <w:right w:val="nil"/>
          </w:tcBorders>
        </w:tcPr>
        <w:p w:rsidR="009C75A3" w:rsidRPr="00155DA4" w:rsidRDefault="009C75A3">
          <w:pPr>
            <w:pStyle w:val="Sidfot"/>
            <w:rPr>
              <w:rFonts w:ascii="TradeGothic" w:hAnsi="TradeGothic"/>
              <w:sz w:val="12"/>
            </w:rPr>
          </w:pPr>
        </w:p>
      </w:tc>
      <w:tc>
        <w:tcPr>
          <w:tcW w:w="1928" w:type="dxa"/>
          <w:tcBorders>
            <w:top w:val="nil"/>
            <w:left w:val="nil"/>
            <w:bottom w:val="nil"/>
            <w:right w:val="nil"/>
          </w:tcBorders>
        </w:tcPr>
        <w:p w:rsidR="009C75A3" w:rsidRPr="00155DA4" w:rsidRDefault="009C75A3">
          <w:pPr>
            <w:pStyle w:val="Sidfot"/>
            <w:rPr>
              <w:rFonts w:ascii="TradeGothic" w:hAnsi="TradeGothic"/>
              <w:sz w:val="12"/>
            </w:rPr>
          </w:pPr>
        </w:p>
      </w:tc>
      <w:tc>
        <w:tcPr>
          <w:tcW w:w="3572" w:type="dxa"/>
          <w:tcBorders>
            <w:top w:val="nil"/>
            <w:left w:val="nil"/>
            <w:bottom w:val="nil"/>
            <w:right w:val="nil"/>
          </w:tcBorders>
        </w:tcPr>
        <w:p w:rsidR="009C75A3" w:rsidRPr="00155DA4" w:rsidRDefault="009C75A3">
          <w:pPr>
            <w:pStyle w:val="Sidfot"/>
            <w:rPr>
              <w:rFonts w:ascii="TradeGothic" w:hAnsi="TradeGothic"/>
              <w:sz w:val="12"/>
            </w:rPr>
          </w:pPr>
        </w:p>
      </w:tc>
    </w:tr>
  </w:tbl>
  <w:p w:rsidR="009C75A3" w:rsidRPr="00155DA4" w:rsidRDefault="009C75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0CC3" w:rsidRPr="00155DA4" w:rsidRDefault="00DC0CC3">
      <w:r w:rsidRPr="00155DA4">
        <w:separator/>
      </w:r>
    </w:p>
  </w:footnote>
  <w:footnote w:type="continuationSeparator" w:id="0">
    <w:p w:rsidR="00DC0CC3" w:rsidRPr="00155DA4" w:rsidRDefault="00DC0CC3">
      <w:r w:rsidRPr="00155D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A3" w:rsidRPr="00155DA4" w:rsidRDefault="009C75A3">
    <w:pPr>
      <w:pStyle w:val="Sidhuvud"/>
      <w:tabs>
        <w:tab w:val="clear" w:pos="4320"/>
        <w:tab w:val="clear" w:pos="8640"/>
        <w:tab w:val="left" w:pos="3799"/>
        <w:tab w:val="left" w:pos="7229"/>
        <w:tab w:val="right" w:pos="8448"/>
      </w:tabs>
      <w:ind w:left="-1418" w:right="-947"/>
      <w:rPr>
        <w:rFonts w:ascii="Garamond" w:hAnsi="Garamond"/>
        <w:sz w:val="22"/>
      </w:rPr>
    </w:pPr>
    <w:bookmarkStart w:id="31" w:name="UDsidan2"/>
    <w:bookmarkEnd w:id="31"/>
    <w:r w:rsidRPr="00155DA4">
      <w:rPr>
        <w:rFonts w:ascii="Arial" w:hAnsi="Arial"/>
        <w:b/>
        <w:sz w:val="16"/>
      </w:rPr>
      <w:t>Sveriges ständiga representation</w:t>
    </w:r>
    <w:r w:rsidRPr="00155DA4">
      <w:rPr>
        <w:rFonts w:ascii="Garamond" w:hAnsi="Garamond"/>
      </w:rPr>
      <w:tab/>
    </w:r>
    <w:bookmarkStart w:id="32" w:name="UDsidan2doknamn"/>
    <w:bookmarkEnd w:id="32"/>
    <w:r w:rsidRPr="00155DA4">
      <w:rPr>
        <w:rFonts w:ascii="Arial" w:hAnsi="Arial"/>
        <w:b/>
        <w:sz w:val="22"/>
      </w:rPr>
      <w:t>TELEMEDDELANDE</w:t>
    </w:r>
    <w:r w:rsidRPr="00155DA4">
      <w:rPr>
        <w:rFonts w:ascii="Garamond" w:hAnsi="Garamond"/>
        <w:sz w:val="22"/>
      </w:rPr>
      <w:tab/>
    </w:r>
    <w:r w:rsidRPr="00155DA4">
      <w:rPr>
        <w:rFonts w:ascii="Garamond" w:hAnsi="Garamond"/>
        <w:sz w:val="22"/>
      </w:rPr>
      <w:tab/>
    </w:r>
    <w:r w:rsidRPr="00155DA4">
      <w:rPr>
        <w:rFonts w:ascii="Garamond" w:hAnsi="Garamond"/>
        <w:sz w:val="22"/>
      </w:rPr>
      <w:fldChar w:fldCharType="begin" w:fldLock="1"/>
    </w:r>
    <w:r w:rsidRPr="00155DA4">
      <w:rPr>
        <w:rFonts w:ascii="Garamond" w:hAnsi="Garamond"/>
        <w:sz w:val="22"/>
      </w:rPr>
      <w:instrText xml:space="preserve"> PAGE  \* MERGEFORMAT </w:instrText>
    </w:r>
    <w:r w:rsidRPr="00155DA4">
      <w:rPr>
        <w:rFonts w:ascii="Garamond" w:hAnsi="Garamond"/>
        <w:sz w:val="22"/>
      </w:rPr>
      <w:fldChar w:fldCharType="separate"/>
    </w:r>
    <w:r w:rsidR="004713E6" w:rsidRPr="00155DA4">
      <w:rPr>
        <w:rFonts w:ascii="Garamond" w:hAnsi="Garamond"/>
        <w:sz w:val="22"/>
      </w:rPr>
      <w:t>2</w:t>
    </w:r>
    <w:r w:rsidRPr="00155DA4">
      <w:rPr>
        <w:rFonts w:ascii="Garamond" w:hAnsi="Garamond"/>
        <w:sz w:val="22"/>
      </w:rPr>
      <w:fldChar w:fldCharType="end"/>
    </w:r>
    <w:r w:rsidRPr="00155DA4">
      <w:rPr>
        <w:rFonts w:ascii="Garamond" w:hAnsi="Garamond"/>
        <w:sz w:val="22"/>
      </w:rPr>
      <w:t xml:space="preserve"> (   )</w:t>
    </w:r>
  </w:p>
  <w:p w:rsidR="009C75A3" w:rsidRPr="00155DA4" w:rsidRDefault="009C75A3">
    <w:pPr>
      <w:pStyle w:val="Sidhuvud"/>
      <w:tabs>
        <w:tab w:val="clear" w:pos="4320"/>
        <w:tab w:val="clear" w:pos="8640"/>
        <w:tab w:val="left" w:pos="3799"/>
        <w:tab w:val="left" w:pos="7229"/>
        <w:tab w:val="right" w:pos="8448"/>
      </w:tabs>
      <w:ind w:left="-1418" w:right="-947"/>
      <w:rPr>
        <w:rFonts w:ascii="Arial" w:hAnsi="Arial"/>
        <w:b/>
        <w:sz w:val="16"/>
      </w:rPr>
    </w:pPr>
    <w:r w:rsidRPr="00155DA4">
      <w:rPr>
        <w:rFonts w:ascii="Arial" w:hAnsi="Arial"/>
        <w:b/>
        <w:sz w:val="16"/>
      </w:rPr>
      <w:t>vid Europeiska Unionen</w:t>
    </w:r>
  </w:p>
  <w:p w:rsidR="009C75A3" w:rsidRPr="00155DA4" w:rsidRDefault="00155DA4">
    <w:pPr>
      <w:pStyle w:val="Sidhuvud"/>
      <w:tabs>
        <w:tab w:val="clear" w:pos="4320"/>
        <w:tab w:val="clear" w:pos="8640"/>
        <w:tab w:val="left" w:pos="3799"/>
        <w:tab w:val="left" w:pos="7229"/>
        <w:tab w:val="right" w:pos="8448"/>
      </w:tabs>
      <w:ind w:left="-1418" w:right="-947"/>
      <w:rPr>
        <w:rFonts w:ascii="Garamond" w:hAnsi="Garamond"/>
        <w:sz w:val="22"/>
      </w:rPr>
    </w:pPr>
    <w:r w:rsidRPr="00155DA4">
      <w:rPr>
        <w:noProof/>
        <w:sz w:val="22"/>
      </w:rPr>
      <mc:AlternateContent>
        <mc:Choice Requires="wps">
          <w:drawing>
            <wp:anchor distT="0" distB="0" distL="114300" distR="114300" simplePos="0" relativeHeight="251657728" behindDoc="0" locked="0" layoutInCell="0" allowOverlap="1">
              <wp:simplePos x="0" y="0"/>
              <wp:positionH relativeFrom="page">
                <wp:posOffset>900430</wp:posOffset>
              </wp:positionH>
              <wp:positionV relativeFrom="paragraph">
                <wp:posOffset>221615</wp:posOffset>
              </wp:positionV>
              <wp:extent cx="6228715" cy="635"/>
              <wp:effectExtent l="0" t="0" r="0" b="0"/>
              <wp:wrapNone/>
              <wp:docPr id="167029854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7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8E309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7.45pt" to="56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" o:allowincell="f" strokeweight=".25pt">
              <v:stroke startarrowwidth="narrow" startarrowlength="short" endarrowwidth="narrow" endarrowlength="short"/>
              <w10:wrap anchorx="page"/>
            </v:line>
          </w:pict>
        </mc:Fallback>
      </mc:AlternateContent>
    </w:r>
    <w:r w:rsidR="009C75A3" w:rsidRPr="00155DA4">
      <w:rPr>
        <w:rFonts w:ascii="Garamond" w:hAnsi="Garamond"/>
        <w:sz w:val="22"/>
      </w:rPr>
      <w:tab/>
    </w:r>
    <w:bookmarkStart w:id="33" w:name="UDsidan2datum"/>
    <w:bookmarkStart w:id="34" w:name="UDsidan2doss"/>
    <w:bookmarkEnd w:id="33"/>
    <w:bookmarkEnd w:id="34"/>
    <w:r w:rsidR="009C75A3" w:rsidRPr="00155DA4">
      <w:rPr>
        <w:rFonts w:ascii="Garamond" w:hAnsi="Garamond"/>
        <w:sz w:val="22"/>
      </w:rPr>
      <w:fldChar w:fldCharType="begin" w:fldLock="1"/>
    </w:r>
    <w:r w:rsidR="009C75A3" w:rsidRPr="00155DA4">
      <w:rPr>
        <w:rFonts w:ascii="Garamond" w:hAnsi="Garamond"/>
        <w:sz w:val="22"/>
      </w:rPr>
      <w:instrText xml:space="preserve"> REF RapportDatum  \* MERGEFORMAT </w:instrText>
    </w:r>
    <w:r w:rsidR="009C75A3" w:rsidRPr="00155DA4">
      <w:rPr>
        <w:rFonts w:ascii="Garamond" w:hAnsi="Garamond"/>
        <w:sz w:val="22"/>
      </w:rPr>
      <w:fldChar w:fldCharType="separate"/>
    </w:r>
    <w:r w:rsidR="009C75A3" w:rsidRPr="00155DA4">
      <w:rPr>
        <w:rFonts w:ascii="Garamond" w:hAnsi="Garamond"/>
      </w:rPr>
      <w:t>2007-</w:t>
    </w:r>
    <w:r w:rsidR="009C75A3" w:rsidRPr="00155DA4">
      <w:rPr>
        <w:rFonts w:ascii="Garamond" w:hAnsi="Garamond"/>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A659A"/>
    <w:multiLevelType w:val="singleLevel"/>
    <w:tmpl w:val="7B9C897A"/>
    <w:lvl w:ilvl="0">
      <w:start w:val="1"/>
      <w:numFmt w:val="bullet"/>
      <w:lvlText w:val=""/>
      <w:lvlJc w:val="left"/>
      <w:pPr>
        <w:tabs>
          <w:tab w:val="num" w:pos="567"/>
        </w:tabs>
        <w:ind w:left="567" w:hanging="567"/>
      </w:pPr>
      <w:rPr>
        <w:rFonts w:ascii="Symbol" w:hAnsi="Symbol" w:hint="default"/>
      </w:rPr>
    </w:lvl>
  </w:abstractNum>
  <w:abstractNum w:abstractNumId="1" w15:restartNumberingAfterBreak="0">
    <w:nsid w:val="34EE5BB6"/>
    <w:multiLevelType w:val="hybridMultilevel"/>
    <w:tmpl w:val="845A1AF6"/>
    <w:lvl w:ilvl="0">
      <w:start w:val="3"/>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434D2F76"/>
    <w:multiLevelType w:val="hybridMultilevel"/>
    <w:tmpl w:val="07FED700"/>
    <w:lvl w:ilvl="0" w:tplc="FD00A604">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3" w15:restartNumberingAfterBreak="0">
    <w:nsid w:val="436E0A5D"/>
    <w:multiLevelType w:val="singleLevel"/>
    <w:tmpl w:val="9C807126"/>
    <w:lvl w:ilvl="0">
      <w:start w:val="1"/>
      <w:numFmt w:val="bullet"/>
      <w:pStyle w:val="Innehll1"/>
      <w:lvlText w:val=""/>
      <w:lvlJc w:val="left"/>
      <w:pPr>
        <w:tabs>
          <w:tab w:val="num" w:pos="567"/>
        </w:tabs>
        <w:ind w:left="567" w:hanging="567"/>
      </w:pPr>
      <w:rPr>
        <w:rFonts w:ascii="Symbol" w:hAnsi="Symbol" w:hint="default"/>
      </w:rPr>
    </w:lvl>
  </w:abstractNum>
  <w:abstractNum w:abstractNumId="4" w15:restartNumberingAfterBreak="0">
    <w:nsid w:val="651527BE"/>
    <w:multiLevelType w:val="hybridMultilevel"/>
    <w:tmpl w:val="A0D0BFA2"/>
    <w:lvl w:ilvl="0" w:tplc="041D000F">
      <w:start w:val="1"/>
      <w:numFmt w:val="bullet"/>
      <w:lvlText w:val=""/>
      <w:lvlJc w:val="left"/>
      <w:pPr>
        <w:tabs>
          <w:tab w:val="num" w:pos="1440"/>
        </w:tabs>
        <w:ind w:left="1440" w:hanging="360"/>
      </w:pPr>
      <w:rPr>
        <w:rFonts w:ascii="Symbol" w:hAnsi="Symbol" w:hint="default"/>
      </w:rPr>
    </w:lvl>
    <w:lvl w:ilvl="1" w:tplc="041D0019" w:tentative="1">
      <w:start w:val="1"/>
      <w:numFmt w:val="bullet"/>
      <w:lvlText w:val="o"/>
      <w:lvlJc w:val="left"/>
      <w:pPr>
        <w:tabs>
          <w:tab w:val="num" w:pos="2160"/>
        </w:tabs>
        <w:ind w:left="2160" w:hanging="360"/>
      </w:pPr>
      <w:rPr>
        <w:rFonts w:ascii="Courier New" w:hAnsi="Courier New" w:cs="Courier New" w:hint="default"/>
      </w:rPr>
    </w:lvl>
    <w:lvl w:ilvl="2" w:tplc="041D001B" w:tentative="1">
      <w:start w:val="1"/>
      <w:numFmt w:val="bullet"/>
      <w:lvlText w:val=""/>
      <w:lvlJc w:val="left"/>
      <w:pPr>
        <w:tabs>
          <w:tab w:val="num" w:pos="2880"/>
        </w:tabs>
        <w:ind w:left="2880" w:hanging="360"/>
      </w:pPr>
      <w:rPr>
        <w:rFonts w:ascii="Wingdings" w:hAnsi="Wingdings" w:hint="default"/>
      </w:rPr>
    </w:lvl>
    <w:lvl w:ilvl="3" w:tplc="041D000F" w:tentative="1">
      <w:start w:val="1"/>
      <w:numFmt w:val="bullet"/>
      <w:lvlText w:val=""/>
      <w:lvlJc w:val="left"/>
      <w:pPr>
        <w:tabs>
          <w:tab w:val="num" w:pos="3600"/>
        </w:tabs>
        <w:ind w:left="3600" w:hanging="360"/>
      </w:pPr>
      <w:rPr>
        <w:rFonts w:ascii="Symbol" w:hAnsi="Symbol" w:hint="default"/>
      </w:rPr>
    </w:lvl>
    <w:lvl w:ilvl="4" w:tplc="041D0019" w:tentative="1">
      <w:start w:val="1"/>
      <w:numFmt w:val="bullet"/>
      <w:lvlText w:val="o"/>
      <w:lvlJc w:val="left"/>
      <w:pPr>
        <w:tabs>
          <w:tab w:val="num" w:pos="4320"/>
        </w:tabs>
        <w:ind w:left="4320" w:hanging="360"/>
      </w:pPr>
      <w:rPr>
        <w:rFonts w:ascii="Courier New" w:hAnsi="Courier New" w:cs="Courier New" w:hint="default"/>
      </w:rPr>
    </w:lvl>
    <w:lvl w:ilvl="5" w:tplc="041D001B" w:tentative="1">
      <w:start w:val="1"/>
      <w:numFmt w:val="bullet"/>
      <w:lvlText w:val=""/>
      <w:lvlJc w:val="left"/>
      <w:pPr>
        <w:tabs>
          <w:tab w:val="num" w:pos="5040"/>
        </w:tabs>
        <w:ind w:left="5040" w:hanging="360"/>
      </w:pPr>
      <w:rPr>
        <w:rFonts w:ascii="Wingdings" w:hAnsi="Wingdings" w:hint="default"/>
      </w:rPr>
    </w:lvl>
    <w:lvl w:ilvl="6" w:tplc="041D000F" w:tentative="1">
      <w:start w:val="1"/>
      <w:numFmt w:val="bullet"/>
      <w:lvlText w:val=""/>
      <w:lvlJc w:val="left"/>
      <w:pPr>
        <w:tabs>
          <w:tab w:val="num" w:pos="5760"/>
        </w:tabs>
        <w:ind w:left="5760" w:hanging="360"/>
      </w:pPr>
      <w:rPr>
        <w:rFonts w:ascii="Symbol" w:hAnsi="Symbol" w:hint="default"/>
      </w:rPr>
    </w:lvl>
    <w:lvl w:ilvl="7" w:tplc="041D0019" w:tentative="1">
      <w:start w:val="1"/>
      <w:numFmt w:val="bullet"/>
      <w:lvlText w:val="o"/>
      <w:lvlJc w:val="left"/>
      <w:pPr>
        <w:tabs>
          <w:tab w:val="num" w:pos="6480"/>
        </w:tabs>
        <w:ind w:left="6480" w:hanging="360"/>
      </w:pPr>
      <w:rPr>
        <w:rFonts w:ascii="Courier New" w:hAnsi="Courier New" w:cs="Courier New" w:hint="default"/>
      </w:rPr>
    </w:lvl>
    <w:lvl w:ilvl="8" w:tplc="041D001B"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81F474C"/>
    <w:multiLevelType w:val="hybridMultilevel"/>
    <w:tmpl w:val="0D083246"/>
    <w:lvl w:ilvl="0" w:tplc="041D0001">
      <w:start w:val="4"/>
      <w:numFmt w:val="decimal"/>
      <w:lvlText w:val="%1."/>
      <w:lvlJc w:val="left"/>
      <w:pPr>
        <w:tabs>
          <w:tab w:val="num" w:pos="567"/>
        </w:tabs>
        <w:ind w:left="567" w:hanging="567"/>
      </w:pPr>
      <w:rPr>
        <w:rFonts w:hint="default"/>
      </w:r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6" w15:restartNumberingAfterBreak="0">
    <w:nsid w:val="6E033FDA"/>
    <w:multiLevelType w:val="hybridMultilevel"/>
    <w:tmpl w:val="9356C79E"/>
    <w:lvl w:ilvl="0" w:tplc="44BA1C3E">
      <w:start w:val="5"/>
      <w:numFmt w:val="decimal"/>
      <w:lvlText w:val="%1."/>
      <w:lvlJc w:val="left"/>
      <w:pPr>
        <w:tabs>
          <w:tab w:val="num" w:pos="567"/>
        </w:tabs>
        <w:ind w:left="567" w:hanging="567"/>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7"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abstractNum w:abstractNumId="8" w15:restartNumberingAfterBreak="0">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7F430B81"/>
    <w:multiLevelType w:val="hybridMultilevel"/>
    <w:tmpl w:val="845C4C8C"/>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4005785">
    <w:abstractNumId w:val="0"/>
  </w:num>
  <w:num w:numId="2" w16cid:durableId="1506825157">
    <w:abstractNumId w:val="7"/>
  </w:num>
  <w:num w:numId="3" w16cid:durableId="2048797816">
    <w:abstractNumId w:val="9"/>
  </w:num>
  <w:num w:numId="4" w16cid:durableId="903295360">
    <w:abstractNumId w:val="5"/>
  </w:num>
  <w:num w:numId="5" w16cid:durableId="748236196">
    <w:abstractNumId w:val="1"/>
  </w:num>
  <w:num w:numId="6" w16cid:durableId="449907240">
    <w:abstractNumId w:val="6"/>
  </w:num>
  <w:num w:numId="7" w16cid:durableId="1373576344">
    <w:abstractNumId w:val="2"/>
  </w:num>
  <w:num w:numId="8" w16cid:durableId="860432203">
    <w:abstractNumId w:val="4"/>
  </w:num>
  <w:num w:numId="9" w16cid:durableId="472842407">
    <w:abstractNumId w:val="8"/>
  </w:num>
  <w:num w:numId="10" w16cid:durableId="857432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C7"/>
    <w:rsid w:val="00031E22"/>
    <w:rsid w:val="0004591E"/>
    <w:rsid w:val="00056372"/>
    <w:rsid w:val="000653DE"/>
    <w:rsid w:val="000831E4"/>
    <w:rsid w:val="000C32DF"/>
    <w:rsid w:val="00103A9E"/>
    <w:rsid w:val="00132618"/>
    <w:rsid w:val="00155DA4"/>
    <w:rsid w:val="00157555"/>
    <w:rsid w:val="0017150D"/>
    <w:rsid w:val="00182DCE"/>
    <w:rsid w:val="001E1478"/>
    <w:rsid w:val="00201B68"/>
    <w:rsid w:val="002119F3"/>
    <w:rsid w:val="002506A0"/>
    <w:rsid w:val="00257AB2"/>
    <w:rsid w:val="002655F9"/>
    <w:rsid w:val="002E4CCA"/>
    <w:rsid w:val="002F1778"/>
    <w:rsid w:val="00315F00"/>
    <w:rsid w:val="00355AD9"/>
    <w:rsid w:val="00356BEC"/>
    <w:rsid w:val="003771A4"/>
    <w:rsid w:val="003A2C11"/>
    <w:rsid w:val="003A35FB"/>
    <w:rsid w:val="003A46D7"/>
    <w:rsid w:val="003D0E58"/>
    <w:rsid w:val="00400CA2"/>
    <w:rsid w:val="00427A0B"/>
    <w:rsid w:val="00451FD2"/>
    <w:rsid w:val="0045391F"/>
    <w:rsid w:val="004713E0"/>
    <w:rsid w:val="004713E6"/>
    <w:rsid w:val="00485858"/>
    <w:rsid w:val="004D4AC0"/>
    <w:rsid w:val="00527239"/>
    <w:rsid w:val="00533866"/>
    <w:rsid w:val="00556AC2"/>
    <w:rsid w:val="005816CF"/>
    <w:rsid w:val="005908FD"/>
    <w:rsid w:val="005911BF"/>
    <w:rsid w:val="005B35EE"/>
    <w:rsid w:val="005D35E6"/>
    <w:rsid w:val="005F7CE3"/>
    <w:rsid w:val="00651444"/>
    <w:rsid w:val="00660BA4"/>
    <w:rsid w:val="00662F91"/>
    <w:rsid w:val="0067468D"/>
    <w:rsid w:val="0072614D"/>
    <w:rsid w:val="00737F32"/>
    <w:rsid w:val="00786324"/>
    <w:rsid w:val="00791E6C"/>
    <w:rsid w:val="00793790"/>
    <w:rsid w:val="007B6803"/>
    <w:rsid w:val="007E1CE0"/>
    <w:rsid w:val="00804B5C"/>
    <w:rsid w:val="00821FA8"/>
    <w:rsid w:val="00826278"/>
    <w:rsid w:val="0083622C"/>
    <w:rsid w:val="008B7B00"/>
    <w:rsid w:val="008E3823"/>
    <w:rsid w:val="009309D3"/>
    <w:rsid w:val="00973526"/>
    <w:rsid w:val="00986612"/>
    <w:rsid w:val="009C707D"/>
    <w:rsid w:val="009C75A3"/>
    <w:rsid w:val="009F77F9"/>
    <w:rsid w:val="00A044C6"/>
    <w:rsid w:val="00A2581D"/>
    <w:rsid w:val="00A43861"/>
    <w:rsid w:val="00A8450F"/>
    <w:rsid w:val="00A912FE"/>
    <w:rsid w:val="00B006BC"/>
    <w:rsid w:val="00B211EB"/>
    <w:rsid w:val="00B739EC"/>
    <w:rsid w:val="00BC284A"/>
    <w:rsid w:val="00C17FDA"/>
    <w:rsid w:val="00C20FBC"/>
    <w:rsid w:val="00C21C5B"/>
    <w:rsid w:val="00C334A7"/>
    <w:rsid w:val="00C43E6A"/>
    <w:rsid w:val="00C508C6"/>
    <w:rsid w:val="00C73EC7"/>
    <w:rsid w:val="00C76DF1"/>
    <w:rsid w:val="00CB3B2F"/>
    <w:rsid w:val="00CD290C"/>
    <w:rsid w:val="00CF4EA6"/>
    <w:rsid w:val="00D207C7"/>
    <w:rsid w:val="00D73CE6"/>
    <w:rsid w:val="00D9034F"/>
    <w:rsid w:val="00DC0CC3"/>
    <w:rsid w:val="00DE0514"/>
    <w:rsid w:val="00DF48F8"/>
    <w:rsid w:val="00E42E17"/>
    <w:rsid w:val="00E75F3E"/>
    <w:rsid w:val="00E96972"/>
    <w:rsid w:val="00EB57AE"/>
    <w:rsid w:val="00EB658C"/>
    <w:rsid w:val="00F065FA"/>
    <w:rsid w:val="00F33C71"/>
    <w:rsid w:val="00F46987"/>
    <w:rsid w:val="00F61E72"/>
    <w:rsid w:val="00F74610"/>
    <w:rsid w:val="00F77C84"/>
    <w:rsid w:val="00FE1521"/>
    <w:rsid w:val="00FE31C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A38E62F-07C6-4FE2-9CE9-9D5C52C8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320"/>
        <w:tab w:val="right" w:pos="8640"/>
      </w:tabs>
    </w:pPr>
  </w:style>
  <w:style w:type="paragraph" w:customStyle="1" w:styleId="Depnamn">
    <w:name w:val="Depnamn"/>
    <w:basedOn w:val="Normal"/>
    <w:pPr>
      <w:spacing w:line="260" w:lineRule="exact"/>
    </w:pPr>
    <w:rPr>
      <w:rFonts w:ascii="TradeGothic Bold" w:hAnsi="TradeGothic Bold"/>
      <w:b/>
      <w:sz w:val="22"/>
    </w:rPr>
  </w:style>
  <w:style w:type="paragraph" w:customStyle="1" w:styleId="Enhetnamn">
    <w:name w:val="Enhetnamn"/>
    <w:basedOn w:val="Normal"/>
    <w:pPr>
      <w:spacing w:after="260"/>
    </w:pPr>
    <w:rPr>
      <w:rFonts w:ascii="TradeGothic" w:hAnsi="TradeGothic"/>
      <w:i/>
      <w:sz w:val="18"/>
    </w:rPr>
  </w:style>
  <w:style w:type="paragraph" w:styleId="Brdtext">
    <w:name w:val="Body Text"/>
    <w:basedOn w:val="Normal"/>
    <w:pPr>
      <w:spacing w:line="320" w:lineRule="exact"/>
    </w:pPr>
    <w:rPr>
      <w:sz w:val="24"/>
    </w:rPr>
  </w:style>
  <w:style w:type="paragraph" w:styleId="Sidfot">
    <w:name w:val="footer"/>
    <w:basedOn w:val="Normal"/>
    <w:pPr>
      <w:tabs>
        <w:tab w:val="center" w:pos="4320"/>
        <w:tab w:val="right" w:pos="8640"/>
      </w:tabs>
    </w:pPr>
  </w:style>
  <w:style w:type="paragraph" w:customStyle="1" w:styleId="Namnenhet">
    <w:name w:val="Namnenhet"/>
    <w:basedOn w:val="Depnamn"/>
    <w:pPr>
      <w:framePr w:h="2183" w:wrap="notBeside" w:vAnchor="text" w:hAnchor="page" w:x="1447" w:y="1"/>
    </w:pPr>
    <w:rPr>
      <w:rFonts w:ascii="Arial" w:hAnsi="Arial"/>
      <w:b w:val="0"/>
      <w:i/>
      <w:sz w:val="18"/>
    </w:rPr>
  </w:style>
  <w:style w:type="paragraph" w:customStyle="1" w:styleId="EntEmet">
    <w:name w:val="EntEmet"/>
    <w:basedOn w:val="Normal"/>
    <w:pPr>
      <w:widowControl w:val="0"/>
      <w:tabs>
        <w:tab w:val="left" w:pos="284"/>
        <w:tab w:val="left" w:pos="567"/>
        <w:tab w:val="left" w:pos="851"/>
        <w:tab w:val="left" w:pos="1134"/>
        <w:tab w:val="left" w:pos="1418"/>
      </w:tabs>
      <w:spacing w:before="40"/>
    </w:pPr>
    <w:rPr>
      <w:sz w:val="24"/>
      <w:lang w:eastAsia="fr-BE"/>
    </w:rPr>
  </w:style>
  <w:style w:type="paragraph" w:customStyle="1" w:styleId="Brdtexthuvud">
    <w:name w:val="Brödtext huvud"/>
    <w:basedOn w:val="Brdtext"/>
    <w:pPr>
      <w:framePr w:w="4570" w:h="1701" w:hRule="exact" w:hSpace="181" w:wrap="around" w:vAnchor="page" w:hAnchor="page" w:x="6697" w:y="681"/>
    </w:pPr>
    <w:rPr>
      <w:rFonts w:ascii="Arial" w:hAnsi="Arial"/>
    </w:rPr>
  </w:style>
  <w:style w:type="paragraph" w:customStyle="1" w:styleId="UDrubrik">
    <w:name w:val="UDrubrik"/>
    <w:basedOn w:val="Normal"/>
    <w:next w:val="Brdtext"/>
    <w:pPr>
      <w:spacing w:line="320" w:lineRule="exact"/>
    </w:pPr>
    <w:rPr>
      <w:rFonts w:ascii="TradeGothic Bold" w:hAnsi="TradeGothic Bold"/>
      <w:b/>
      <w:sz w:val="22"/>
    </w:rPr>
  </w:style>
  <w:style w:type="paragraph" w:customStyle="1" w:styleId="Mellanrubrik">
    <w:name w:val="Mellanrubrik"/>
    <w:basedOn w:val="Brdtext"/>
    <w:next w:val="Brdtext"/>
    <w:rPr>
      <w:rFonts w:ascii="TradeGothic" w:hAnsi="TradeGothic"/>
      <w:b/>
      <w:sz w:val="22"/>
    </w:rPr>
  </w:style>
  <w:style w:type="paragraph" w:customStyle="1" w:styleId="Par-number1">
    <w:name w:val="Par-number 1."/>
    <w:basedOn w:val="Normal"/>
    <w:next w:val="Normal"/>
    <w:link w:val="Par-number1Char"/>
    <w:pPr>
      <w:widowControl w:val="0"/>
      <w:numPr>
        <w:numId w:val="2"/>
      </w:numPr>
      <w:spacing w:line="360" w:lineRule="auto"/>
    </w:pPr>
    <w:rPr>
      <w:sz w:val="24"/>
      <w:lang w:eastAsia="fr-BE"/>
    </w:rPr>
  </w:style>
  <w:style w:type="paragraph" w:customStyle="1" w:styleId="Par-dash">
    <w:name w:val="Par-dash"/>
    <w:basedOn w:val="Normal"/>
    <w:next w:val="Normal"/>
    <w:pPr>
      <w:widowControl w:val="0"/>
      <w:tabs>
        <w:tab w:val="num" w:pos="360"/>
      </w:tabs>
      <w:spacing w:line="360" w:lineRule="auto"/>
    </w:pPr>
    <w:rPr>
      <w:sz w:val="24"/>
      <w:lang w:eastAsia="fr-BE"/>
    </w:rPr>
  </w:style>
  <w:style w:type="paragraph" w:customStyle="1" w:styleId="RKnormal">
    <w:name w:val="RKnormal"/>
    <w:basedOn w:val="Normal"/>
    <w:rsid w:val="00C73EC7"/>
    <w:pPr>
      <w:tabs>
        <w:tab w:val="left" w:pos="2835"/>
      </w:tabs>
      <w:overflowPunct w:val="0"/>
      <w:autoSpaceDE w:val="0"/>
      <w:autoSpaceDN w:val="0"/>
      <w:adjustRightInd w:val="0"/>
      <w:spacing w:line="240" w:lineRule="atLeast"/>
      <w:textAlignment w:val="baseline"/>
    </w:pPr>
    <w:rPr>
      <w:rFonts w:ascii="OrigGarmnd BT" w:hAnsi="OrigGarmnd BT"/>
      <w:sz w:val="24"/>
    </w:rPr>
  </w:style>
  <w:style w:type="paragraph" w:customStyle="1" w:styleId="RKrubrik">
    <w:name w:val="RKrubrik"/>
    <w:basedOn w:val="RKnormal"/>
    <w:next w:val="RKnormal"/>
    <w:rsid w:val="00C73EC7"/>
    <w:pPr>
      <w:keepNext/>
      <w:tabs>
        <w:tab w:val="left" w:pos="1134"/>
      </w:tabs>
      <w:spacing w:before="360" w:after="120"/>
    </w:pPr>
    <w:rPr>
      <w:rFonts w:ascii="TradeGothic" w:hAnsi="TradeGothic"/>
      <w:b/>
      <w:sz w:val="22"/>
    </w:rPr>
  </w:style>
  <w:style w:type="paragraph" w:customStyle="1" w:styleId="Par-numberI">
    <w:name w:val="Par-number I."/>
    <w:basedOn w:val="Normal"/>
    <w:next w:val="Normal"/>
    <w:rsid w:val="00CD290C"/>
    <w:pPr>
      <w:widowControl w:val="0"/>
      <w:tabs>
        <w:tab w:val="num" w:pos="567"/>
      </w:tabs>
      <w:spacing w:line="360" w:lineRule="auto"/>
      <w:ind w:left="567" w:hanging="567"/>
    </w:pPr>
    <w:rPr>
      <w:sz w:val="24"/>
      <w:lang w:val="en-GB" w:eastAsia="fr-BE"/>
    </w:rPr>
  </w:style>
  <w:style w:type="paragraph" w:customStyle="1" w:styleId="EntLogo">
    <w:name w:val="EntLogo"/>
    <w:basedOn w:val="Normal"/>
    <w:next w:val="Normal"/>
    <w:rsid w:val="00CD290C"/>
    <w:pPr>
      <w:widowControl w:val="0"/>
      <w:spacing w:line="360" w:lineRule="auto"/>
    </w:pPr>
    <w:rPr>
      <w:b/>
      <w:sz w:val="24"/>
      <w:lang w:val="en-GB" w:eastAsia="fr-BE"/>
    </w:rPr>
  </w:style>
  <w:style w:type="character" w:customStyle="1" w:styleId="Par-number1Char">
    <w:name w:val="Par-number 1. Char"/>
    <w:basedOn w:val="Standardstycketeckensnitt"/>
    <w:link w:val="Par-number1"/>
    <w:rsid w:val="00CD290C"/>
    <w:rPr>
      <w:sz w:val="24"/>
      <w:lang w:val="sv-SE" w:eastAsia="fr-BE" w:bidi="ar-SA"/>
    </w:rPr>
  </w:style>
  <w:style w:type="paragraph" w:customStyle="1" w:styleId="EntRefer">
    <w:name w:val="EntRefer"/>
    <w:basedOn w:val="Normal"/>
    <w:rsid w:val="002506A0"/>
    <w:pPr>
      <w:widowControl w:val="0"/>
    </w:pPr>
    <w:rPr>
      <w:b/>
      <w:sz w:val="24"/>
      <w:lang w:val="en-GB" w:eastAsia="fr-BE"/>
    </w:rPr>
  </w:style>
  <w:style w:type="paragraph" w:customStyle="1" w:styleId="Par-bullet">
    <w:name w:val="Par-bullet"/>
    <w:basedOn w:val="Normal"/>
    <w:next w:val="Normal"/>
    <w:rsid w:val="002506A0"/>
    <w:pPr>
      <w:widowControl w:val="0"/>
      <w:tabs>
        <w:tab w:val="num" w:pos="360"/>
      </w:tabs>
      <w:spacing w:line="360" w:lineRule="auto"/>
    </w:pPr>
    <w:rPr>
      <w:sz w:val="24"/>
      <w:lang w:val="en-GB" w:eastAsia="fr-BE"/>
    </w:rPr>
  </w:style>
  <w:style w:type="paragraph" w:customStyle="1" w:styleId="Par-equal">
    <w:name w:val="Par-equal"/>
    <w:basedOn w:val="Normal"/>
    <w:next w:val="Normal"/>
    <w:rsid w:val="002506A0"/>
    <w:pPr>
      <w:widowControl w:val="0"/>
      <w:numPr>
        <w:numId w:val="9"/>
      </w:numPr>
      <w:spacing w:line="360" w:lineRule="auto"/>
    </w:pPr>
    <w:rPr>
      <w:sz w:val="24"/>
      <w:lang w:val="en-GB" w:eastAsia="fr-BE"/>
    </w:rPr>
  </w:style>
  <w:style w:type="paragraph" w:styleId="Innehll1">
    <w:name w:val="toc 1"/>
    <w:basedOn w:val="Normal"/>
    <w:next w:val="Normal"/>
    <w:rsid w:val="002506A0"/>
    <w:pPr>
      <w:widowControl w:val="0"/>
      <w:numPr>
        <w:numId w:val="10"/>
      </w:numPr>
      <w:tabs>
        <w:tab w:val="left" w:pos="567"/>
        <w:tab w:val="right" w:leader="dot" w:pos="9639"/>
      </w:tabs>
      <w:spacing w:line="360" w:lineRule="auto"/>
      <w:ind w:right="567"/>
    </w:pPr>
    <w:rPr>
      <w:sz w:val="24"/>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appor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D075F9849D0432429175FDF89DBDD492" ma:contentTypeVersion="1" ma:contentTypeDescription="Skapa nytt Word dokument" ma:contentTypeScope="" ma:versionID="58daf8ca42bbec8d3f1716509b18c367">
  <xsd:schema xmlns:xsd="http://www.w3.org/2001/XMLSchema" xmlns:p="http://schemas.microsoft.com/office/2006/metadata/properties" xmlns:ns2="59d334f2-f663-4102-bc58-91a75e014c6b" targetNamespace="http://schemas.microsoft.com/office/2006/metadata/properties" ma:root="true" ma:fieldsID="b6a4e162fc52286bd55855f873703650" ns2:_="">
    <xsd:import namespace="59d334f2-f663-4102-bc58-91a75e014c6b"/>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59d334f2-f663-4102-bc58-91a75e014c6b"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heckInComment xmlns="59d334f2-f663-4102-bc58-91a75e014c6b" xsi:nil="true"/>
    <RKOrdnaDiarienummer xmlns="59d334f2-f663-4102-bc58-91a75e014c6b" xsi:nil="true"/>
    <RKOrdnaClass xmlns="59d334f2-f663-4102-bc58-91a75e014c6b" xsi:nil="true"/>
    <RKOrdnaActivityCategory xmlns="59d334f2-f663-4102-bc58-91a75e014c6b">4.1. Europeiska unionen</RKOrdnaActivityCategory>
    <RKOrdnaSearchKeywords xmlns="59d334f2-f663-4102-bc58-91a75e014c6b" xsi:nil="true"/>
    <RKOrdnaDepartement xmlns="59d334f2-f663-4102-bc58-91a75e014c6b">Integrations- och jämställdhetsdepartementet</RKOrdnaDepartement>
    <RKOrdnaSarskildSkyddsvard xmlns="59d334f2-f663-4102-bc58-91a75e014c6b">0</RKOrdnaSarskildSkyddsvard>
  </documentManagement>
</p:properties>
</file>

<file path=customXml/itemProps1.xml><?xml version="1.0" encoding="utf-8"?>
<ds:datastoreItem xmlns:ds="http://schemas.openxmlformats.org/officeDocument/2006/customXml" ds:itemID="{BA838B7E-C027-477D-90D3-6306ADDAB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334f2-f663-4102-bc58-91a75e014c6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55FB01B-7DF1-4D14-B5FF-229529509D35}">
  <ds:schemaRefs>
    <ds:schemaRef ds:uri="http://schemas.microsoft.com/sharepoint/events"/>
  </ds:schemaRefs>
</ds:datastoreItem>
</file>

<file path=customXml/itemProps3.xml><?xml version="1.0" encoding="utf-8"?>
<ds:datastoreItem xmlns:ds="http://schemas.openxmlformats.org/officeDocument/2006/customXml" ds:itemID="{C890C4AC-ADB7-413A-AAE7-1DCEF7646CD7}">
  <ds:schemaRefs>
    <ds:schemaRef ds:uri="http://schemas.microsoft.com/sharepoint/v3/contenttype/forms"/>
  </ds:schemaRefs>
</ds:datastoreItem>
</file>

<file path=customXml/itemProps4.xml><?xml version="1.0" encoding="utf-8"?>
<ds:datastoreItem xmlns:ds="http://schemas.openxmlformats.org/officeDocument/2006/customXml" ds:itemID="{BD075E51-EA0E-4747-B5F7-040CE5679A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RapportMall</Template>
  <TotalTime>0</TotalTime>
  <Pages>2</Pages>
  <Words>1562</Words>
  <Characters>9174</Characters>
  <Application>Microsoft Office Word</Application>
  <DocSecurity>4</DocSecurity>
  <Lines>235</Lines>
  <Paragraphs>67</Paragraphs>
  <ScaleCrop>false</ScaleCrop>
  <HeadingPairs>
    <vt:vector size="2" baseType="variant">
      <vt:variant>
        <vt:lpstr>Rubrik</vt:lpstr>
      </vt:variant>
      <vt:variant>
        <vt:i4>1</vt:i4>
      </vt:variant>
    </vt:vector>
  </HeadingPairs>
  <TitlesOfParts>
    <vt:vector size="1" baseType="lpstr">
      <vt:lpstr> </vt:lpstr>
    </vt:vector>
  </TitlesOfParts>
  <Company>UD</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cp:lastModifiedBy>Lars Brink</cp:lastModifiedBy>
  <cp:revision>2</cp:revision>
  <cp:lastPrinted>2007-06-18T11:59:00Z</cp:lastPrinted>
  <dcterms:created xsi:type="dcterms:W3CDTF">2025-12-17T23:56:00Z</dcterms:created>
  <dcterms:modified xsi:type="dcterms:W3CDTF">2025-12-17T23:56:00Z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ies>
</file>