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8CD0A" w14:textId="77777777" w:rsidR="00FB32B9" w:rsidRDefault="00D31661" w:rsidP="00FB32B9">
      <w:pPr>
        <w:pStyle w:val="UDrubrik"/>
        <w:tabs>
          <w:tab w:val="left" w:pos="1701"/>
          <w:tab w:val="left" w:pos="1985"/>
        </w:tabs>
        <w:rPr>
          <w:rFonts w:cs="Arial"/>
          <w:sz w:val="28"/>
        </w:rPr>
      </w:pPr>
    </w:p>
    <w:p w14:paraId="6D68CD0B" w14:textId="77777777" w:rsidR="00FB32B9" w:rsidRDefault="00D31661" w:rsidP="00FB32B9">
      <w:pPr>
        <w:pStyle w:val="UDrubrik"/>
        <w:tabs>
          <w:tab w:val="left" w:pos="1701"/>
          <w:tab w:val="left" w:pos="1985"/>
        </w:tabs>
        <w:rPr>
          <w:rFonts w:cs="Arial"/>
          <w:sz w:val="28"/>
        </w:rPr>
      </w:pPr>
    </w:p>
    <w:p w14:paraId="6D68CD0C" w14:textId="77777777" w:rsidR="00FB32B9" w:rsidRDefault="00D31661" w:rsidP="00FB32B9">
      <w:pPr>
        <w:pStyle w:val="UDrubrik"/>
        <w:tabs>
          <w:tab w:val="left" w:pos="1701"/>
          <w:tab w:val="left" w:pos="1985"/>
        </w:tabs>
        <w:rPr>
          <w:rFonts w:cs="Arial"/>
          <w:sz w:val="28"/>
        </w:rPr>
      </w:pPr>
    </w:p>
    <w:p w14:paraId="6D68CD0D" w14:textId="77777777" w:rsidR="00FB32B9" w:rsidRDefault="00D31661" w:rsidP="00FB32B9">
      <w:pPr>
        <w:pStyle w:val="UDrubrik"/>
        <w:tabs>
          <w:tab w:val="left" w:pos="1701"/>
          <w:tab w:val="left" w:pos="1985"/>
        </w:tabs>
        <w:rPr>
          <w:rFonts w:cs="Arial"/>
          <w:sz w:val="28"/>
        </w:rPr>
      </w:pPr>
    </w:p>
    <w:p w14:paraId="6D68CD0F" w14:textId="2F408F52" w:rsidR="00FB32B9" w:rsidRDefault="000F7E1D" w:rsidP="007736CD">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7736CD">
        <w:rPr>
          <w:rFonts w:cs="Arial"/>
          <w:sz w:val="28"/>
        </w:rPr>
        <w:t>onsdagen den 9 december 2015, vecka 50.</w:t>
      </w:r>
    </w:p>
    <w:p w14:paraId="5B2B82AA" w14:textId="77777777" w:rsidR="007736CD" w:rsidRPr="007736CD" w:rsidRDefault="007736CD" w:rsidP="007736CD">
      <w:pPr>
        <w:pStyle w:val="Brdtext"/>
      </w:pPr>
    </w:p>
    <w:p w14:paraId="6D68CD10" w14:textId="414B0ED7" w:rsidR="00FB32B9" w:rsidRPr="00BC1B0A" w:rsidRDefault="000F7E1D" w:rsidP="00FB32B9">
      <w:pPr>
        <w:pStyle w:val="Brdtext"/>
        <w:rPr>
          <w:sz w:val="20"/>
        </w:rPr>
      </w:pPr>
      <w:r w:rsidRPr="00BC1B0A">
        <w:rPr>
          <w:sz w:val="20"/>
        </w:rPr>
        <w:t xml:space="preserve">Överlämnas för skriftligt samråd till </w:t>
      </w:r>
      <w:r w:rsidR="007736CD" w:rsidRPr="00BC1B0A">
        <w:rPr>
          <w:sz w:val="20"/>
        </w:rPr>
        <w:t>torsdagen</w:t>
      </w:r>
      <w:r w:rsidR="00424D91">
        <w:rPr>
          <w:sz w:val="20"/>
        </w:rPr>
        <w:t xml:space="preserve"> den 10 december 2015, kl 08.30.</w:t>
      </w:r>
      <w:bookmarkStart w:id="0" w:name="_GoBack"/>
      <w:bookmarkEnd w:id="0"/>
    </w:p>
    <w:p w14:paraId="6D68CD11" w14:textId="77777777" w:rsidR="00FB32B9" w:rsidRDefault="000F7E1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D68CD12" w14:textId="77777777" w:rsidR="00D957FB" w:rsidRPr="00FB32B9" w:rsidRDefault="000F7E1D">
          <w:pPr>
            <w:pStyle w:val="Innehllsfrteckningsrubrik"/>
            <w:rPr>
              <w:color w:val="auto"/>
            </w:rPr>
          </w:pPr>
          <w:proofErr w:type="spellStart"/>
          <w:r w:rsidRPr="00FB32B9">
            <w:rPr>
              <w:color w:val="auto"/>
            </w:rPr>
            <w:t>Innehållsförteckning</w:t>
          </w:r>
          <w:proofErr w:type="spellEnd"/>
        </w:p>
        <w:p w14:paraId="6D68CD13" w14:textId="77777777" w:rsidR="00DA7250" w:rsidRPr="00DA7250" w:rsidRDefault="00D31661" w:rsidP="00DA7250">
          <w:pPr>
            <w:rPr>
              <w:lang w:val="en-US" w:eastAsia="ja-JP"/>
            </w:rPr>
          </w:pPr>
        </w:p>
        <w:p w14:paraId="7B151321" w14:textId="77777777" w:rsidR="00E24BC1" w:rsidRDefault="000F7E1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7345431" w:history="1">
            <w:r w:rsidR="00E24BC1" w:rsidRPr="0099761D">
              <w:rPr>
                <w:rStyle w:val="Hyperlnk"/>
                <w:noProof/>
              </w:rPr>
              <w:t>1.</w:t>
            </w:r>
            <w:r w:rsidR="00E24BC1">
              <w:rPr>
                <w:rFonts w:asciiTheme="minorHAnsi" w:eastAsiaTheme="minorEastAsia" w:hAnsiTheme="minorHAnsi" w:cstheme="minorBidi"/>
                <w:noProof/>
                <w:lang w:eastAsia="sv-SE"/>
              </w:rPr>
              <w:tab/>
            </w:r>
            <w:r w:rsidR="00E24BC1" w:rsidRPr="0099761D">
              <w:rPr>
                <w:rStyle w:val="Hyperlnk"/>
                <w:noProof/>
              </w:rPr>
              <w:t>Réponses aux questions écrites posées au Conseil par des membres du Parlement européen</w:t>
            </w:r>
            <w:r w:rsidR="00E24BC1">
              <w:rPr>
                <w:noProof/>
                <w:webHidden/>
              </w:rPr>
              <w:tab/>
            </w:r>
            <w:r w:rsidR="00E24BC1">
              <w:rPr>
                <w:noProof/>
                <w:webHidden/>
              </w:rPr>
              <w:fldChar w:fldCharType="begin"/>
            </w:r>
            <w:r w:rsidR="00E24BC1">
              <w:rPr>
                <w:noProof/>
                <w:webHidden/>
              </w:rPr>
              <w:instrText xml:space="preserve"> PAGEREF _Toc437345431 \h </w:instrText>
            </w:r>
            <w:r w:rsidR="00E24BC1">
              <w:rPr>
                <w:noProof/>
                <w:webHidden/>
              </w:rPr>
            </w:r>
            <w:r w:rsidR="00E24BC1">
              <w:rPr>
                <w:noProof/>
                <w:webHidden/>
              </w:rPr>
              <w:fldChar w:fldCharType="separate"/>
            </w:r>
            <w:r w:rsidR="00E24BC1">
              <w:rPr>
                <w:noProof/>
                <w:webHidden/>
              </w:rPr>
              <w:t>4</w:t>
            </w:r>
            <w:r w:rsidR="00E24BC1">
              <w:rPr>
                <w:noProof/>
                <w:webHidden/>
              </w:rPr>
              <w:fldChar w:fldCharType="end"/>
            </w:r>
          </w:hyperlink>
        </w:p>
        <w:p w14:paraId="728BCBA0"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2" w:history="1">
            <w:r w:rsidR="00E24BC1" w:rsidRPr="0099761D">
              <w:rPr>
                <w:rStyle w:val="Hyperlnk"/>
                <w:noProof/>
              </w:rPr>
              <w:t>2.</w:t>
            </w:r>
            <w:r w:rsidR="00E24BC1">
              <w:rPr>
                <w:rFonts w:asciiTheme="minorHAnsi" w:eastAsiaTheme="minorEastAsia" w:hAnsiTheme="minorHAnsi" w:cstheme="minorBidi"/>
                <w:noProof/>
                <w:lang w:eastAsia="sv-SE"/>
              </w:rPr>
              <w:tab/>
            </w:r>
            <w:r w:rsidR="00E24BC1" w:rsidRPr="0099761D">
              <w:rPr>
                <w:rStyle w:val="Hyperlnk"/>
                <w:noProof/>
              </w:rPr>
              <w:t>Comité consultatif pour la coordination des systèmes de sécurité sociale Projet de décision du Conseil portant nomination des membres titulaires et suppléants pour le Danemark</w:t>
            </w:r>
            <w:r w:rsidR="00E24BC1">
              <w:rPr>
                <w:noProof/>
                <w:webHidden/>
              </w:rPr>
              <w:tab/>
            </w:r>
            <w:r w:rsidR="00E24BC1">
              <w:rPr>
                <w:noProof/>
                <w:webHidden/>
              </w:rPr>
              <w:fldChar w:fldCharType="begin"/>
            </w:r>
            <w:r w:rsidR="00E24BC1">
              <w:rPr>
                <w:noProof/>
                <w:webHidden/>
              </w:rPr>
              <w:instrText xml:space="preserve"> PAGEREF _Toc437345432 \h </w:instrText>
            </w:r>
            <w:r w:rsidR="00E24BC1">
              <w:rPr>
                <w:noProof/>
                <w:webHidden/>
              </w:rPr>
            </w:r>
            <w:r w:rsidR="00E24BC1">
              <w:rPr>
                <w:noProof/>
                <w:webHidden/>
              </w:rPr>
              <w:fldChar w:fldCharType="separate"/>
            </w:r>
            <w:r w:rsidR="00E24BC1">
              <w:rPr>
                <w:noProof/>
                <w:webHidden/>
              </w:rPr>
              <w:t>4</w:t>
            </w:r>
            <w:r w:rsidR="00E24BC1">
              <w:rPr>
                <w:noProof/>
                <w:webHidden/>
              </w:rPr>
              <w:fldChar w:fldCharType="end"/>
            </w:r>
          </w:hyperlink>
        </w:p>
        <w:p w14:paraId="780FB5E1"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3" w:history="1">
            <w:r w:rsidR="00E24BC1" w:rsidRPr="0099761D">
              <w:rPr>
                <w:rStyle w:val="Hyperlnk"/>
                <w:noProof/>
              </w:rPr>
              <w:t>3.</w:t>
            </w:r>
            <w:r w:rsidR="00E24BC1">
              <w:rPr>
                <w:rFonts w:asciiTheme="minorHAnsi" w:eastAsiaTheme="minorEastAsia" w:hAnsiTheme="minorHAnsi" w:cstheme="minorBidi"/>
                <w:noProof/>
                <w:lang w:eastAsia="sv-SE"/>
              </w:rPr>
              <w:tab/>
            </w:r>
            <w:r w:rsidR="00E24BC1" w:rsidRPr="0099761D">
              <w:rPr>
                <w:rStyle w:val="Hyperlnk"/>
                <w:noProof/>
              </w:rPr>
              <w:t>Projet de décision du Conseil relative à la ratification par les États membres, au nom de l’Union européenne, du protocole de 2010 relatif à la convention internationale sur la responsabilité et l’indemnisation pour les dommages liés au transport par mer de substances nocives et potentiellement dangereuses, ainsi qu'à l’adhésion des États membres audit protocole, à l'exception des aspects ayant trait à la coopération judiciaire en matière civile</w:t>
            </w:r>
            <w:r w:rsidR="00E24BC1">
              <w:rPr>
                <w:noProof/>
                <w:webHidden/>
              </w:rPr>
              <w:tab/>
            </w:r>
            <w:r w:rsidR="00E24BC1">
              <w:rPr>
                <w:noProof/>
                <w:webHidden/>
              </w:rPr>
              <w:fldChar w:fldCharType="begin"/>
            </w:r>
            <w:r w:rsidR="00E24BC1">
              <w:rPr>
                <w:noProof/>
                <w:webHidden/>
              </w:rPr>
              <w:instrText xml:space="preserve"> PAGEREF _Toc437345433 \h </w:instrText>
            </w:r>
            <w:r w:rsidR="00E24BC1">
              <w:rPr>
                <w:noProof/>
                <w:webHidden/>
              </w:rPr>
            </w:r>
            <w:r w:rsidR="00E24BC1">
              <w:rPr>
                <w:noProof/>
                <w:webHidden/>
              </w:rPr>
              <w:fldChar w:fldCharType="separate"/>
            </w:r>
            <w:r w:rsidR="00E24BC1">
              <w:rPr>
                <w:noProof/>
                <w:webHidden/>
              </w:rPr>
              <w:t>4</w:t>
            </w:r>
            <w:r w:rsidR="00E24BC1">
              <w:rPr>
                <w:noProof/>
                <w:webHidden/>
              </w:rPr>
              <w:fldChar w:fldCharType="end"/>
            </w:r>
          </w:hyperlink>
        </w:p>
        <w:p w14:paraId="0DC16337"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4" w:history="1">
            <w:r w:rsidR="00E24BC1" w:rsidRPr="0099761D">
              <w:rPr>
                <w:rStyle w:val="Hyperlnk"/>
                <w:noProof/>
              </w:rPr>
              <w:t>4.</w:t>
            </w:r>
            <w:r w:rsidR="00E24BC1">
              <w:rPr>
                <w:rFonts w:asciiTheme="minorHAnsi" w:eastAsiaTheme="minorEastAsia" w:hAnsiTheme="minorHAnsi" w:cstheme="minorBidi"/>
                <w:noProof/>
                <w:lang w:eastAsia="sv-SE"/>
              </w:rPr>
              <w:tab/>
            </w:r>
            <w:r w:rsidR="00E24BC1" w:rsidRPr="0099761D">
              <w:rPr>
                <w:rStyle w:val="Hyperlnk"/>
                <w:noProof/>
              </w:rPr>
              <w:t>Projet de décision du Conseil relative à la ratification par les États membres au nom de l’Union européenne du protocole de 2010 à la convention internationale sur la responsabilité et l’indemnisation pour les dommages liés au transport par mer de substances nocives et dangereuses, ainsi qu'à l’adhésion des États membres audit protocole, pour ce qui concerne les aspects ayant trait à la coopération judiciaire en matière civile</w:t>
            </w:r>
            <w:r w:rsidR="00E24BC1">
              <w:rPr>
                <w:noProof/>
                <w:webHidden/>
              </w:rPr>
              <w:tab/>
            </w:r>
            <w:r w:rsidR="00E24BC1">
              <w:rPr>
                <w:noProof/>
                <w:webHidden/>
              </w:rPr>
              <w:fldChar w:fldCharType="begin"/>
            </w:r>
            <w:r w:rsidR="00E24BC1">
              <w:rPr>
                <w:noProof/>
                <w:webHidden/>
              </w:rPr>
              <w:instrText xml:space="preserve"> PAGEREF _Toc437345434 \h </w:instrText>
            </w:r>
            <w:r w:rsidR="00E24BC1">
              <w:rPr>
                <w:noProof/>
                <w:webHidden/>
              </w:rPr>
            </w:r>
            <w:r w:rsidR="00E24BC1">
              <w:rPr>
                <w:noProof/>
                <w:webHidden/>
              </w:rPr>
              <w:fldChar w:fldCharType="separate"/>
            </w:r>
            <w:r w:rsidR="00E24BC1">
              <w:rPr>
                <w:noProof/>
                <w:webHidden/>
              </w:rPr>
              <w:t>5</w:t>
            </w:r>
            <w:r w:rsidR="00E24BC1">
              <w:rPr>
                <w:noProof/>
                <w:webHidden/>
              </w:rPr>
              <w:fldChar w:fldCharType="end"/>
            </w:r>
          </w:hyperlink>
        </w:p>
        <w:p w14:paraId="4F07ECCD"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5" w:history="1">
            <w:r w:rsidR="00E24BC1" w:rsidRPr="0099761D">
              <w:rPr>
                <w:rStyle w:val="Hyperlnk"/>
                <w:noProof/>
              </w:rPr>
              <w:t>5.</w:t>
            </w:r>
            <w:r w:rsidR="00E24BC1">
              <w:rPr>
                <w:rFonts w:asciiTheme="minorHAnsi" w:eastAsiaTheme="minorEastAsia" w:hAnsiTheme="minorHAnsi" w:cstheme="minorBidi"/>
                <w:noProof/>
                <w:lang w:eastAsia="sv-SE"/>
              </w:rPr>
              <w:tab/>
            </w:r>
            <w:r w:rsidR="00E24BC1" w:rsidRPr="0099761D">
              <w:rPr>
                <w:rStyle w:val="Hyperlnk"/>
                <w:noProof/>
              </w:rPr>
              <w:t>Règlement (UE) …/… de la Commission du XXX portant mise en œuvre du règlement (CE) nº 1177/2003 du Parlement européen et du Conseil relatif aux statistiques communautaires sur le revenu et les conditions de vie (EU-SILC), en ce qui concerne la liste 2017 des variables cibles secondaires relatives à la santé et à la santé des enfants</w:t>
            </w:r>
            <w:r w:rsidR="00E24BC1">
              <w:rPr>
                <w:noProof/>
                <w:webHidden/>
              </w:rPr>
              <w:tab/>
            </w:r>
            <w:r w:rsidR="00E24BC1">
              <w:rPr>
                <w:noProof/>
                <w:webHidden/>
              </w:rPr>
              <w:fldChar w:fldCharType="begin"/>
            </w:r>
            <w:r w:rsidR="00E24BC1">
              <w:rPr>
                <w:noProof/>
                <w:webHidden/>
              </w:rPr>
              <w:instrText xml:space="preserve"> PAGEREF _Toc437345435 \h </w:instrText>
            </w:r>
            <w:r w:rsidR="00E24BC1">
              <w:rPr>
                <w:noProof/>
                <w:webHidden/>
              </w:rPr>
            </w:r>
            <w:r w:rsidR="00E24BC1">
              <w:rPr>
                <w:noProof/>
                <w:webHidden/>
              </w:rPr>
              <w:fldChar w:fldCharType="separate"/>
            </w:r>
            <w:r w:rsidR="00E24BC1">
              <w:rPr>
                <w:noProof/>
                <w:webHidden/>
              </w:rPr>
              <w:t>6</w:t>
            </w:r>
            <w:r w:rsidR="00E24BC1">
              <w:rPr>
                <w:noProof/>
                <w:webHidden/>
              </w:rPr>
              <w:fldChar w:fldCharType="end"/>
            </w:r>
          </w:hyperlink>
        </w:p>
        <w:p w14:paraId="7E145AAC"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6" w:history="1">
            <w:r w:rsidR="00E24BC1" w:rsidRPr="0099761D">
              <w:rPr>
                <w:rStyle w:val="Hyperlnk"/>
                <w:noProof/>
              </w:rPr>
              <w:t>6.</w:t>
            </w:r>
            <w:r w:rsidR="00E24BC1">
              <w:rPr>
                <w:rFonts w:asciiTheme="minorHAnsi" w:eastAsiaTheme="minorEastAsia" w:hAnsiTheme="minorHAnsi" w:cstheme="minorBidi"/>
                <w:noProof/>
                <w:lang w:eastAsia="sv-SE"/>
              </w:rPr>
              <w:tab/>
            </w:r>
            <w:r w:rsidR="00E24BC1" w:rsidRPr="0099761D">
              <w:rPr>
                <w:rStyle w:val="Hyperlnk"/>
                <w:noProof/>
              </w:rPr>
              <w:t>Règlement (UE) …/… de la Commission du XXX modifiant les annexes II, III et V du règlement (CE) nº 396/2005 du Parlement européen et du Conseil en ce qui concerne les limites maximales applicables aux résidus de 1-méthylcyclopropène, de flonicamide, de flutriafol, d’acide indolacétique, d’acide indolebutyrique, de pethoxamide, de pirimicarbe, de prothioconazole et de téflubenzuron présents dans ou sur certains produits.</w:t>
            </w:r>
            <w:r w:rsidR="00E24BC1">
              <w:rPr>
                <w:noProof/>
                <w:webHidden/>
              </w:rPr>
              <w:tab/>
            </w:r>
            <w:r w:rsidR="00E24BC1">
              <w:rPr>
                <w:noProof/>
                <w:webHidden/>
              </w:rPr>
              <w:fldChar w:fldCharType="begin"/>
            </w:r>
            <w:r w:rsidR="00E24BC1">
              <w:rPr>
                <w:noProof/>
                <w:webHidden/>
              </w:rPr>
              <w:instrText xml:space="preserve"> PAGEREF _Toc437345436 \h </w:instrText>
            </w:r>
            <w:r w:rsidR="00E24BC1">
              <w:rPr>
                <w:noProof/>
                <w:webHidden/>
              </w:rPr>
            </w:r>
            <w:r w:rsidR="00E24BC1">
              <w:rPr>
                <w:noProof/>
                <w:webHidden/>
              </w:rPr>
              <w:fldChar w:fldCharType="separate"/>
            </w:r>
            <w:r w:rsidR="00E24BC1">
              <w:rPr>
                <w:noProof/>
                <w:webHidden/>
              </w:rPr>
              <w:t>6</w:t>
            </w:r>
            <w:r w:rsidR="00E24BC1">
              <w:rPr>
                <w:noProof/>
                <w:webHidden/>
              </w:rPr>
              <w:fldChar w:fldCharType="end"/>
            </w:r>
          </w:hyperlink>
        </w:p>
        <w:p w14:paraId="6DE76F65"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7" w:history="1">
            <w:r w:rsidR="00E24BC1" w:rsidRPr="0099761D">
              <w:rPr>
                <w:rStyle w:val="Hyperlnk"/>
                <w:noProof/>
              </w:rPr>
              <w:t>7.</w:t>
            </w:r>
            <w:r w:rsidR="00E24BC1">
              <w:rPr>
                <w:rFonts w:asciiTheme="minorHAnsi" w:eastAsiaTheme="minorEastAsia" w:hAnsiTheme="minorHAnsi" w:cstheme="minorBidi"/>
                <w:noProof/>
                <w:lang w:eastAsia="sv-SE"/>
              </w:rPr>
              <w:tab/>
            </w:r>
            <w:r w:rsidR="00E24BC1" w:rsidRPr="0099761D">
              <w:rPr>
                <w:rStyle w:val="Hyperlnk"/>
                <w:noProof/>
              </w:rPr>
              <w:t>Règlement (UE) …/… de la Commission du XXX modifiant l’annexe III du règlement (CE) nº 396/2005 du Parlement européen et du Conseil en ce qui concerne les limites maximales applicables aux résidus de fosétyl présents dans ou sur certains produits.</w:t>
            </w:r>
            <w:r w:rsidR="00E24BC1">
              <w:rPr>
                <w:noProof/>
                <w:webHidden/>
              </w:rPr>
              <w:tab/>
            </w:r>
            <w:r w:rsidR="00E24BC1">
              <w:rPr>
                <w:noProof/>
                <w:webHidden/>
              </w:rPr>
              <w:fldChar w:fldCharType="begin"/>
            </w:r>
            <w:r w:rsidR="00E24BC1">
              <w:rPr>
                <w:noProof/>
                <w:webHidden/>
              </w:rPr>
              <w:instrText xml:space="preserve"> PAGEREF _Toc437345437 \h </w:instrText>
            </w:r>
            <w:r w:rsidR="00E24BC1">
              <w:rPr>
                <w:noProof/>
                <w:webHidden/>
              </w:rPr>
            </w:r>
            <w:r w:rsidR="00E24BC1">
              <w:rPr>
                <w:noProof/>
                <w:webHidden/>
              </w:rPr>
              <w:fldChar w:fldCharType="separate"/>
            </w:r>
            <w:r w:rsidR="00E24BC1">
              <w:rPr>
                <w:noProof/>
                <w:webHidden/>
              </w:rPr>
              <w:t>7</w:t>
            </w:r>
            <w:r w:rsidR="00E24BC1">
              <w:rPr>
                <w:noProof/>
                <w:webHidden/>
              </w:rPr>
              <w:fldChar w:fldCharType="end"/>
            </w:r>
          </w:hyperlink>
        </w:p>
        <w:p w14:paraId="62A959B8"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8" w:history="1">
            <w:r w:rsidR="00E24BC1" w:rsidRPr="0099761D">
              <w:rPr>
                <w:rStyle w:val="Hyperlnk"/>
                <w:noProof/>
              </w:rPr>
              <w:t>8.</w:t>
            </w:r>
            <w:r w:rsidR="00E24BC1">
              <w:rPr>
                <w:rFonts w:asciiTheme="minorHAnsi" w:eastAsiaTheme="minorEastAsia" w:hAnsiTheme="minorHAnsi" w:cstheme="minorBidi"/>
                <w:noProof/>
                <w:lang w:eastAsia="sv-SE"/>
              </w:rPr>
              <w:tab/>
            </w:r>
            <w:r w:rsidR="00E24BC1" w:rsidRPr="0099761D">
              <w:rPr>
                <w:rStyle w:val="Hyperlnk"/>
                <w:noProof/>
              </w:rPr>
              <w:t>OMI - Projet de proposition de l'Union à présenter lors de la 3ème session du sous-comité de la prévention de la pollution et de l'intervention (PPR 3) de l'OMI qui se tiendra à Londres du 15 au 19 février 2016, en ce qui concerne les amendements à la note de livraison de soutes visant à permettre la fourniture de fuel-oil non conforme à la règle 14 de l'annexe VI de MARPOL</w:t>
            </w:r>
            <w:r w:rsidR="00E24BC1">
              <w:rPr>
                <w:noProof/>
                <w:webHidden/>
              </w:rPr>
              <w:tab/>
            </w:r>
            <w:r w:rsidR="00E24BC1">
              <w:rPr>
                <w:noProof/>
                <w:webHidden/>
              </w:rPr>
              <w:fldChar w:fldCharType="begin"/>
            </w:r>
            <w:r w:rsidR="00E24BC1">
              <w:rPr>
                <w:noProof/>
                <w:webHidden/>
              </w:rPr>
              <w:instrText xml:space="preserve"> PAGEREF _Toc437345438 \h </w:instrText>
            </w:r>
            <w:r w:rsidR="00E24BC1">
              <w:rPr>
                <w:noProof/>
                <w:webHidden/>
              </w:rPr>
            </w:r>
            <w:r w:rsidR="00E24BC1">
              <w:rPr>
                <w:noProof/>
                <w:webHidden/>
              </w:rPr>
              <w:fldChar w:fldCharType="separate"/>
            </w:r>
            <w:r w:rsidR="00E24BC1">
              <w:rPr>
                <w:noProof/>
                <w:webHidden/>
              </w:rPr>
              <w:t>7</w:t>
            </w:r>
            <w:r w:rsidR="00E24BC1">
              <w:rPr>
                <w:noProof/>
                <w:webHidden/>
              </w:rPr>
              <w:fldChar w:fldCharType="end"/>
            </w:r>
          </w:hyperlink>
        </w:p>
        <w:p w14:paraId="15E3D491" w14:textId="77777777" w:rsidR="00E24BC1" w:rsidRDefault="00D31661">
          <w:pPr>
            <w:pStyle w:val="Innehll1"/>
            <w:tabs>
              <w:tab w:val="left" w:pos="440"/>
              <w:tab w:val="right" w:leader="dot" w:pos="9062"/>
            </w:tabs>
            <w:rPr>
              <w:rFonts w:asciiTheme="minorHAnsi" w:eastAsiaTheme="minorEastAsia" w:hAnsiTheme="minorHAnsi" w:cstheme="minorBidi"/>
              <w:noProof/>
              <w:lang w:eastAsia="sv-SE"/>
            </w:rPr>
          </w:pPr>
          <w:hyperlink w:anchor="_Toc437345439" w:history="1">
            <w:r w:rsidR="00E24BC1" w:rsidRPr="0099761D">
              <w:rPr>
                <w:rStyle w:val="Hyperlnk"/>
                <w:noProof/>
              </w:rPr>
              <w:t>9.</w:t>
            </w:r>
            <w:r w:rsidR="00E24BC1">
              <w:rPr>
                <w:rFonts w:asciiTheme="minorHAnsi" w:eastAsiaTheme="minorEastAsia" w:hAnsiTheme="minorHAnsi" w:cstheme="minorBidi"/>
                <w:noProof/>
                <w:lang w:eastAsia="sv-SE"/>
              </w:rPr>
              <w:tab/>
            </w:r>
            <w:r w:rsidR="00E24BC1" w:rsidRPr="0099761D">
              <w:rPr>
                <w:rStyle w:val="Hyperlnk"/>
                <w:noProof/>
              </w:rPr>
              <w:t>OMI - Projet de proposition de l'Union à présenter lors de la 3 ème session du sous-comité de la prévention de la pollution et de l'intervention (PPR 3) de l'OMI qui se tiendra à Londres du 15 au 19 février 2016, en ce qui concerne les directives relatives à l'échantillonnage à bord et à la vérification de la teneur en soufre des fuel-oils utilisés à bord des navires</w:t>
            </w:r>
            <w:r w:rsidR="00E24BC1">
              <w:rPr>
                <w:noProof/>
                <w:webHidden/>
              </w:rPr>
              <w:tab/>
            </w:r>
            <w:r w:rsidR="00E24BC1">
              <w:rPr>
                <w:noProof/>
                <w:webHidden/>
              </w:rPr>
              <w:fldChar w:fldCharType="begin"/>
            </w:r>
            <w:r w:rsidR="00E24BC1">
              <w:rPr>
                <w:noProof/>
                <w:webHidden/>
              </w:rPr>
              <w:instrText xml:space="preserve"> PAGEREF _Toc437345439 \h </w:instrText>
            </w:r>
            <w:r w:rsidR="00E24BC1">
              <w:rPr>
                <w:noProof/>
                <w:webHidden/>
              </w:rPr>
            </w:r>
            <w:r w:rsidR="00E24BC1">
              <w:rPr>
                <w:noProof/>
                <w:webHidden/>
              </w:rPr>
              <w:fldChar w:fldCharType="separate"/>
            </w:r>
            <w:r w:rsidR="00E24BC1">
              <w:rPr>
                <w:noProof/>
                <w:webHidden/>
              </w:rPr>
              <w:t>8</w:t>
            </w:r>
            <w:r w:rsidR="00E24BC1">
              <w:rPr>
                <w:noProof/>
                <w:webHidden/>
              </w:rPr>
              <w:fldChar w:fldCharType="end"/>
            </w:r>
          </w:hyperlink>
        </w:p>
        <w:p w14:paraId="605E87A7"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0" w:history="1">
            <w:r w:rsidR="00E24BC1" w:rsidRPr="0099761D">
              <w:rPr>
                <w:rStyle w:val="Hyperlnk"/>
                <w:noProof/>
              </w:rPr>
              <w:t>10.</w:t>
            </w:r>
            <w:r w:rsidR="00E24BC1">
              <w:rPr>
                <w:rFonts w:asciiTheme="minorHAnsi" w:eastAsiaTheme="minorEastAsia" w:hAnsiTheme="minorHAnsi" w:cstheme="minorBidi"/>
                <w:noProof/>
                <w:lang w:eastAsia="sv-SE"/>
              </w:rPr>
              <w:tab/>
            </w:r>
            <w:r w:rsidR="00E24BC1" w:rsidRPr="0099761D">
              <w:rPr>
                <w:rStyle w:val="Hyperlnk"/>
                <w:noProof/>
              </w:rPr>
              <w:t>OMI - Projet de proposition de l'Union à présenter lors de la 3 ème session du sous-comité de la navigation, des communications et de la recherche et du sauvetage (NCSR 3) de l'OMI qui se tiendra à Londres du 29 février au 4 mars 2016, en ce qui concerne la reconnaissance du système Galileo en tant qu'élément du système mondial de radionavigation de l'OMI</w:t>
            </w:r>
            <w:r w:rsidR="00E24BC1">
              <w:rPr>
                <w:noProof/>
                <w:webHidden/>
              </w:rPr>
              <w:tab/>
            </w:r>
            <w:r w:rsidR="00E24BC1">
              <w:rPr>
                <w:noProof/>
                <w:webHidden/>
              </w:rPr>
              <w:fldChar w:fldCharType="begin"/>
            </w:r>
            <w:r w:rsidR="00E24BC1">
              <w:rPr>
                <w:noProof/>
                <w:webHidden/>
              </w:rPr>
              <w:instrText xml:space="preserve"> PAGEREF _Toc437345440 \h </w:instrText>
            </w:r>
            <w:r w:rsidR="00E24BC1">
              <w:rPr>
                <w:noProof/>
                <w:webHidden/>
              </w:rPr>
            </w:r>
            <w:r w:rsidR="00E24BC1">
              <w:rPr>
                <w:noProof/>
                <w:webHidden/>
              </w:rPr>
              <w:fldChar w:fldCharType="separate"/>
            </w:r>
            <w:r w:rsidR="00E24BC1">
              <w:rPr>
                <w:noProof/>
                <w:webHidden/>
              </w:rPr>
              <w:t>8</w:t>
            </w:r>
            <w:r w:rsidR="00E24BC1">
              <w:rPr>
                <w:noProof/>
                <w:webHidden/>
              </w:rPr>
              <w:fldChar w:fldCharType="end"/>
            </w:r>
          </w:hyperlink>
        </w:p>
        <w:p w14:paraId="25870EBA"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1" w:history="1">
            <w:r w:rsidR="00E24BC1" w:rsidRPr="0099761D">
              <w:rPr>
                <w:rStyle w:val="Hyperlnk"/>
                <w:noProof/>
              </w:rPr>
              <w:t>11.</w:t>
            </w:r>
            <w:r w:rsidR="00E24BC1">
              <w:rPr>
                <w:rFonts w:asciiTheme="minorHAnsi" w:eastAsiaTheme="minorEastAsia" w:hAnsiTheme="minorHAnsi" w:cstheme="minorBidi"/>
                <w:noProof/>
                <w:lang w:eastAsia="sv-SE"/>
              </w:rPr>
              <w:tab/>
            </w:r>
            <w:r w:rsidR="00E24BC1" w:rsidRPr="0099761D">
              <w:rPr>
                <w:rStyle w:val="Hyperlnk"/>
                <w:noProof/>
              </w:rPr>
              <w:t xml:space="preserve">OMI - Projet de proposition de l'Union à présenter lors de la 3 ème session du sous-comité de la navigation, des communications et de la recherche et du sauvetage (NCSR 3) de l'OMI qui se tiendra à Londres du 29 février au 4 mars 2016, en ce qui concerne un rapport sur le processus d'audit </w:t>
            </w:r>
            <w:r w:rsidR="00E24BC1" w:rsidRPr="0099761D">
              <w:rPr>
                <w:rStyle w:val="Hyperlnk"/>
                <w:noProof/>
              </w:rPr>
              <w:lastRenderedPageBreak/>
              <w:t>de l'échange de données au niveau international sur l'identification et le suivi des navires à grande distance (LRIT)</w:t>
            </w:r>
            <w:r w:rsidR="00E24BC1">
              <w:rPr>
                <w:noProof/>
                <w:webHidden/>
              </w:rPr>
              <w:tab/>
            </w:r>
            <w:r w:rsidR="00E24BC1">
              <w:rPr>
                <w:noProof/>
                <w:webHidden/>
              </w:rPr>
              <w:fldChar w:fldCharType="begin"/>
            </w:r>
            <w:r w:rsidR="00E24BC1">
              <w:rPr>
                <w:noProof/>
                <w:webHidden/>
              </w:rPr>
              <w:instrText xml:space="preserve"> PAGEREF _Toc437345441 \h </w:instrText>
            </w:r>
            <w:r w:rsidR="00E24BC1">
              <w:rPr>
                <w:noProof/>
                <w:webHidden/>
              </w:rPr>
            </w:r>
            <w:r w:rsidR="00E24BC1">
              <w:rPr>
                <w:noProof/>
                <w:webHidden/>
              </w:rPr>
              <w:fldChar w:fldCharType="separate"/>
            </w:r>
            <w:r w:rsidR="00E24BC1">
              <w:rPr>
                <w:noProof/>
                <w:webHidden/>
              </w:rPr>
              <w:t>9</w:t>
            </w:r>
            <w:r w:rsidR="00E24BC1">
              <w:rPr>
                <w:noProof/>
                <w:webHidden/>
              </w:rPr>
              <w:fldChar w:fldCharType="end"/>
            </w:r>
          </w:hyperlink>
        </w:p>
        <w:p w14:paraId="494CAF1D"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2" w:history="1">
            <w:r w:rsidR="00E24BC1" w:rsidRPr="0099761D">
              <w:rPr>
                <w:rStyle w:val="Hyperlnk"/>
                <w:noProof/>
              </w:rPr>
              <w:t>12.</w:t>
            </w:r>
            <w:r w:rsidR="00E24BC1">
              <w:rPr>
                <w:rFonts w:asciiTheme="minorHAnsi" w:eastAsiaTheme="minorEastAsia" w:hAnsiTheme="minorHAnsi" w:cstheme="minorBidi"/>
                <w:noProof/>
                <w:lang w:eastAsia="sv-SE"/>
              </w:rPr>
              <w:tab/>
            </w:r>
            <w:r w:rsidR="00E24BC1" w:rsidRPr="0099761D">
              <w:rPr>
                <w:rStyle w:val="Hyperlnk"/>
                <w:noProof/>
              </w:rPr>
              <w:t>OMI - Projet de proposition de l'Union à présenter lors de la 3 ème session du sous-comité de la prévention de la pollution et de l'intervention (PPR 3) de l'OMI qui se tiendra à Londres du 15 au 19 février 2016, en ce qui concerne l'examen des prescriptions de l'Annexe II de MARPOL qui ont une incidence sur les résidus de cargaison et les eaux de nettoyage des citernes contenant des produits flottants persistants à viscosité élevée</w:t>
            </w:r>
            <w:r w:rsidR="00E24BC1">
              <w:rPr>
                <w:noProof/>
                <w:webHidden/>
              </w:rPr>
              <w:tab/>
            </w:r>
            <w:r w:rsidR="00E24BC1">
              <w:rPr>
                <w:noProof/>
                <w:webHidden/>
              </w:rPr>
              <w:fldChar w:fldCharType="begin"/>
            </w:r>
            <w:r w:rsidR="00E24BC1">
              <w:rPr>
                <w:noProof/>
                <w:webHidden/>
              </w:rPr>
              <w:instrText xml:space="preserve"> PAGEREF _Toc437345442 \h </w:instrText>
            </w:r>
            <w:r w:rsidR="00E24BC1">
              <w:rPr>
                <w:noProof/>
                <w:webHidden/>
              </w:rPr>
            </w:r>
            <w:r w:rsidR="00E24BC1">
              <w:rPr>
                <w:noProof/>
                <w:webHidden/>
              </w:rPr>
              <w:fldChar w:fldCharType="separate"/>
            </w:r>
            <w:r w:rsidR="00E24BC1">
              <w:rPr>
                <w:noProof/>
                <w:webHidden/>
              </w:rPr>
              <w:t>9</w:t>
            </w:r>
            <w:r w:rsidR="00E24BC1">
              <w:rPr>
                <w:noProof/>
                <w:webHidden/>
              </w:rPr>
              <w:fldChar w:fldCharType="end"/>
            </w:r>
          </w:hyperlink>
        </w:p>
        <w:p w14:paraId="1DE6D88F"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3" w:history="1">
            <w:r w:rsidR="00E24BC1" w:rsidRPr="0099761D">
              <w:rPr>
                <w:rStyle w:val="Hyperlnk"/>
                <w:noProof/>
              </w:rPr>
              <w:t>13.</w:t>
            </w:r>
            <w:r w:rsidR="00E24BC1">
              <w:rPr>
                <w:rFonts w:asciiTheme="minorHAnsi" w:eastAsiaTheme="minorEastAsia" w:hAnsiTheme="minorHAnsi" w:cstheme="minorBidi"/>
                <w:noProof/>
                <w:lang w:eastAsia="sv-SE"/>
              </w:rPr>
              <w:tab/>
            </w:r>
            <w:r w:rsidR="00E24BC1" w:rsidRPr="0099761D">
              <w:rPr>
                <w:rStyle w:val="Hyperlnk"/>
                <w:noProof/>
              </w:rPr>
              <w:t>Deuxième réunion des Signataires du Mémorandum d'entente sur la conservation des requins migrateurs (Costa Rica, 15-19 février 2016)</w:t>
            </w:r>
            <w:r w:rsidR="00E24BC1">
              <w:rPr>
                <w:noProof/>
                <w:webHidden/>
              </w:rPr>
              <w:tab/>
            </w:r>
            <w:r w:rsidR="00E24BC1">
              <w:rPr>
                <w:noProof/>
                <w:webHidden/>
              </w:rPr>
              <w:fldChar w:fldCharType="begin"/>
            </w:r>
            <w:r w:rsidR="00E24BC1">
              <w:rPr>
                <w:noProof/>
                <w:webHidden/>
              </w:rPr>
              <w:instrText xml:space="preserve"> PAGEREF _Toc437345443 \h </w:instrText>
            </w:r>
            <w:r w:rsidR="00E24BC1">
              <w:rPr>
                <w:noProof/>
                <w:webHidden/>
              </w:rPr>
            </w:r>
            <w:r w:rsidR="00E24BC1">
              <w:rPr>
                <w:noProof/>
                <w:webHidden/>
              </w:rPr>
              <w:fldChar w:fldCharType="separate"/>
            </w:r>
            <w:r w:rsidR="00E24BC1">
              <w:rPr>
                <w:noProof/>
                <w:webHidden/>
              </w:rPr>
              <w:t>10</w:t>
            </w:r>
            <w:r w:rsidR="00E24BC1">
              <w:rPr>
                <w:noProof/>
                <w:webHidden/>
              </w:rPr>
              <w:fldChar w:fldCharType="end"/>
            </w:r>
          </w:hyperlink>
        </w:p>
        <w:p w14:paraId="3C0EA471"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4" w:history="1">
            <w:r w:rsidR="00E24BC1" w:rsidRPr="0099761D">
              <w:rPr>
                <w:rStyle w:val="Hyperlnk"/>
                <w:noProof/>
              </w:rPr>
              <w:t>14.</w:t>
            </w:r>
            <w:r w:rsidR="00E24BC1">
              <w:rPr>
                <w:rFonts w:asciiTheme="minorHAnsi" w:eastAsiaTheme="minorEastAsia" w:hAnsiTheme="minorHAnsi" w:cstheme="minorBidi"/>
                <w:noProof/>
                <w:lang w:eastAsia="sv-SE"/>
              </w:rPr>
              <w:tab/>
            </w:r>
            <w:r w:rsidR="00E24BC1" w:rsidRPr="0099761D">
              <w:rPr>
                <w:rStyle w:val="Hyperlnk"/>
                <w:noProof/>
              </w:rPr>
              <w:t>Proposition de décision du Conseil relative à la conclusion, au nom de l'Union européenne, de l'échange de lettres en vue d'obtenir l'adhésion à la Commission élargie de la convention pour la conservation du thon rouge du Sud</w:t>
            </w:r>
            <w:r w:rsidR="00E24BC1">
              <w:rPr>
                <w:noProof/>
                <w:webHidden/>
              </w:rPr>
              <w:tab/>
            </w:r>
            <w:r w:rsidR="00E24BC1">
              <w:rPr>
                <w:noProof/>
                <w:webHidden/>
              </w:rPr>
              <w:fldChar w:fldCharType="begin"/>
            </w:r>
            <w:r w:rsidR="00E24BC1">
              <w:rPr>
                <w:noProof/>
                <w:webHidden/>
              </w:rPr>
              <w:instrText xml:space="preserve"> PAGEREF _Toc437345444 \h </w:instrText>
            </w:r>
            <w:r w:rsidR="00E24BC1">
              <w:rPr>
                <w:noProof/>
                <w:webHidden/>
              </w:rPr>
            </w:r>
            <w:r w:rsidR="00E24BC1">
              <w:rPr>
                <w:noProof/>
                <w:webHidden/>
              </w:rPr>
              <w:fldChar w:fldCharType="separate"/>
            </w:r>
            <w:r w:rsidR="00E24BC1">
              <w:rPr>
                <w:noProof/>
                <w:webHidden/>
              </w:rPr>
              <w:t>11</w:t>
            </w:r>
            <w:r w:rsidR="00E24BC1">
              <w:rPr>
                <w:noProof/>
                <w:webHidden/>
              </w:rPr>
              <w:fldChar w:fldCharType="end"/>
            </w:r>
          </w:hyperlink>
        </w:p>
        <w:p w14:paraId="18C74943"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5" w:history="1">
            <w:r w:rsidR="00E24BC1" w:rsidRPr="0099761D">
              <w:rPr>
                <w:rStyle w:val="Hyperlnk"/>
                <w:noProof/>
              </w:rPr>
              <w:t>15.</w:t>
            </w:r>
            <w:r w:rsidR="00E24BC1">
              <w:rPr>
                <w:rFonts w:asciiTheme="minorHAnsi" w:eastAsiaTheme="minorEastAsia" w:hAnsiTheme="minorHAnsi" w:cstheme="minorBidi"/>
                <w:noProof/>
                <w:lang w:eastAsia="sv-SE"/>
              </w:rPr>
              <w:tab/>
            </w:r>
            <w:r w:rsidR="00E24BC1" w:rsidRPr="0099761D">
              <w:rPr>
                <w:rStyle w:val="Hyperlnk"/>
                <w:noProof/>
              </w:rPr>
              <w:t>Projet de règlement du Conseil modifiant le règlement (UE) n° 1388/2013 portant ouverture et mode de gestion de contingents tarifaires autonomes de l’Union pour certains produits agricoles et industriels</w:t>
            </w:r>
            <w:r w:rsidR="00E24BC1">
              <w:rPr>
                <w:noProof/>
                <w:webHidden/>
              </w:rPr>
              <w:tab/>
            </w:r>
            <w:r w:rsidR="00E24BC1">
              <w:rPr>
                <w:noProof/>
                <w:webHidden/>
              </w:rPr>
              <w:fldChar w:fldCharType="begin"/>
            </w:r>
            <w:r w:rsidR="00E24BC1">
              <w:rPr>
                <w:noProof/>
                <w:webHidden/>
              </w:rPr>
              <w:instrText xml:space="preserve"> PAGEREF _Toc437345445 \h </w:instrText>
            </w:r>
            <w:r w:rsidR="00E24BC1">
              <w:rPr>
                <w:noProof/>
                <w:webHidden/>
              </w:rPr>
            </w:r>
            <w:r w:rsidR="00E24BC1">
              <w:rPr>
                <w:noProof/>
                <w:webHidden/>
              </w:rPr>
              <w:fldChar w:fldCharType="separate"/>
            </w:r>
            <w:r w:rsidR="00E24BC1">
              <w:rPr>
                <w:noProof/>
                <w:webHidden/>
              </w:rPr>
              <w:t>11</w:t>
            </w:r>
            <w:r w:rsidR="00E24BC1">
              <w:rPr>
                <w:noProof/>
                <w:webHidden/>
              </w:rPr>
              <w:fldChar w:fldCharType="end"/>
            </w:r>
          </w:hyperlink>
        </w:p>
        <w:p w14:paraId="30524A62"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6" w:history="1">
            <w:r w:rsidR="00E24BC1" w:rsidRPr="0099761D">
              <w:rPr>
                <w:rStyle w:val="Hyperlnk"/>
                <w:noProof/>
              </w:rPr>
              <w:t>16.</w:t>
            </w:r>
            <w:r w:rsidR="00E24BC1">
              <w:rPr>
                <w:rFonts w:asciiTheme="minorHAnsi" w:eastAsiaTheme="minorEastAsia" w:hAnsiTheme="minorHAnsi" w:cstheme="minorBidi"/>
                <w:noProof/>
                <w:lang w:eastAsia="sv-SE"/>
              </w:rPr>
              <w:tab/>
            </w:r>
            <w:r w:rsidR="00E24BC1" w:rsidRPr="0099761D">
              <w:rPr>
                <w:rStyle w:val="Hyperlnk"/>
                <w:noProof/>
              </w:rPr>
              <w:t>Projet de règlement du Conseil modifiant le règlement (UE) n° 1387/2013 portant suspension des droits autonomes du tarif douanier commun sur certains produits agricoles et industriels</w:t>
            </w:r>
            <w:r w:rsidR="00E24BC1">
              <w:rPr>
                <w:noProof/>
                <w:webHidden/>
              </w:rPr>
              <w:tab/>
            </w:r>
            <w:r w:rsidR="00E24BC1">
              <w:rPr>
                <w:noProof/>
                <w:webHidden/>
              </w:rPr>
              <w:fldChar w:fldCharType="begin"/>
            </w:r>
            <w:r w:rsidR="00E24BC1">
              <w:rPr>
                <w:noProof/>
                <w:webHidden/>
              </w:rPr>
              <w:instrText xml:space="preserve"> PAGEREF _Toc437345446 \h </w:instrText>
            </w:r>
            <w:r w:rsidR="00E24BC1">
              <w:rPr>
                <w:noProof/>
                <w:webHidden/>
              </w:rPr>
            </w:r>
            <w:r w:rsidR="00E24BC1">
              <w:rPr>
                <w:noProof/>
                <w:webHidden/>
              </w:rPr>
              <w:fldChar w:fldCharType="separate"/>
            </w:r>
            <w:r w:rsidR="00E24BC1">
              <w:rPr>
                <w:noProof/>
                <w:webHidden/>
              </w:rPr>
              <w:t>12</w:t>
            </w:r>
            <w:r w:rsidR="00E24BC1">
              <w:rPr>
                <w:noProof/>
                <w:webHidden/>
              </w:rPr>
              <w:fldChar w:fldCharType="end"/>
            </w:r>
          </w:hyperlink>
        </w:p>
        <w:p w14:paraId="5FFC7089"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7" w:history="1">
            <w:r w:rsidR="00E24BC1" w:rsidRPr="0099761D">
              <w:rPr>
                <w:rStyle w:val="Hyperlnk"/>
                <w:noProof/>
              </w:rPr>
              <w:t>17.</w:t>
            </w:r>
            <w:r w:rsidR="00E24BC1">
              <w:rPr>
                <w:rFonts w:asciiTheme="minorHAnsi" w:eastAsiaTheme="minorEastAsia" w:hAnsiTheme="minorHAnsi" w:cstheme="minorBidi"/>
                <w:noProof/>
                <w:lang w:eastAsia="sv-SE"/>
              </w:rPr>
              <w:tab/>
            </w:r>
            <w:r w:rsidR="00E24BC1" w:rsidRPr="0099761D">
              <w:rPr>
                <w:rStyle w:val="Hyperlnk"/>
                <w:noProof/>
              </w:rPr>
              <w:t>Projet de décision du Conseil relative à la signature, au nom de l'Union européenne, et à l'application provisoire de l'accord entre l'Union européenne et la République populaire du Bangladesh sur certains aspects des services aériens</w:t>
            </w:r>
            <w:r w:rsidR="00E24BC1">
              <w:rPr>
                <w:noProof/>
                <w:webHidden/>
              </w:rPr>
              <w:tab/>
            </w:r>
            <w:r w:rsidR="00E24BC1">
              <w:rPr>
                <w:noProof/>
                <w:webHidden/>
              </w:rPr>
              <w:fldChar w:fldCharType="begin"/>
            </w:r>
            <w:r w:rsidR="00E24BC1">
              <w:rPr>
                <w:noProof/>
                <w:webHidden/>
              </w:rPr>
              <w:instrText xml:space="preserve"> PAGEREF _Toc437345447 \h </w:instrText>
            </w:r>
            <w:r w:rsidR="00E24BC1">
              <w:rPr>
                <w:noProof/>
                <w:webHidden/>
              </w:rPr>
            </w:r>
            <w:r w:rsidR="00E24BC1">
              <w:rPr>
                <w:noProof/>
                <w:webHidden/>
              </w:rPr>
              <w:fldChar w:fldCharType="separate"/>
            </w:r>
            <w:r w:rsidR="00E24BC1">
              <w:rPr>
                <w:noProof/>
                <w:webHidden/>
              </w:rPr>
              <w:t>12</w:t>
            </w:r>
            <w:r w:rsidR="00E24BC1">
              <w:rPr>
                <w:noProof/>
                <w:webHidden/>
              </w:rPr>
              <w:fldChar w:fldCharType="end"/>
            </w:r>
          </w:hyperlink>
        </w:p>
        <w:p w14:paraId="727616ED" w14:textId="77777777" w:rsidR="00E24BC1" w:rsidRDefault="00D31661">
          <w:pPr>
            <w:pStyle w:val="Innehll1"/>
            <w:tabs>
              <w:tab w:val="left" w:pos="660"/>
              <w:tab w:val="right" w:leader="dot" w:pos="9062"/>
            </w:tabs>
            <w:rPr>
              <w:rFonts w:asciiTheme="minorHAnsi" w:eastAsiaTheme="minorEastAsia" w:hAnsiTheme="minorHAnsi" w:cstheme="minorBidi"/>
              <w:noProof/>
              <w:lang w:eastAsia="sv-SE"/>
            </w:rPr>
          </w:pPr>
          <w:hyperlink w:anchor="_Toc437345448" w:history="1">
            <w:r w:rsidR="00E24BC1" w:rsidRPr="0099761D">
              <w:rPr>
                <w:rStyle w:val="Hyperlnk"/>
                <w:noProof/>
              </w:rPr>
              <w:t>18.</w:t>
            </w:r>
            <w:r w:rsidR="00E24BC1">
              <w:rPr>
                <w:rFonts w:asciiTheme="minorHAnsi" w:eastAsiaTheme="minorEastAsia" w:hAnsiTheme="minorHAnsi" w:cstheme="minorBidi"/>
                <w:noProof/>
                <w:lang w:eastAsia="sv-SE"/>
              </w:rPr>
              <w:tab/>
            </w:r>
            <w:r w:rsidR="00E24BC1" w:rsidRPr="0099761D">
              <w:rPr>
                <w:rStyle w:val="Hyperlnk"/>
                <w:noProof/>
              </w:rPr>
              <w:t>Projet de règlement du Parlement européen et du Conseil relatif aux maladies animales transmissibles ("législation sur la santé animale") (première lecture) (AL + D)</w:t>
            </w:r>
            <w:r w:rsidR="00E24BC1">
              <w:rPr>
                <w:noProof/>
                <w:webHidden/>
              </w:rPr>
              <w:tab/>
            </w:r>
            <w:r w:rsidR="00E24BC1">
              <w:rPr>
                <w:noProof/>
                <w:webHidden/>
              </w:rPr>
              <w:fldChar w:fldCharType="begin"/>
            </w:r>
            <w:r w:rsidR="00E24BC1">
              <w:rPr>
                <w:noProof/>
                <w:webHidden/>
              </w:rPr>
              <w:instrText xml:space="preserve"> PAGEREF _Toc437345448 \h </w:instrText>
            </w:r>
            <w:r w:rsidR="00E24BC1">
              <w:rPr>
                <w:noProof/>
                <w:webHidden/>
              </w:rPr>
            </w:r>
            <w:r w:rsidR="00E24BC1">
              <w:rPr>
                <w:noProof/>
                <w:webHidden/>
              </w:rPr>
              <w:fldChar w:fldCharType="separate"/>
            </w:r>
            <w:r w:rsidR="00E24BC1">
              <w:rPr>
                <w:noProof/>
                <w:webHidden/>
              </w:rPr>
              <w:t>13</w:t>
            </w:r>
            <w:r w:rsidR="00E24BC1">
              <w:rPr>
                <w:noProof/>
                <w:webHidden/>
              </w:rPr>
              <w:fldChar w:fldCharType="end"/>
            </w:r>
          </w:hyperlink>
        </w:p>
        <w:p w14:paraId="6D68CD26" w14:textId="77777777" w:rsidR="00D957FB" w:rsidRDefault="000F7E1D">
          <w:r>
            <w:rPr>
              <w:b/>
              <w:bCs/>
              <w:noProof/>
            </w:rPr>
            <w:fldChar w:fldCharType="end"/>
          </w:r>
        </w:p>
      </w:sdtContent>
    </w:sdt>
    <w:p w14:paraId="6D68CD27" w14:textId="77777777" w:rsidR="00D957FB" w:rsidRDefault="000F7E1D">
      <w:pPr>
        <w:ind w:left="0"/>
      </w:pPr>
      <w:r>
        <w:br w:type="page"/>
      </w:r>
    </w:p>
    <w:p w14:paraId="6D68CD28" w14:textId="77777777" w:rsidR="00643D86" w:rsidRDefault="00D31661" w:rsidP="00643D86">
      <w:pPr>
        <w:pStyle w:val="Rubrik1"/>
        <w:numPr>
          <w:ilvl w:val="0"/>
          <w:numId w:val="0"/>
        </w:numPr>
      </w:pPr>
      <w:bookmarkStart w:id="1" w:name="_Toc364854645"/>
    </w:p>
    <w:p w14:paraId="6D68CD29" w14:textId="77777777" w:rsidR="00643D86" w:rsidRDefault="000F7E1D" w:rsidP="00643D86">
      <w:pPr>
        <w:pStyle w:val="Rubrik1"/>
      </w:pPr>
      <w:bookmarkStart w:id="2" w:name="_Toc437345431"/>
      <w:r>
        <w:rPr>
          <w:noProof/>
        </w:rPr>
        <w:t>Réponses aux questions écrites posées au Conseil par des membres du Parlement européen</w:t>
      </w:r>
      <w:bookmarkEnd w:id="2"/>
      <w:r>
        <w:rPr>
          <w:noProof/>
        </w:rPr>
        <w:t xml:space="preserve"> </w:t>
      </w:r>
    </w:p>
    <w:p w14:paraId="6D68CD2A" w14:textId="30C6B163" w:rsidR="00643D86" w:rsidRDefault="000F7E1D" w:rsidP="00643D86">
      <w:pPr>
        <w:rPr>
          <w:lang w:val="en-US"/>
        </w:rPr>
      </w:pPr>
      <w:r>
        <w:rPr>
          <w:noProof/>
          <w:lang w:val="en-US"/>
        </w:rPr>
        <w:t>a</w:t>
      </w:r>
      <w:r>
        <w:rPr>
          <w:lang w:val="en-US"/>
        </w:rPr>
        <w:t xml:space="preserve">) E-011979/2015 - Sylvie </w:t>
      </w:r>
      <w:proofErr w:type="spellStart"/>
      <w:r>
        <w:rPr>
          <w:lang w:val="en-US"/>
        </w:rPr>
        <w:t>Goddyn</w:t>
      </w:r>
      <w:proofErr w:type="spellEnd"/>
      <w:r>
        <w:rPr>
          <w:lang w:val="en-US"/>
        </w:rPr>
        <w:t xml:space="preserve"> (ENF), </w:t>
      </w:r>
      <w:proofErr w:type="spellStart"/>
      <w:r>
        <w:rPr>
          <w:lang w:val="en-US"/>
        </w:rPr>
        <w:t>Mireille</w:t>
      </w:r>
      <w:proofErr w:type="spellEnd"/>
      <w:r>
        <w:rPr>
          <w:lang w:val="en-US"/>
        </w:rPr>
        <w:t xml:space="preserve"> </w:t>
      </w:r>
      <w:proofErr w:type="spellStart"/>
      <w:r>
        <w:rPr>
          <w:lang w:val="en-US"/>
        </w:rPr>
        <w:t>D'Ornano</w:t>
      </w:r>
      <w:proofErr w:type="spellEnd"/>
      <w:r>
        <w:rPr>
          <w:lang w:val="en-US"/>
        </w:rPr>
        <w:t xml:space="preserve"> (ENF) and Jean-François </w:t>
      </w:r>
      <w:proofErr w:type="spellStart"/>
      <w:r>
        <w:rPr>
          <w:lang w:val="en-US"/>
        </w:rPr>
        <w:t>Jalkh</w:t>
      </w:r>
      <w:proofErr w:type="spellEnd"/>
      <w:r>
        <w:rPr>
          <w:lang w:val="en-US"/>
        </w:rPr>
        <w:t xml:space="preserve"> (ENF)Transgender children</w:t>
      </w:r>
      <w:r w:rsidR="007736CD">
        <w:rPr>
          <w:lang w:val="en-US"/>
        </w:rPr>
        <w:br/>
      </w:r>
      <w:r>
        <w:rPr>
          <w:lang w:val="en-US"/>
        </w:rPr>
        <w:t xml:space="preserve">b) P-012473/2015 - </w:t>
      </w:r>
      <w:proofErr w:type="spellStart"/>
      <w:r>
        <w:rPr>
          <w:lang w:val="en-US"/>
        </w:rPr>
        <w:t>Kateřina</w:t>
      </w:r>
      <w:proofErr w:type="spellEnd"/>
      <w:r>
        <w:rPr>
          <w:lang w:val="en-US"/>
        </w:rPr>
        <w:t xml:space="preserve"> </w:t>
      </w:r>
      <w:proofErr w:type="spellStart"/>
      <w:r>
        <w:rPr>
          <w:lang w:val="en-US"/>
        </w:rPr>
        <w:t>Konečná</w:t>
      </w:r>
      <w:proofErr w:type="spellEnd"/>
      <w:r>
        <w:rPr>
          <w:lang w:val="en-US"/>
        </w:rPr>
        <w:t xml:space="preserve"> (GUE/NGL)</w:t>
      </w:r>
      <w:proofErr w:type="spellStart"/>
      <w:r>
        <w:rPr>
          <w:lang w:val="en-US"/>
        </w:rPr>
        <w:t>Harmonising</w:t>
      </w:r>
      <w:proofErr w:type="spellEnd"/>
      <w:r>
        <w:rPr>
          <w:lang w:val="en-US"/>
        </w:rPr>
        <w:t xml:space="preserve"> retirement age for miners</w:t>
      </w:r>
      <w:r w:rsidR="007736CD">
        <w:rPr>
          <w:lang w:val="en-US"/>
        </w:rPr>
        <w:br/>
      </w:r>
      <w:r>
        <w:rPr>
          <w:lang w:val="en-US"/>
        </w:rPr>
        <w:t xml:space="preserve">c) E-012771/2015 - </w:t>
      </w:r>
      <w:proofErr w:type="spellStart"/>
      <w:r>
        <w:rPr>
          <w:lang w:val="en-US"/>
        </w:rPr>
        <w:t>Joëlle</w:t>
      </w:r>
      <w:proofErr w:type="spellEnd"/>
      <w:r>
        <w:rPr>
          <w:lang w:val="en-US"/>
        </w:rPr>
        <w:t xml:space="preserve"> Bergeron (EFDD)Temporary "war refugee" status</w:t>
      </w:r>
      <w:r w:rsidR="007736CD">
        <w:rPr>
          <w:lang w:val="en-US"/>
        </w:rPr>
        <w:br/>
      </w:r>
      <w:r>
        <w:rPr>
          <w:lang w:val="en-US"/>
        </w:rPr>
        <w:t xml:space="preserve">d) E-012856/2015 -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)Combating arms trafficking in the EU</w:t>
      </w:r>
      <w:r w:rsidR="007736CD">
        <w:rPr>
          <w:lang w:val="en-US"/>
        </w:rPr>
        <w:br/>
      </w:r>
      <w:r>
        <w:rPr>
          <w:lang w:val="en-US"/>
        </w:rPr>
        <w:t>e) E-013468/2015 - Sergio Gutiérrez Prieto (</w:t>
      </w:r>
      <w:proofErr w:type="spellStart"/>
      <w:r>
        <w:rPr>
          <w:lang w:val="en-US"/>
        </w:rPr>
        <w:t>S&amp;amp;D</w:t>
      </w:r>
      <w:proofErr w:type="spellEnd"/>
      <w:r>
        <w:rPr>
          <w:lang w:val="en-US"/>
        </w:rPr>
        <w:t xml:space="preserve">), </w:t>
      </w:r>
      <w:proofErr w:type="spellStart"/>
      <w:r>
        <w:rPr>
          <w:lang w:val="en-US"/>
        </w:rPr>
        <w:t>Jonás</w:t>
      </w:r>
      <w:proofErr w:type="spellEnd"/>
      <w:r>
        <w:rPr>
          <w:lang w:val="en-US"/>
        </w:rPr>
        <w:t xml:space="preserve"> </w:t>
      </w:r>
      <w:proofErr w:type="spellStart"/>
      <w:r>
        <w:rPr>
          <w:lang w:val="en-US"/>
        </w:rPr>
        <w:t>Fernández</w:t>
      </w:r>
      <w:proofErr w:type="spellEnd"/>
      <w:r>
        <w:rPr>
          <w:lang w:val="en-US"/>
        </w:rPr>
        <w:t xml:space="preserve"> (</w:t>
      </w:r>
      <w:proofErr w:type="spellStart"/>
      <w:r>
        <w:rPr>
          <w:lang w:val="en-US"/>
        </w:rPr>
        <w:t>S&amp;amp;D</w:t>
      </w:r>
      <w:proofErr w:type="spellEnd"/>
      <w:r>
        <w:rPr>
          <w:lang w:val="en-US"/>
        </w:rPr>
        <w:t xml:space="preserve">), Eider </w:t>
      </w:r>
      <w:proofErr w:type="spellStart"/>
      <w:r>
        <w:rPr>
          <w:lang w:val="en-US"/>
        </w:rPr>
        <w:t>Gardiazabal</w:t>
      </w:r>
      <w:proofErr w:type="spellEnd"/>
      <w:r>
        <w:rPr>
          <w:lang w:val="en-US"/>
        </w:rPr>
        <w:t xml:space="preserve"> </w:t>
      </w:r>
      <w:proofErr w:type="spellStart"/>
      <w:r>
        <w:rPr>
          <w:lang w:val="en-US"/>
        </w:rPr>
        <w:t>Rubial</w:t>
      </w:r>
      <w:proofErr w:type="spellEnd"/>
      <w:r>
        <w:rPr>
          <w:lang w:val="en-US"/>
        </w:rPr>
        <w:t xml:space="preserve"> (</w:t>
      </w:r>
      <w:proofErr w:type="spellStart"/>
      <w:r>
        <w:rPr>
          <w:lang w:val="en-US"/>
        </w:rPr>
        <w:t>S&amp;amp;D</w:t>
      </w:r>
      <w:proofErr w:type="spellEnd"/>
      <w:r>
        <w:rPr>
          <w:lang w:val="en-US"/>
        </w:rPr>
        <w:t xml:space="preserve">) and Ramón </w:t>
      </w:r>
      <w:proofErr w:type="spellStart"/>
      <w:r>
        <w:rPr>
          <w:lang w:val="en-US"/>
        </w:rPr>
        <w:t>Jáuregui</w:t>
      </w:r>
      <w:proofErr w:type="spellEnd"/>
      <w:r>
        <w:rPr>
          <w:lang w:val="en-US"/>
        </w:rPr>
        <w:t xml:space="preserve"> </w:t>
      </w:r>
      <w:proofErr w:type="spellStart"/>
      <w:r>
        <w:rPr>
          <w:lang w:val="en-US"/>
        </w:rPr>
        <w:t>Atondo</w:t>
      </w:r>
      <w:proofErr w:type="spellEnd"/>
      <w:r>
        <w:rPr>
          <w:lang w:val="en-US"/>
        </w:rPr>
        <w:t xml:space="preserve"> (</w:t>
      </w:r>
      <w:proofErr w:type="spellStart"/>
      <w:r>
        <w:rPr>
          <w:lang w:val="en-US"/>
        </w:rPr>
        <w:t>S&amp;amp;D</w:t>
      </w:r>
      <w:proofErr w:type="spellEnd"/>
      <w:r>
        <w:rPr>
          <w:lang w:val="en-US"/>
        </w:rPr>
        <w:t>)Scope of the international financial transaction tax (FTT)</w:t>
      </w:r>
      <w:r w:rsidR="007736CD">
        <w:rPr>
          <w:lang w:val="en-US"/>
        </w:rPr>
        <w:br/>
      </w:r>
      <w:r>
        <w:rPr>
          <w:lang w:val="en-US"/>
        </w:rPr>
        <w:t xml:space="preserve">f) E-013539/2015 - Clara Eugenia Aguilera </w:t>
      </w:r>
      <w:proofErr w:type="spellStart"/>
      <w:r>
        <w:rPr>
          <w:lang w:val="en-US"/>
        </w:rPr>
        <w:t>García</w:t>
      </w:r>
      <w:proofErr w:type="spellEnd"/>
      <w:r>
        <w:rPr>
          <w:lang w:val="en-US"/>
        </w:rPr>
        <w:t xml:space="preserve"> (</w:t>
      </w:r>
      <w:proofErr w:type="spellStart"/>
      <w:r>
        <w:rPr>
          <w:lang w:val="en-US"/>
        </w:rPr>
        <w:t>S&amp;amp;D</w:t>
      </w:r>
      <w:proofErr w:type="spellEnd"/>
      <w:r>
        <w:rPr>
          <w:lang w:val="en-US"/>
        </w:rPr>
        <w:t>)Unpaid internships</w:t>
      </w:r>
      <w:r w:rsidR="007736CD">
        <w:rPr>
          <w:lang w:val="en-US"/>
        </w:rPr>
        <w:br/>
      </w:r>
      <w:r>
        <w:rPr>
          <w:lang w:val="en-US"/>
        </w:rPr>
        <w:t xml:space="preserve">g) E-013892/2015 - Kazimierz </w:t>
      </w:r>
      <w:proofErr w:type="spellStart"/>
      <w:r>
        <w:rPr>
          <w:lang w:val="en-US"/>
        </w:rPr>
        <w:t>Michał</w:t>
      </w:r>
      <w:proofErr w:type="spellEnd"/>
      <w:r>
        <w:rPr>
          <w:lang w:val="en-US"/>
        </w:rPr>
        <w:t xml:space="preserve"> </w:t>
      </w:r>
      <w:proofErr w:type="spellStart"/>
      <w:r>
        <w:rPr>
          <w:lang w:val="en-US"/>
        </w:rPr>
        <w:t>Ujazdowski</w:t>
      </w:r>
      <w:proofErr w:type="spellEnd"/>
      <w:r>
        <w:rPr>
          <w:lang w:val="en-US"/>
        </w:rPr>
        <w:t xml:space="preserve"> (ECR)The subsidiarity principle in the </w:t>
      </w:r>
      <w:proofErr w:type="spellStart"/>
      <w:r>
        <w:rPr>
          <w:lang w:val="en-US"/>
        </w:rPr>
        <w:t>interinstitutional</w:t>
      </w:r>
      <w:proofErr w:type="spellEnd"/>
      <w:r>
        <w:rPr>
          <w:lang w:val="en-US"/>
        </w:rPr>
        <w:t xml:space="preserve"> agreement</w:t>
      </w:r>
      <w:r>
        <w:rPr>
          <w:lang w:val="en-US"/>
        </w:rPr>
        <w:br/>
      </w:r>
      <w:r>
        <w:rPr>
          <w:noProof/>
          <w:lang w:val="en-US"/>
        </w:rPr>
        <w:t>14051</w:t>
      </w:r>
      <w:r>
        <w:rPr>
          <w:lang w:val="en-US"/>
        </w:rPr>
        <w:t>/15 PE-QE 566 14055/15 PE-QE 569 13881/15 PE-QE 562 13882/15 PE-QE 563 14060/15 PE-QE 570 14043/15 PE-QE 565 14084/15 PE-QE 571</w:t>
      </w:r>
    </w:p>
    <w:p w14:paraId="6D68CD2B" w14:textId="77777777" w:rsidR="00643D86" w:rsidRDefault="000F7E1D" w:rsidP="00643D86">
      <w:r>
        <w:rPr>
          <w:b/>
        </w:rPr>
        <w:t>Ansvarigt statsråd</w:t>
      </w:r>
      <w:r>
        <w:rPr>
          <w:b/>
        </w:rPr>
        <w:br/>
      </w:r>
      <w:r>
        <w:rPr>
          <w:noProof/>
        </w:rPr>
        <w:t>Stefan Löfven</w:t>
      </w:r>
    </w:p>
    <w:p w14:paraId="6D68CD2E" w14:textId="77777777" w:rsidR="00643D86" w:rsidRDefault="000F7E1D" w:rsidP="00643D86">
      <w:r w:rsidRPr="00B44CE2">
        <w:rPr>
          <w:b/>
        </w:rPr>
        <w:t>Annotering</w:t>
      </w:r>
      <w:r>
        <w:rPr>
          <w:b/>
        </w:rPr>
        <w:br/>
      </w:r>
      <w:r>
        <w:t>Föranleder ingen annotering.</w:t>
      </w:r>
    </w:p>
    <w:p w14:paraId="6D68CD2F" w14:textId="77777777" w:rsidR="00643D86" w:rsidRDefault="000F7E1D" w:rsidP="00643D86">
      <w:pPr>
        <w:pStyle w:val="Rubrik1"/>
      </w:pPr>
      <w:bookmarkStart w:id="3" w:name="_Toc437345432"/>
      <w:r>
        <w:rPr>
          <w:noProof/>
        </w:rPr>
        <w:t>Comité consultatif pour la coordination des systèmes de sécurité sociale</w:t>
      </w:r>
      <w:r>
        <w:rPr>
          <w:noProof/>
        </w:rPr>
        <w:br/>
        <w:t>Projet de décision du Conseil portant nomination des membres titulaires et suppléants pour le Danemark</w:t>
      </w:r>
      <w:bookmarkEnd w:id="3"/>
    </w:p>
    <w:p w14:paraId="45E2AD4E" w14:textId="77777777" w:rsidR="007736CD" w:rsidRDefault="000F7E1D" w:rsidP="00643D86">
      <w:pPr>
        <w:rPr>
          <w:noProof/>
          <w:lang w:val="en-US"/>
        </w:rPr>
      </w:pPr>
      <w:r>
        <w:rPr>
          <w:noProof/>
          <w:lang w:val="en-US"/>
        </w:rPr>
        <w:t>Adoption</w:t>
      </w:r>
    </w:p>
    <w:p w14:paraId="6D68CD30" w14:textId="032EAAF9" w:rsidR="00643D86" w:rsidRDefault="000F7E1D" w:rsidP="00643D86">
      <w:pPr>
        <w:rPr>
          <w:lang w:val="en-US"/>
        </w:rPr>
      </w:pPr>
      <w:r>
        <w:rPr>
          <w:noProof/>
          <w:lang w:val="en-US"/>
        </w:rPr>
        <w:t>14059</w:t>
      </w:r>
      <w:r>
        <w:rPr>
          <w:lang w:val="en-US"/>
        </w:rPr>
        <w:t>/15 SOC 661 EMPL 433</w:t>
      </w:r>
      <w:r w:rsidR="007736CD">
        <w:rPr>
          <w:lang w:val="en-US"/>
        </w:rPr>
        <w:t xml:space="preserve"> </w:t>
      </w:r>
      <w:r>
        <w:rPr>
          <w:lang w:val="en-US"/>
        </w:rPr>
        <w:t>14058/15 SOC 660 EMPL 432</w:t>
      </w:r>
    </w:p>
    <w:p w14:paraId="6D68CD31" w14:textId="77777777" w:rsidR="00643D86" w:rsidRDefault="000F7E1D" w:rsidP="00643D86">
      <w:r>
        <w:rPr>
          <w:b/>
        </w:rPr>
        <w:t>Ansvarigt statsråd</w:t>
      </w:r>
      <w:r>
        <w:rPr>
          <w:b/>
        </w:rPr>
        <w:br/>
      </w:r>
      <w:r>
        <w:rPr>
          <w:noProof/>
        </w:rPr>
        <w:t>Annika Strandhäll</w:t>
      </w:r>
    </w:p>
    <w:p w14:paraId="6D68CD34" w14:textId="77777777" w:rsidR="00643D86" w:rsidRDefault="000F7E1D" w:rsidP="00643D86">
      <w:r w:rsidRPr="00B44CE2">
        <w:rPr>
          <w:b/>
        </w:rPr>
        <w:t>Annotering</w:t>
      </w:r>
      <w:r>
        <w:rPr>
          <w:b/>
        </w:rPr>
        <w:br/>
      </w:r>
      <w:r>
        <w:t>Föranleder ingen annotering.</w:t>
      </w:r>
    </w:p>
    <w:p w14:paraId="6D68CD35" w14:textId="77777777" w:rsidR="00643D86" w:rsidRDefault="000F7E1D" w:rsidP="00643D86">
      <w:pPr>
        <w:pStyle w:val="Rubrik1"/>
      </w:pPr>
      <w:bookmarkStart w:id="4" w:name="_Toc437345433"/>
      <w:r>
        <w:rPr>
          <w:noProof/>
        </w:rPr>
        <w:t>Projet de décision du Conseil relative à la ratification par les États membres, au nom de l’Union européenne, du protocole de 2010 relatif à la convention internationale sur la responsabilité et l’indemnisation pour les dommages liés au transport par mer de substances nocives et potentiellement dangereuses, ainsi qu'à l’adhésion des États membres audit protocole, à l'exception des aspects ayant trait à la coopération judiciaire en matière civile</w:t>
      </w:r>
      <w:bookmarkEnd w:id="4"/>
    </w:p>
    <w:p w14:paraId="3A748926" w14:textId="77777777" w:rsidR="007736CD" w:rsidRDefault="000F7E1D" w:rsidP="00643D86">
      <w:pPr>
        <w:rPr>
          <w:lang w:val="en-US"/>
        </w:rPr>
      </w:pPr>
      <w:r>
        <w:rPr>
          <w:noProof/>
          <w:lang w:val="en-US"/>
        </w:rPr>
        <w:t>Accord</w:t>
      </w:r>
      <w:r>
        <w:rPr>
          <w:lang w:val="en-US"/>
        </w:rPr>
        <w:t xml:space="preserve"> de </w:t>
      </w:r>
      <w:proofErr w:type="spellStart"/>
      <w:proofErr w:type="gramStart"/>
      <w:r>
        <w:rPr>
          <w:lang w:val="en-US"/>
        </w:rPr>
        <w:t>principe</w:t>
      </w:r>
      <w:proofErr w:type="spellEnd"/>
      <w:proofErr w:type="gramEnd"/>
    </w:p>
    <w:p w14:paraId="6D68CD36" w14:textId="1EB3BDBC" w:rsidR="00643D86" w:rsidRDefault="000F7E1D" w:rsidP="00643D86">
      <w:pPr>
        <w:rPr>
          <w:lang w:val="en-US"/>
        </w:rPr>
      </w:pPr>
      <w:r>
        <w:rPr>
          <w:noProof/>
          <w:lang w:val="en-US"/>
        </w:rPr>
        <w:t>13142</w:t>
      </w:r>
      <w:r>
        <w:rPr>
          <w:lang w:val="en-US"/>
        </w:rPr>
        <w:t>/15 MAR 122 ENV 640 JUSTCIV 239 TRANS 332</w:t>
      </w:r>
      <w:r w:rsidR="00BC1B0A">
        <w:rPr>
          <w:lang w:val="en-US"/>
        </w:rPr>
        <w:t xml:space="preserve"> </w:t>
      </w:r>
      <w:r>
        <w:rPr>
          <w:lang w:val="en-US"/>
        </w:rPr>
        <w:t>13806/15 MAR 138 ENV 678 JUSTCIV 259 TRANS 356</w:t>
      </w:r>
      <w:r w:rsidR="00BC1B0A">
        <w:rPr>
          <w:lang w:val="en-US"/>
        </w:rPr>
        <w:t xml:space="preserve"> </w:t>
      </w:r>
      <w:r>
        <w:rPr>
          <w:lang w:val="en-US"/>
        </w:rPr>
        <w:t xml:space="preserve">10248/15 JUSTCIV 155 TRANS 220 </w:t>
      </w:r>
    </w:p>
    <w:p w14:paraId="6D68CD37" w14:textId="77777777" w:rsidR="00643D86" w:rsidRDefault="000F7E1D" w:rsidP="00643D86">
      <w:r>
        <w:rPr>
          <w:b/>
        </w:rPr>
        <w:lastRenderedPageBreak/>
        <w:t>Ansvarigt statsråd</w:t>
      </w:r>
      <w:r>
        <w:rPr>
          <w:b/>
        </w:rPr>
        <w:br/>
      </w:r>
      <w:r>
        <w:rPr>
          <w:noProof/>
        </w:rPr>
        <w:t>Morgan Johansson</w:t>
      </w:r>
    </w:p>
    <w:p w14:paraId="14C3CD4F" w14:textId="43C1E039" w:rsidR="00BC1B0A" w:rsidRPr="00BC1B0A" w:rsidRDefault="000F7E1D" w:rsidP="00BC1B0A">
      <w:pPr>
        <w:pStyle w:val="Normalwebb"/>
        <w:shd w:val="clear" w:color="auto" w:fill="FFFFFF"/>
        <w:ind w:left="714"/>
        <w:textAlignment w:val="top"/>
        <w:rPr>
          <w:color w:val="444444"/>
          <w:sz w:val="22"/>
          <w:szCs w:val="22"/>
        </w:rPr>
      </w:pPr>
      <w:r w:rsidRPr="00BC1B0A">
        <w:rPr>
          <w:b/>
          <w:sz w:val="22"/>
          <w:szCs w:val="22"/>
        </w:rPr>
        <w:t>Annotering</w:t>
      </w:r>
      <w:r w:rsidRPr="00BC1B0A">
        <w:rPr>
          <w:b/>
          <w:sz w:val="22"/>
          <w:szCs w:val="22"/>
        </w:rPr>
        <w:br/>
      </w:r>
      <w:r w:rsidR="00BC1B0A" w:rsidRPr="00C870F6">
        <w:rPr>
          <w:rFonts w:eastAsia="Calibri"/>
          <w:b/>
          <w:noProof/>
          <w:sz w:val="22"/>
          <w:szCs w:val="22"/>
          <w:lang w:val="en-US" w:eastAsia="en-US"/>
        </w:rPr>
        <w:t>Avsikt med behandlingen i rådet</w:t>
      </w:r>
      <w:r w:rsidR="00BC1B0A" w:rsidRPr="00C870F6">
        <w:rPr>
          <w:rFonts w:eastAsia="Calibri"/>
          <w:noProof/>
          <w:sz w:val="22"/>
          <w:szCs w:val="22"/>
          <w:lang w:val="en-US" w:eastAsia="en-US"/>
        </w:rPr>
        <w:t>:</w:t>
      </w:r>
      <w:r w:rsidR="00BC1B0A" w:rsidRPr="00BC1B0A">
        <w:rPr>
          <w:b/>
          <w:bCs/>
          <w:color w:val="444444"/>
          <w:sz w:val="22"/>
          <w:szCs w:val="22"/>
        </w:rPr>
        <w:t xml:space="preserve"> </w:t>
      </w:r>
      <w:r w:rsidR="00BC1B0A" w:rsidRPr="00C870F6">
        <w:rPr>
          <w:rFonts w:eastAsia="Calibri"/>
          <w:noProof/>
          <w:sz w:val="22"/>
          <w:szCs w:val="22"/>
          <w:lang w:val="en-US" w:eastAsia="en-US"/>
        </w:rPr>
        <w:t>Rådet föreslås nå en principöverenskommelse om utkastet till rådets beslut och att besluta att vidarebefordra utkasten till rådets beslut till Europaparlamentet för godkännande.</w:t>
      </w:r>
    </w:p>
    <w:p w14:paraId="6560D499" w14:textId="16CD8436" w:rsidR="00BC1B0A" w:rsidRPr="00BC1B0A" w:rsidRDefault="00BC1B0A" w:rsidP="00BC1B0A">
      <w:pPr>
        <w:pStyle w:val="Normalwebb"/>
        <w:shd w:val="clear" w:color="auto" w:fill="FFFFFF"/>
        <w:ind w:left="714"/>
        <w:textAlignment w:val="top"/>
        <w:rPr>
          <w:color w:val="444444"/>
          <w:sz w:val="22"/>
          <w:szCs w:val="22"/>
        </w:rPr>
      </w:pPr>
      <w:r w:rsidRPr="00C870F6">
        <w:rPr>
          <w:rFonts w:eastAsia="Calibri"/>
          <w:b/>
          <w:noProof/>
          <w:sz w:val="22"/>
          <w:szCs w:val="22"/>
          <w:lang w:val="en-US" w:eastAsia="en-US"/>
        </w:rPr>
        <w:t>Hur regeringen ställer sig till den blivande A-punkten:</w:t>
      </w:r>
      <w:r>
        <w:rPr>
          <w:b/>
          <w:bCs/>
          <w:color w:val="444444"/>
          <w:sz w:val="22"/>
          <w:szCs w:val="22"/>
        </w:rPr>
        <w:t xml:space="preserve"> </w:t>
      </w:r>
      <w:r w:rsidRPr="00C870F6">
        <w:rPr>
          <w:rFonts w:eastAsia="Calibri"/>
          <w:noProof/>
          <w:sz w:val="22"/>
          <w:szCs w:val="22"/>
          <w:lang w:val="en-US" w:eastAsia="en-US"/>
        </w:rPr>
        <w:t>Sverige bör rösta ja till att rådet antar ordförandeskapets kompromissförslag i dokument 13806/15 och 14112/15 och att utkasten till rådsbeslut vidarebefordras till Europaparlamentet för godkännande</w:t>
      </w:r>
      <w:r w:rsidRPr="00BC1B0A">
        <w:rPr>
          <w:color w:val="444444"/>
          <w:sz w:val="22"/>
          <w:szCs w:val="22"/>
        </w:rPr>
        <w:t>.</w:t>
      </w:r>
    </w:p>
    <w:p w14:paraId="6D68CD3C" w14:textId="2047CA98" w:rsidR="00FB32B9" w:rsidRDefault="00BC1B0A" w:rsidP="00C870F6">
      <w:pPr>
        <w:pStyle w:val="Normalwebb"/>
        <w:shd w:val="clear" w:color="auto" w:fill="FFFFFF"/>
        <w:ind w:left="714"/>
        <w:textAlignment w:val="top"/>
        <w:rPr>
          <w:noProof/>
        </w:rPr>
      </w:pPr>
      <w:r w:rsidRPr="00C870F6">
        <w:rPr>
          <w:rFonts w:eastAsia="Calibri"/>
          <w:b/>
          <w:noProof/>
          <w:sz w:val="22"/>
          <w:szCs w:val="22"/>
          <w:lang w:val="en-US" w:eastAsia="en-US"/>
        </w:rPr>
        <w:t>Bakgrund</w:t>
      </w:r>
      <w:r w:rsidRPr="00C870F6">
        <w:rPr>
          <w:b/>
          <w:bCs/>
          <w:color w:val="444444"/>
          <w:sz w:val="22"/>
          <w:szCs w:val="22"/>
        </w:rPr>
        <w:t>:</w:t>
      </w:r>
      <w:r w:rsidRPr="00BC1B0A">
        <w:rPr>
          <w:b/>
          <w:bCs/>
          <w:color w:val="444444"/>
          <w:sz w:val="22"/>
          <w:szCs w:val="22"/>
        </w:rPr>
        <w:t xml:space="preserve"> </w:t>
      </w:r>
      <w:r w:rsidRPr="00C870F6">
        <w:rPr>
          <w:rFonts w:eastAsia="Calibri"/>
          <w:noProof/>
          <w:sz w:val="22"/>
          <w:szCs w:val="22"/>
          <w:lang w:val="en-US" w:eastAsia="en-US"/>
        </w:rPr>
        <w:t xml:space="preserve">2010 års HNS-konvention innehåller regler om ansvar för skador i samband med sjötransport av vissa farliga och skadliga ämnen (HNS eller ”Hazardous and Noxious Substances”). I juni i år lade kommissionen fram två parallella förslag som innebär att medlems¬staterna ska bemyndigas att tillträda konventionen, där det ena förslaget tar sikte på frågor som berör frågor om civilrättsligt samarbete. Förslagen från kommissionen bygger på att hela konventionen omfattas av exklusiv unionskompetens. Under ordförandeskapets ledning har kommissionens förslag omarbetats. Kompromissförslagen utgår från att kompetensen i förhållande till konventionen är delad mellan EU och dess medlemsstater. Dessutom har medlemsstaternas skyldighet att tillträda konventionen skrivits mindre skarpt i kompromissförslagen. Sverige – som har i frågasatt kommissionens bedömning när det gäller kompetensfrågan – är positivt inställt till ett tillträde till konventionen och stödjer ordförandeskapets kompromissförslag. </w:t>
      </w:r>
    </w:p>
    <w:p w14:paraId="6D68CD3D" w14:textId="77777777" w:rsidR="00643D86" w:rsidRDefault="000F7E1D" w:rsidP="00643D86">
      <w:pPr>
        <w:pStyle w:val="Rubrik1"/>
      </w:pPr>
      <w:bookmarkStart w:id="5" w:name="_Toc437345434"/>
      <w:r>
        <w:rPr>
          <w:noProof/>
        </w:rPr>
        <w:t>Projet de décision du Conseil relative à la ratification par les États membres au nom de l’Union européenne du protocole de 2010 à la convention internationale sur la responsabilité et l’indemnisation pour les dommages liés au transport par mer de substances nocives et dangereuses, ainsi qu'à l’adhésion des États membres audit protocole, pour ce qui concerne les aspects ayant trait à la coopération judiciaire en matière civile</w:t>
      </w:r>
      <w:bookmarkEnd w:id="5"/>
    </w:p>
    <w:p w14:paraId="172A2403" w14:textId="77777777" w:rsidR="007736CD" w:rsidRDefault="000F7E1D" w:rsidP="00643D86">
      <w:pPr>
        <w:rPr>
          <w:lang w:val="en-US"/>
        </w:rPr>
      </w:pPr>
      <w:r>
        <w:rPr>
          <w:noProof/>
          <w:lang w:val="en-US"/>
        </w:rPr>
        <w:t>Accord</w:t>
      </w:r>
      <w:r>
        <w:rPr>
          <w:lang w:val="en-US"/>
        </w:rPr>
        <w:t xml:space="preserve"> de </w:t>
      </w:r>
      <w:proofErr w:type="spellStart"/>
      <w:proofErr w:type="gramStart"/>
      <w:r>
        <w:rPr>
          <w:lang w:val="en-US"/>
        </w:rPr>
        <w:t>principe</w:t>
      </w:r>
      <w:proofErr w:type="spellEnd"/>
      <w:proofErr w:type="gramEnd"/>
    </w:p>
    <w:p w14:paraId="6D68CD3E" w14:textId="2CD097F7" w:rsidR="00643D86" w:rsidRDefault="000F7E1D" w:rsidP="00643D86">
      <w:pPr>
        <w:rPr>
          <w:lang w:val="en-US"/>
        </w:rPr>
      </w:pPr>
      <w:r>
        <w:rPr>
          <w:noProof/>
          <w:lang w:val="en-US"/>
        </w:rPr>
        <w:t>14100</w:t>
      </w:r>
      <w:r>
        <w:rPr>
          <w:lang w:val="en-US"/>
        </w:rPr>
        <w:t>/15 JUSTCIV 261 TRANS 361 MAR 146 ENV 707</w:t>
      </w:r>
      <w:r w:rsidR="007736CD">
        <w:rPr>
          <w:lang w:val="en-US"/>
        </w:rPr>
        <w:t xml:space="preserve"> </w:t>
      </w:r>
      <w:r>
        <w:rPr>
          <w:lang w:val="en-US"/>
        </w:rPr>
        <w:t>14112/15 JUSTCIV 263 TRANS 364 MAR 148 ENV 71010252/15 JUSTCIV 156 TRANS 221 + ADD 1</w:t>
      </w:r>
    </w:p>
    <w:p w14:paraId="6D68CD3F" w14:textId="3C06E14B" w:rsidR="00643D86" w:rsidRDefault="000F7E1D" w:rsidP="00643D86">
      <w:r>
        <w:rPr>
          <w:b/>
        </w:rPr>
        <w:t>Ansvarigt statsråd</w:t>
      </w:r>
      <w:r>
        <w:rPr>
          <w:b/>
        </w:rPr>
        <w:br/>
      </w:r>
      <w:r w:rsidR="00C870F6">
        <w:t>Morgan Johansson</w:t>
      </w:r>
    </w:p>
    <w:p w14:paraId="1C8F3454" w14:textId="55E778E0" w:rsidR="00C870F6" w:rsidRPr="00C870F6" w:rsidRDefault="000F7E1D" w:rsidP="00C870F6">
      <w:pPr>
        <w:pStyle w:val="Normalwebb"/>
        <w:shd w:val="clear" w:color="auto" w:fill="FFFFFF"/>
        <w:ind w:left="714"/>
        <w:textAlignment w:val="top"/>
        <w:rPr>
          <w:rFonts w:eastAsia="Calibri"/>
          <w:sz w:val="22"/>
          <w:szCs w:val="22"/>
          <w:lang w:eastAsia="en-US"/>
        </w:rPr>
      </w:pPr>
      <w:r w:rsidRPr="00C870F6">
        <w:rPr>
          <w:rFonts w:eastAsia="Calibri"/>
          <w:b/>
          <w:sz w:val="22"/>
          <w:szCs w:val="22"/>
          <w:lang w:eastAsia="en-US"/>
        </w:rPr>
        <w:t>Annotering</w:t>
      </w:r>
      <w:r w:rsidRPr="00C870F6">
        <w:rPr>
          <w:rFonts w:eastAsia="Calibri"/>
          <w:b/>
          <w:sz w:val="22"/>
          <w:szCs w:val="22"/>
          <w:lang w:eastAsia="en-US"/>
        </w:rPr>
        <w:br/>
      </w:r>
      <w:r w:rsidR="00C870F6" w:rsidRPr="00C870F6">
        <w:rPr>
          <w:rFonts w:eastAsia="Calibri"/>
          <w:b/>
          <w:bCs/>
          <w:sz w:val="22"/>
          <w:szCs w:val="22"/>
          <w:lang w:eastAsia="en-US"/>
        </w:rPr>
        <w:t>Avsikt med behandlingen i rådet:</w:t>
      </w:r>
      <w:r w:rsidR="00C870F6" w:rsidRPr="00C870F6">
        <w:rPr>
          <w:rFonts w:eastAsia="Calibri"/>
          <w:bCs/>
          <w:sz w:val="22"/>
          <w:szCs w:val="22"/>
          <w:lang w:eastAsia="en-US"/>
        </w:rPr>
        <w:t xml:space="preserve"> </w:t>
      </w:r>
      <w:r w:rsidR="00C870F6" w:rsidRPr="00C870F6">
        <w:rPr>
          <w:rFonts w:eastAsia="Calibri"/>
          <w:sz w:val="22"/>
          <w:szCs w:val="22"/>
          <w:lang w:eastAsia="en-US"/>
        </w:rPr>
        <w:t>Rådet föreslås nå en principöverenskommelse om utkastet till rådets beslut och att besluta att vidarebefordra utkasten till rådets beslut till Europaparlamentet för godkännande.</w:t>
      </w:r>
    </w:p>
    <w:p w14:paraId="262EB965" w14:textId="3CC1AB4F" w:rsidR="00C870F6" w:rsidRPr="00C870F6" w:rsidRDefault="00C870F6" w:rsidP="00C870F6">
      <w:pPr>
        <w:pStyle w:val="Normalwebb"/>
        <w:shd w:val="clear" w:color="auto" w:fill="FFFFFF"/>
        <w:ind w:left="714"/>
        <w:textAlignment w:val="top"/>
        <w:rPr>
          <w:rFonts w:eastAsia="Calibri"/>
          <w:b/>
          <w:sz w:val="22"/>
          <w:szCs w:val="22"/>
          <w:lang w:eastAsia="en-US"/>
        </w:rPr>
      </w:pPr>
      <w:r w:rsidRPr="00C870F6">
        <w:rPr>
          <w:rFonts w:eastAsia="Calibri"/>
          <w:b/>
          <w:bCs/>
          <w:sz w:val="22"/>
          <w:szCs w:val="22"/>
          <w:lang w:eastAsia="en-US"/>
        </w:rPr>
        <w:t>Hur regeringen ställer sig till den blivande A-punkten:</w:t>
      </w:r>
      <w:r>
        <w:rPr>
          <w:rFonts w:eastAsia="Calibri"/>
          <w:b/>
          <w:bCs/>
          <w:sz w:val="22"/>
          <w:szCs w:val="22"/>
          <w:lang w:eastAsia="en-US"/>
        </w:rPr>
        <w:t xml:space="preserve"> </w:t>
      </w:r>
      <w:r w:rsidRPr="00C870F6">
        <w:rPr>
          <w:rFonts w:eastAsia="Calibri"/>
          <w:sz w:val="22"/>
          <w:szCs w:val="22"/>
          <w:lang w:eastAsia="en-US"/>
        </w:rPr>
        <w:t>Sverige bör rösta ja till att rådet antar ordförandeskapets kompromissförslag i dokument 13806/15 och 14112/15 och att utkasten till rådsbeslut vidarebefordras till Europaparlamentet för godkännande.</w:t>
      </w:r>
    </w:p>
    <w:p w14:paraId="1A3D53FF" w14:textId="023B4F6C" w:rsidR="00C870F6" w:rsidRPr="00C870F6" w:rsidRDefault="00C870F6" w:rsidP="00C870F6">
      <w:pPr>
        <w:pStyle w:val="Normalwebb"/>
        <w:shd w:val="clear" w:color="auto" w:fill="FFFFFF"/>
        <w:ind w:left="714"/>
        <w:textAlignment w:val="top"/>
        <w:rPr>
          <w:rFonts w:eastAsia="Calibri"/>
          <w:sz w:val="22"/>
          <w:szCs w:val="22"/>
          <w:lang w:eastAsia="en-US"/>
        </w:rPr>
      </w:pPr>
      <w:r w:rsidRPr="00C870F6">
        <w:rPr>
          <w:rFonts w:eastAsia="Calibri"/>
          <w:b/>
          <w:bCs/>
          <w:sz w:val="22"/>
          <w:szCs w:val="22"/>
          <w:lang w:eastAsia="en-US"/>
        </w:rPr>
        <w:t xml:space="preserve">Bakgrund: </w:t>
      </w:r>
      <w:r w:rsidRPr="00C870F6">
        <w:rPr>
          <w:rFonts w:eastAsia="Calibri"/>
          <w:sz w:val="22"/>
          <w:szCs w:val="22"/>
          <w:lang w:eastAsia="en-US"/>
        </w:rPr>
        <w:t>2010 års HNS-konvention innehåller regler om ansvar för skador i samband med sjötransport av vissa farliga och skadliga ämnen (HNS eller ”</w:t>
      </w:r>
      <w:proofErr w:type="spellStart"/>
      <w:r w:rsidRPr="00C870F6">
        <w:rPr>
          <w:rFonts w:eastAsia="Calibri"/>
          <w:sz w:val="22"/>
          <w:szCs w:val="22"/>
          <w:lang w:eastAsia="en-US"/>
        </w:rPr>
        <w:t>Hazardous</w:t>
      </w:r>
      <w:proofErr w:type="spellEnd"/>
      <w:r w:rsidRPr="00C870F6">
        <w:rPr>
          <w:rFonts w:eastAsia="Calibri"/>
          <w:sz w:val="22"/>
          <w:szCs w:val="22"/>
          <w:lang w:eastAsia="en-US"/>
        </w:rPr>
        <w:t xml:space="preserve"> and </w:t>
      </w:r>
      <w:proofErr w:type="spellStart"/>
      <w:r w:rsidRPr="00C870F6">
        <w:rPr>
          <w:rFonts w:eastAsia="Calibri"/>
          <w:sz w:val="22"/>
          <w:szCs w:val="22"/>
          <w:lang w:eastAsia="en-US"/>
        </w:rPr>
        <w:t>Noxious</w:t>
      </w:r>
      <w:proofErr w:type="spellEnd"/>
      <w:r w:rsidRPr="00C870F6">
        <w:rPr>
          <w:rFonts w:eastAsia="Calibri"/>
          <w:sz w:val="22"/>
          <w:szCs w:val="22"/>
          <w:lang w:eastAsia="en-US"/>
        </w:rPr>
        <w:t xml:space="preserve"> </w:t>
      </w:r>
      <w:proofErr w:type="spellStart"/>
      <w:r w:rsidRPr="00C870F6">
        <w:rPr>
          <w:rFonts w:eastAsia="Calibri"/>
          <w:sz w:val="22"/>
          <w:szCs w:val="22"/>
          <w:lang w:eastAsia="en-US"/>
        </w:rPr>
        <w:t>Substances</w:t>
      </w:r>
      <w:proofErr w:type="spellEnd"/>
      <w:r w:rsidRPr="00C870F6">
        <w:rPr>
          <w:rFonts w:eastAsia="Calibri"/>
          <w:sz w:val="22"/>
          <w:szCs w:val="22"/>
          <w:lang w:eastAsia="en-US"/>
        </w:rPr>
        <w:t xml:space="preserve">”). I juni i år lade kommissionen fram två parallella förslag som innebär att </w:t>
      </w:r>
      <w:r w:rsidR="00E24BC1" w:rsidRPr="00C870F6">
        <w:rPr>
          <w:rFonts w:eastAsia="Calibri"/>
          <w:sz w:val="22"/>
          <w:szCs w:val="22"/>
          <w:lang w:eastAsia="en-US"/>
        </w:rPr>
        <w:t>medlemsstaterna</w:t>
      </w:r>
      <w:r w:rsidRPr="00C870F6">
        <w:rPr>
          <w:rFonts w:eastAsia="Calibri"/>
          <w:sz w:val="22"/>
          <w:szCs w:val="22"/>
          <w:lang w:eastAsia="en-US"/>
        </w:rPr>
        <w:t xml:space="preserve"> ska bemyndigas att tillträda konventionen, där det ena förslaget tar sikte på </w:t>
      </w:r>
      <w:r w:rsidRPr="00C870F6">
        <w:rPr>
          <w:rFonts w:eastAsia="Calibri"/>
          <w:sz w:val="22"/>
          <w:szCs w:val="22"/>
          <w:lang w:eastAsia="en-US"/>
        </w:rPr>
        <w:lastRenderedPageBreak/>
        <w:t xml:space="preserve">frågor som berör frågor om civilrättsligt samarbete. Förslagen från kommissionen bygger på att hela konventionen omfattas av exklusiv unionskompetens. Under ordförandeskapets ledning har kommissionens förslag omarbetats. Kompromissförslagen utgår från att kompetensen i förhållande till konventionen är delad mellan EU och dess medlemsstater. Dessutom har medlemsstaternas skyldighet att tillträda konventionen skrivits mindre skarpt i kompromissförslagen. Sverige – som har i </w:t>
      </w:r>
      <w:r w:rsidR="00E24BC1" w:rsidRPr="00C870F6">
        <w:rPr>
          <w:rFonts w:eastAsia="Calibri"/>
          <w:sz w:val="22"/>
          <w:szCs w:val="22"/>
          <w:lang w:eastAsia="en-US"/>
        </w:rPr>
        <w:t>ifrågasatt</w:t>
      </w:r>
      <w:r w:rsidRPr="00C870F6">
        <w:rPr>
          <w:rFonts w:eastAsia="Calibri"/>
          <w:sz w:val="22"/>
          <w:szCs w:val="22"/>
          <w:lang w:eastAsia="en-US"/>
        </w:rPr>
        <w:t xml:space="preserve"> kommissionens bedömning när det gäller kompetensfrågan – är positivt inställt till ett tillträde till konventionen och stödjer ordförandeskapets kompromissförslag. </w:t>
      </w:r>
    </w:p>
    <w:p w14:paraId="6D68CD43" w14:textId="77777777" w:rsidR="00643D86" w:rsidRDefault="000F7E1D" w:rsidP="00643D86">
      <w:pPr>
        <w:pStyle w:val="Rubrik1"/>
      </w:pPr>
      <w:bookmarkStart w:id="6" w:name="_Toc437345435"/>
      <w:r>
        <w:rPr>
          <w:noProof/>
        </w:rPr>
        <w:t>Règlement (UE) …/… de la Commission du XXX portant mise en œuvre du règlement (CE) nº 1177/2003 du Parlement européen et du Conseil relatif aux statistiques communautaires sur le revenu et les conditions de vie (EU-SILC), en ce qui concerne la liste 2017 des variables cibles secondaires relatives à la santé et à la santé des enfants</w:t>
      </w:r>
      <w:bookmarkEnd w:id="6"/>
    </w:p>
    <w:p w14:paraId="6D68CD44" w14:textId="77777777" w:rsidR="00643D86" w:rsidRDefault="000F7E1D" w:rsidP="00643D86">
      <w:pPr>
        <w:rPr>
          <w:lang w:val="en-US"/>
        </w:rPr>
      </w:pPr>
      <w:r>
        <w:rPr>
          <w:noProof/>
          <w:lang w:val="en-US"/>
        </w:rPr>
        <w:t>Décision</w:t>
      </w:r>
      <w:r>
        <w:rPr>
          <w:lang w:val="en-US"/>
        </w:rPr>
        <w:t xml:space="preserve"> de ne pas </w:t>
      </w:r>
      <w:proofErr w:type="spellStart"/>
      <w:r>
        <w:rPr>
          <w:lang w:val="en-US"/>
        </w:rPr>
        <w:t>s'opposer</w:t>
      </w:r>
      <w:proofErr w:type="spellEnd"/>
      <w:r>
        <w:rPr>
          <w:lang w:val="en-US"/>
        </w:rPr>
        <w:t xml:space="preserve"> à l'adoption12998/15 STATIS 76 SOC 582 EMPL 33112658/15 STATIS 73 SOC 556 SAN 320+ REV 1 (lv)+ ADD 1</w:t>
      </w:r>
      <w:r>
        <w:rPr>
          <w:lang w:val="en-US"/>
        </w:rPr>
        <w:br/>
      </w:r>
      <w:r>
        <w:rPr>
          <w:noProof/>
          <w:lang w:val="en-US"/>
        </w:rPr>
        <w:t>12998</w:t>
      </w:r>
      <w:r>
        <w:rPr>
          <w:lang w:val="en-US"/>
        </w:rPr>
        <w:t>/15 STATIS 76 SOC 582 EMPL 33112658/15 STATIS 73 SOC 556 SAN 320+ REV 1 (lv)+ ADD 1</w:t>
      </w:r>
    </w:p>
    <w:p w14:paraId="6D68CD45" w14:textId="77777777" w:rsidR="00643D86" w:rsidRDefault="000F7E1D" w:rsidP="00643D86">
      <w:r>
        <w:rPr>
          <w:b/>
        </w:rPr>
        <w:t>Ansvarigt statsråd</w:t>
      </w:r>
      <w:r>
        <w:rPr>
          <w:b/>
        </w:rPr>
        <w:br/>
      </w:r>
      <w:r>
        <w:rPr>
          <w:noProof/>
        </w:rPr>
        <w:t>Ardalan Shekarabi</w:t>
      </w:r>
    </w:p>
    <w:p w14:paraId="6D68CD48" w14:textId="77777777" w:rsidR="00643D86" w:rsidRDefault="000F7E1D" w:rsidP="00643D86">
      <w:r w:rsidRPr="00B44CE2">
        <w:rPr>
          <w:b/>
        </w:rPr>
        <w:t>Annotering</w:t>
      </w:r>
      <w:r>
        <w:rPr>
          <w:b/>
        </w:rPr>
        <w:br/>
      </w:r>
      <w:r>
        <w:rPr>
          <w:b/>
          <w:bCs/>
        </w:rPr>
        <w:t>Avsikt med behandlingen i rådet:</w:t>
      </w:r>
      <w:r>
        <w:t xml:space="preserve"> Rådet ska bekräfta att man inte motsätter sig rättsakten. </w:t>
      </w:r>
    </w:p>
    <w:p w14:paraId="6D68CD49" w14:textId="77777777" w:rsidR="00A70E69" w:rsidRDefault="000F7E1D">
      <w:pPr>
        <w:spacing w:after="280" w:afterAutospacing="1"/>
      </w:pPr>
      <w:r>
        <w:rPr>
          <w:b/>
          <w:bCs/>
        </w:rPr>
        <w:t>Hur regeringen ställer sig till den blivande A-punkten:</w:t>
      </w:r>
      <w:r>
        <w:t xml:space="preserve"> Regeringen godkänner A-punkten. </w:t>
      </w:r>
    </w:p>
    <w:p w14:paraId="6D68CD4A" w14:textId="77777777" w:rsidR="00A70E69" w:rsidRDefault="000F7E1D">
      <w:pPr>
        <w:spacing w:after="280" w:afterAutospacing="1"/>
      </w:pPr>
      <w:r>
        <w:rPr>
          <w:b/>
          <w:bCs/>
        </w:rPr>
        <w:t xml:space="preserve">Bakgrund: </w:t>
      </w:r>
      <w:r>
        <w:t>I Europaparlamentets och rådets förordning (EG) nr 1177/2003 inrättades en gemensam ram för systematisk framställning av europeisk statistik över inkomst- och levnadsvillkor (EU-SILC), för att säkerställa att jämförbara och aktuella tvärsnittsdata och longitudinella data över inkomst och graden och sammansättningen av fattigdom och social utslagning finns på nationell nivå och EU-nivå.</w:t>
      </w:r>
    </w:p>
    <w:p w14:paraId="6D68CD4C" w14:textId="7BD97F3B" w:rsidR="00FB32B9" w:rsidRDefault="000F7E1D">
      <w:pPr>
        <w:spacing w:after="280" w:afterAutospacing="1"/>
        <w:rPr>
          <w:noProof/>
        </w:rPr>
      </w:pPr>
      <w:r>
        <w:t>Enligt artikel 15 i nämnda förordning bör genomförandeåtgärder antas varje år för att ange sekundära målområden och variabler som ska ingå det året i tvärsnittsdelen av EU-SILC. Genomförandeåtgärder som specificerar sekundära målvariablerna och deras identifierare för 2017 års modul om hälsa och barns hälsa bör därför antas.</w:t>
      </w:r>
    </w:p>
    <w:p w14:paraId="6D68CD4D" w14:textId="77777777" w:rsidR="00643D86" w:rsidRDefault="000F7E1D" w:rsidP="00643D86">
      <w:pPr>
        <w:pStyle w:val="Rubrik1"/>
      </w:pPr>
      <w:bookmarkStart w:id="7" w:name="_Toc437345436"/>
      <w:r>
        <w:rPr>
          <w:noProof/>
        </w:rPr>
        <w:t>Règlement (UE) …/… de la Commission du XXX modifiant les annexes II, III et V du règlement (CE) nº 396/2005 du Parlement européen et du Conseil en ce qui concerne les limites maximales applicables aux résidus de 1-méthylcyclopropène, de flonicamide, de flutriafol, d’acide indolacétique, d’acide indolebutyrique, de pethoxamide, de pirimicarbe, de prothioconazole et de téflubenzuron présents dans ou sur certains produits.</w:t>
      </w:r>
      <w:bookmarkEnd w:id="7"/>
    </w:p>
    <w:p w14:paraId="6D68CD4E" w14:textId="375A762A" w:rsidR="00643D86" w:rsidRDefault="000F7E1D" w:rsidP="00643D86">
      <w:pPr>
        <w:rPr>
          <w:lang w:val="en-US"/>
        </w:rPr>
      </w:pPr>
      <w:r>
        <w:rPr>
          <w:lang w:val="en-US"/>
        </w:rPr>
        <w:br/>
      </w:r>
      <w:r>
        <w:rPr>
          <w:noProof/>
          <w:lang w:val="en-US"/>
        </w:rPr>
        <w:t>14796</w:t>
      </w:r>
      <w:r>
        <w:rPr>
          <w:lang w:val="en-US"/>
        </w:rPr>
        <w:t>/15 AGRILEG 234</w:t>
      </w:r>
      <w:r w:rsidR="00E24BC1">
        <w:rPr>
          <w:lang w:val="en-US"/>
        </w:rPr>
        <w:t xml:space="preserve"> </w:t>
      </w:r>
      <w:r>
        <w:rPr>
          <w:lang w:val="en-US"/>
        </w:rPr>
        <w:t xml:space="preserve">14048/15 AGRILEG 221+ ADD 1+ ADD 2 </w:t>
      </w:r>
    </w:p>
    <w:p w14:paraId="6D68CD4F" w14:textId="77777777" w:rsidR="00643D86" w:rsidRDefault="000F7E1D" w:rsidP="00643D86">
      <w:r>
        <w:rPr>
          <w:b/>
        </w:rPr>
        <w:t>Ansvarigt statsråd</w:t>
      </w:r>
      <w:r>
        <w:rPr>
          <w:b/>
        </w:rPr>
        <w:br/>
      </w:r>
      <w:r>
        <w:rPr>
          <w:noProof/>
        </w:rPr>
        <w:t>Sven-Erik Bucht</w:t>
      </w:r>
    </w:p>
    <w:p w14:paraId="6D68CD52" w14:textId="77777777" w:rsidR="00643D86" w:rsidRDefault="000F7E1D" w:rsidP="00643D86">
      <w:r w:rsidRPr="00B44CE2">
        <w:rPr>
          <w:b/>
        </w:rPr>
        <w:lastRenderedPageBreak/>
        <w:t>Annotering</w:t>
      </w:r>
      <w:r>
        <w:rPr>
          <w:b/>
        </w:rPr>
        <w:br/>
      </w:r>
      <w:r>
        <w:t>Föranleder ingen annotering.</w:t>
      </w:r>
    </w:p>
    <w:p w14:paraId="6D68CD53" w14:textId="77777777" w:rsidR="00643D86" w:rsidRDefault="000F7E1D" w:rsidP="00643D86">
      <w:pPr>
        <w:pStyle w:val="Rubrik1"/>
      </w:pPr>
      <w:bookmarkStart w:id="8" w:name="_Toc437345437"/>
      <w:r>
        <w:rPr>
          <w:noProof/>
        </w:rPr>
        <w:t>Règlement (UE) …/… de la Commission du XXX modifiant l’annexe III du règlement (CE) nº 396/2005 du Parlement européen et du Conseil en ce qui concerne les limites maximales applicables aux résidus de fosétyl présents dans ou sur certains produits.</w:t>
      </w:r>
      <w:bookmarkEnd w:id="8"/>
    </w:p>
    <w:p w14:paraId="7FA0FB1A" w14:textId="77777777" w:rsidR="007736CD" w:rsidRDefault="000F7E1D" w:rsidP="00643D86">
      <w:pPr>
        <w:rPr>
          <w:lang w:val="en-US"/>
        </w:rPr>
      </w:pPr>
      <w:r>
        <w:rPr>
          <w:noProof/>
          <w:lang w:val="en-US"/>
        </w:rPr>
        <w:t>Décision</w:t>
      </w:r>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D68CD54" w14:textId="45909AC3" w:rsidR="00643D86" w:rsidRDefault="000F7E1D" w:rsidP="00643D86">
      <w:pPr>
        <w:rPr>
          <w:lang w:val="en-US"/>
        </w:rPr>
      </w:pPr>
      <w:r>
        <w:rPr>
          <w:noProof/>
          <w:lang w:val="en-US"/>
        </w:rPr>
        <w:t>14793</w:t>
      </w:r>
      <w:r>
        <w:rPr>
          <w:lang w:val="en-US"/>
        </w:rPr>
        <w:t>/15 AGRILEG 232</w:t>
      </w:r>
      <w:r w:rsidR="007736CD">
        <w:rPr>
          <w:lang w:val="en-US"/>
        </w:rPr>
        <w:t xml:space="preserve"> </w:t>
      </w:r>
      <w:r>
        <w:rPr>
          <w:lang w:val="en-US"/>
        </w:rPr>
        <w:t>13992/15 AGRILEG 220+ ADD 1+ ADD 2</w:t>
      </w:r>
    </w:p>
    <w:p w14:paraId="6D68CD55" w14:textId="77777777" w:rsidR="00643D86" w:rsidRDefault="000F7E1D" w:rsidP="00643D86">
      <w:r>
        <w:rPr>
          <w:b/>
        </w:rPr>
        <w:t>Ansvarigt statsråd</w:t>
      </w:r>
      <w:r>
        <w:rPr>
          <w:b/>
        </w:rPr>
        <w:br/>
      </w:r>
      <w:r>
        <w:rPr>
          <w:noProof/>
        </w:rPr>
        <w:t>Sven-Erik Bucht</w:t>
      </w:r>
    </w:p>
    <w:p w14:paraId="6D68CD58" w14:textId="77777777" w:rsidR="00643D86" w:rsidRDefault="000F7E1D" w:rsidP="00643D86">
      <w:r w:rsidRPr="00B44CE2">
        <w:rPr>
          <w:b/>
        </w:rPr>
        <w:t>Annotering</w:t>
      </w:r>
      <w:r>
        <w:rPr>
          <w:b/>
        </w:rPr>
        <w:br/>
      </w:r>
      <w:r>
        <w:t>Föranleder ingen annotering.</w:t>
      </w:r>
    </w:p>
    <w:p w14:paraId="6D68CD59" w14:textId="77777777" w:rsidR="00643D86" w:rsidRDefault="000F7E1D" w:rsidP="00643D86">
      <w:pPr>
        <w:pStyle w:val="Rubrik1"/>
      </w:pPr>
      <w:bookmarkStart w:id="9" w:name="_Toc437345438"/>
      <w:r>
        <w:rPr>
          <w:noProof/>
        </w:rPr>
        <w:t>OMI - Projet de proposition de l'Union à présenter lors de la 3ème session du sous-comité de la prévention de la pollution et de l'intervention (PPR 3) de l'OMI qui se tiendra à Londres du 15 au 19 février 2016, en ce qui concerne les amendements à la note de livraison de soutes visant à permettre la fourniture de fuel-oil non conforme à la règle 14 de l'annexe VI de MARPOL</w:t>
      </w:r>
      <w:bookmarkEnd w:id="9"/>
    </w:p>
    <w:p w14:paraId="578E0341" w14:textId="77777777" w:rsidR="007736CD" w:rsidRDefault="000F7E1D" w:rsidP="00643D86">
      <w:pPr>
        <w:rPr>
          <w:noProof/>
          <w:lang w:val="en-US"/>
        </w:rPr>
      </w:pPr>
      <w:r>
        <w:rPr>
          <w:noProof/>
          <w:lang w:val="en-US"/>
        </w:rPr>
        <w:t>Approbation</w:t>
      </w:r>
    </w:p>
    <w:p w14:paraId="6D68CD5A" w14:textId="7DF826BD" w:rsidR="00643D86" w:rsidRDefault="000F7E1D" w:rsidP="00643D86">
      <w:pPr>
        <w:rPr>
          <w:lang w:val="en-US"/>
        </w:rPr>
      </w:pPr>
      <w:r>
        <w:rPr>
          <w:noProof/>
          <w:lang w:val="en-US"/>
        </w:rPr>
        <w:t>14847</w:t>
      </w:r>
      <w:r>
        <w:rPr>
          <w:lang w:val="en-US"/>
        </w:rPr>
        <w:t xml:space="preserve">/15 </w:t>
      </w:r>
      <w:proofErr w:type="gramStart"/>
      <w:r>
        <w:rPr>
          <w:lang w:val="en-US"/>
        </w:rPr>
        <w:t>MAR</w:t>
      </w:r>
      <w:proofErr w:type="gramEnd"/>
      <w:r>
        <w:rPr>
          <w:lang w:val="en-US"/>
        </w:rPr>
        <w:t xml:space="preserve"> 164 OMI 16 ENV 757 </w:t>
      </w:r>
    </w:p>
    <w:p w14:paraId="6D68CD5B" w14:textId="77777777" w:rsidR="00643D86" w:rsidRDefault="000F7E1D" w:rsidP="00643D86">
      <w:r>
        <w:rPr>
          <w:b/>
        </w:rPr>
        <w:t>Ansvarigt statsråd</w:t>
      </w:r>
      <w:r>
        <w:rPr>
          <w:b/>
        </w:rPr>
        <w:br/>
      </w:r>
      <w:r>
        <w:rPr>
          <w:noProof/>
        </w:rPr>
        <w:t>Anna Johansson</w:t>
      </w:r>
    </w:p>
    <w:p w14:paraId="6D68CD60" w14:textId="62CD4AE7" w:rsidR="00A70E69" w:rsidRDefault="000F7E1D" w:rsidP="007736CD">
      <w:r w:rsidRPr="00B44CE2">
        <w:rPr>
          <w:b/>
        </w:rPr>
        <w:t>Annotering</w:t>
      </w:r>
      <w:r>
        <w:rPr>
          <w:b/>
        </w:rPr>
        <w:br/>
      </w:r>
      <w:r>
        <w:rPr>
          <w:b/>
          <w:bCs/>
        </w:rPr>
        <w:t>Avsikt med behandlingen i rådet:</w:t>
      </w:r>
      <w:r w:rsidR="007736CD">
        <w:rPr>
          <w:b/>
          <w:bCs/>
        </w:rPr>
        <w:t xml:space="preserve"> </w:t>
      </w:r>
      <w:r>
        <w:t xml:space="preserve">Att godkänna inlagan som ska skickas till IMO senast 11 december 2015. </w:t>
      </w:r>
    </w:p>
    <w:p w14:paraId="6D68CD62" w14:textId="7B1FB5B4" w:rsidR="00A70E69" w:rsidRDefault="000F7E1D">
      <w:pPr>
        <w:spacing w:after="280" w:afterAutospacing="1"/>
      </w:pPr>
      <w:r>
        <w:rPr>
          <w:b/>
          <w:bCs/>
        </w:rPr>
        <w:t>Hur regeringen ställer sig till den blivande A-punkten:</w:t>
      </w:r>
      <w:r>
        <w:t xml:space="preserve"> Regeringen stödjer inlagan som den nu är föreslagen dvs. att EU MS och KOM står som avsändare på inlagan. </w:t>
      </w:r>
    </w:p>
    <w:p w14:paraId="6D68CD64" w14:textId="517345B2" w:rsidR="00A70E69" w:rsidRDefault="000F7E1D">
      <w:pPr>
        <w:spacing w:after="280" w:afterAutospacing="1"/>
      </w:pPr>
      <w:r>
        <w:rPr>
          <w:b/>
          <w:bCs/>
        </w:rPr>
        <w:t xml:space="preserve">Bakgrund: </w:t>
      </w:r>
      <w:r>
        <w:t xml:space="preserve">Inlagan innehåller ett förslag till tillägg i bilaga V i MARPOL konventionen Annex VI som reglerar innehåller i bunkerkvittot (Bunker </w:t>
      </w:r>
      <w:proofErr w:type="spellStart"/>
      <w:r>
        <w:t>Delievery</w:t>
      </w:r>
      <w:proofErr w:type="spellEnd"/>
      <w:r>
        <w:t xml:space="preserve"> Note). Frågan har tidigare diskuterats inom IMO:s kommittéer PPR och MEPC och syftar till att lösa problemet med att bränsleolja som inte är i överensstämmelse med svavelgränserna så som de regleras i regel 14 i Annex VI av MARPOL, inte kan </w:t>
      </w:r>
      <w:proofErr w:type="spellStart"/>
      <w:r>
        <w:t>leveras</w:t>
      </w:r>
      <w:proofErr w:type="spellEnd"/>
      <w:r>
        <w:t xml:space="preserve"> till fartyg som tillämpar ekvivalensbestämmelserna i Annex VI av MARPOL.</w:t>
      </w:r>
    </w:p>
    <w:p w14:paraId="6D68CD66" w14:textId="493D03AA" w:rsidR="00FB32B9" w:rsidRDefault="000F7E1D">
      <w:pPr>
        <w:spacing w:after="280" w:afterAutospacing="1"/>
        <w:rPr>
          <w:noProof/>
        </w:rPr>
      </w:pPr>
      <w:r>
        <w:t>MS och KOM var överens om sakinnehållet i inlagan redan på RAG, men anledningen att inlagan skickas till COREPER är att KOM anser att inlagan ska skickas in av "</w:t>
      </w:r>
      <w:r>
        <w:rPr>
          <w:i/>
          <w:iCs/>
        </w:rPr>
        <w:t xml:space="preserve">EC on </w:t>
      </w:r>
      <w:proofErr w:type="spellStart"/>
      <w:r>
        <w:rPr>
          <w:i/>
          <w:iCs/>
        </w:rPr>
        <w:t>behalf</w:t>
      </w:r>
      <w:proofErr w:type="spellEnd"/>
      <w:r>
        <w:rPr>
          <w:i/>
          <w:iCs/>
        </w:rPr>
        <w:t xml:space="preserve"> </w:t>
      </w:r>
      <w:proofErr w:type="spellStart"/>
      <w:r>
        <w:rPr>
          <w:i/>
          <w:iCs/>
        </w:rPr>
        <w:t>of</w:t>
      </w:r>
      <w:proofErr w:type="spellEnd"/>
      <w:r>
        <w:rPr>
          <w:i/>
          <w:iCs/>
        </w:rPr>
        <w:t xml:space="preserve"> the EU</w:t>
      </w:r>
      <w:r>
        <w:t xml:space="preserve">" </w:t>
      </w:r>
      <w:proofErr w:type="gramStart"/>
      <w:r>
        <w:t>medans</w:t>
      </w:r>
      <w:proofErr w:type="gramEnd"/>
      <w:r>
        <w:t xml:space="preserve"> alla MS anser att inlagan bör skickas in av "</w:t>
      </w:r>
      <w:r>
        <w:rPr>
          <w:i/>
          <w:iCs/>
        </w:rPr>
        <w:t>the MS and the EC</w:t>
      </w:r>
      <w:r>
        <w:t xml:space="preserve">". </w:t>
      </w:r>
      <w:proofErr w:type="gramStart"/>
      <w:r>
        <w:t>KOM</w:t>
      </w:r>
      <w:proofErr w:type="gramEnd"/>
      <w:r>
        <w:t xml:space="preserve"> </w:t>
      </w:r>
      <w:proofErr w:type="gramStart"/>
      <w:r>
        <w:t>kommer</w:t>
      </w:r>
      <w:proofErr w:type="gramEnd"/>
      <w:r>
        <w:t xml:space="preserve"> därför lägga en reservation utifrån deras ståndpunkt.</w:t>
      </w:r>
    </w:p>
    <w:p w14:paraId="6D68CD67" w14:textId="77777777" w:rsidR="00643D86" w:rsidRDefault="000F7E1D" w:rsidP="00643D86">
      <w:pPr>
        <w:pStyle w:val="Rubrik1"/>
      </w:pPr>
      <w:bookmarkStart w:id="10" w:name="_Toc437345439"/>
      <w:r>
        <w:rPr>
          <w:noProof/>
        </w:rPr>
        <w:lastRenderedPageBreak/>
        <w:t>OMI - Projet de proposition de l'Union à présenter lors de la 3 ème session du sous-comité de la prévention de la pollution et de l'intervention (PPR 3) de l'OMI qui se tiendra à Londres du 15 au 19 février 2016, en ce qui concerne les directives relatives à l'échantillonnage à bord et à la vérification de la teneur en soufre des fuel-oils utilisés à bord des navires</w:t>
      </w:r>
      <w:bookmarkEnd w:id="10"/>
    </w:p>
    <w:p w14:paraId="77C2764D" w14:textId="77777777" w:rsidR="007736CD" w:rsidRDefault="000F7E1D" w:rsidP="00643D86">
      <w:pPr>
        <w:rPr>
          <w:noProof/>
          <w:lang w:val="en-US"/>
        </w:rPr>
      </w:pPr>
      <w:r>
        <w:rPr>
          <w:noProof/>
          <w:lang w:val="en-US"/>
        </w:rPr>
        <w:t>Approbation</w:t>
      </w:r>
    </w:p>
    <w:p w14:paraId="6D68CD68" w14:textId="06DE5B7B" w:rsidR="00643D86" w:rsidRDefault="000F7E1D" w:rsidP="00643D86">
      <w:pPr>
        <w:rPr>
          <w:lang w:val="en-US"/>
        </w:rPr>
      </w:pPr>
      <w:r>
        <w:rPr>
          <w:noProof/>
          <w:lang w:val="en-US"/>
        </w:rPr>
        <w:t>14848</w:t>
      </w:r>
      <w:r>
        <w:rPr>
          <w:lang w:val="en-US"/>
        </w:rPr>
        <w:t xml:space="preserve">/15 </w:t>
      </w:r>
      <w:proofErr w:type="gramStart"/>
      <w:r>
        <w:rPr>
          <w:lang w:val="en-US"/>
        </w:rPr>
        <w:t>MAR</w:t>
      </w:r>
      <w:proofErr w:type="gramEnd"/>
      <w:r>
        <w:rPr>
          <w:lang w:val="en-US"/>
        </w:rPr>
        <w:t xml:space="preserve"> 165 OMI 17 ENV 758 </w:t>
      </w:r>
    </w:p>
    <w:p w14:paraId="6D68CD69" w14:textId="77777777" w:rsidR="00643D86" w:rsidRDefault="000F7E1D" w:rsidP="00643D86">
      <w:r>
        <w:rPr>
          <w:b/>
        </w:rPr>
        <w:t>Ansvarigt statsråd</w:t>
      </w:r>
      <w:r>
        <w:rPr>
          <w:b/>
        </w:rPr>
        <w:br/>
      </w:r>
      <w:r>
        <w:rPr>
          <w:noProof/>
        </w:rPr>
        <w:t>Anna johansson</w:t>
      </w:r>
    </w:p>
    <w:p w14:paraId="6D68CD6E" w14:textId="0BAE00DD" w:rsidR="00A70E69" w:rsidRDefault="000F7E1D" w:rsidP="007736CD">
      <w:r w:rsidRPr="00B44CE2">
        <w:rPr>
          <w:b/>
        </w:rPr>
        <w:t>Annotering</w:t>
      </w:r>
      <w:r>
        <w:rPr>
          <w:b/>
        </w:rPr>
        <w:br/>
      </w:r>
      <w:r>
        <w:rPr>
          <w:b/>
          <w:bCs/>
        </w:rPr>
        <w:t>Avsikt med behandlingen i rådet:</w:t>
      </w:r>
      <w:r w:rsidR="007736CD">
        <w:rPr>
          <w:b/>
          <w:bCs/>
        </w:rPr>
        <w:t xml:space="preserve"> </w:t>
      </w:r>
      <w:r>
        <w:t xml:space="preserve">Att godkänna inlagan som ska skickas till IMO senast 11 december 2015. </w:t>
      </w:r>
    </w:p>
    <w:p w14:paraId="6D68CD70" w14:textId="689665A7" w:rsidR="00A70E69" w:rsidRDefault="000F7E1D">
      <w:pPr>
        <w:spacing w:after="280" w:afterAutospacing="1"/>
      </w:pPr>
      <w:r>
        <w:rPr>
          <w:b/>
          <w:bCs/>
        </w:rPr>
        <w:t>Hur regeringen ställer sig till den blivande A-punkten:</w:t>
      </w:r>
      <w:r>
        <w:t xml:space="preserve"> Regeringen stödjer inlagan som den nu är föreslagen dvs. att EU MS och KOM står som avsändare på inlagan. </w:t>
      </w:r>
    </w:p>
    <w:p w14:paraId="6D68CD72" w14:textId="66610C54" w:rsidR="00A70E69" w:rsidRDefault="000F7E1D">
      <w:pPr>
        <w:spacing w:after="280" w:afterAutospacing="1"/>
      </w:pPr>
      <w:r>
        <w:rPr>
          <w:b/>
          <w:bCs/>
        </w:rPr>
        <w:t xml:space="preserve">Bakgrund: </w:t>
      </w:r>
      <w:r>
        <w:t>Inlagan vidareutvecklar förslaget från DK och NO till MEPC 68 rörande riktlinjer för provtagning och verifiering av svavelhalten i bränslet ombord och innehåller förslag på sådana riktlinjer.</w:t>
      </w:r>
    </w:p>
    <w:p w14:paraId="6D68CD74" w14:textId="0ED9EEDC" w:rsidR="00FB32B9" w:rsidRDefault="000F7E1D">
      <w:pPr>
        <w:spacing w:after="280" w:afterAutospacing="1"/>
        <w:rPr>
          <w:noProof/>
        </w:rPr>
      </w:pPr>
      <w:r>
        <w:t xml:space="preserve">MS och KOM var överens om sakinnehållet i inlagan redan på RAG, men anledningen att inlagan skickas till COREPER är att KOM anser att inlagan ska skickas in av "EC on </w:t>
      </w:r>
      <w:proofErr w:type="spellStart"/>
      <w:r>
        <w:t>behalf</w:t>
      </w:r>
      <w:proofErr w:type="spellEnd"/>
      <w:r>
        <w:t xml:space="preserve"> </w:t>
      </w:r>
      <w:proofErr w:type="spellStart"/>
      <w:r>
        <w:t>of</w:t>
      </w:r>
      <w:proofErr w:type="spellEnd"/>
      <w:r>
        <w:t xml:space="preserve"> the EU" </w:t>
      </w:r>
      <w:proofErr w:type="gramStart"/>
      <w:r>
        <w:t>medans</w:t>
      </w:r>
      <w:proofErr w:type="gramEnd"/>
      <w:r>
        <w:t xml:space="preserve"> alla MS anser att inlagan bör skickas in av "the MS and the EC". </w:t>
      </w:r>
      <w:proofErr w:type="gramStart"/>
      <w:r>
        <w:t>KOM</w:t>
      </w:r>
      <w:proofErr w:type="gramEnd"/>
      <w:r>
        <w:t xml:space="preserve"> </w:t>
      </w:r>
      <w:proofErr w:type="gramStart"/>
      <w:r>
        <w:t>kommer</w:t>
      </w:r>
      <w:proofErr w:type="gramEnd"/>
      <w:r>
        <w:t xml:space="preserve"> därför lägga en reservation utifrån deras ståndpunkt.</w:t>
      </w:r>
    </w:p>
    <w:p w14:paraId="6D68CD75" w14:textId="77777777" w:rsidR="00643D86" w:rsidRDefault="000F7E1D" w:rsidP="00643D86">
      <w:pPr>
        <w:pStyle w:val="Rubrik1"/>
      </w:pPr>
      <w:bookmarkStart w:id="11" w:name="_Toc437345440"/>
      <w:r>
        <w:rPr>
          <w:noProof/>
        </w:rPr>
        <w:t>OMI - Projet de proposition de l'Union à présenter lors de la 3 ème session du sous-comité de la navigation, des communications et de la recherche et du sauvetage (NCSR 3) de l'OMI qui se tiendra à Londres du 29 février au 4 mars 2016, en ce qui concerne la reconnaissance du système Galileo en tant qu'élément du système mondial de radionavigation de l'OMI</w:t>
      </w:r>
      <w:bookmarkEnd w:id="11"/>
    </w:p>
    <w:p w14:paraId="39FD1191" w14:textId="77777777" w:rsidR="007736CD" w:rsidRDefault="000F7E1D" w:rsidP="00643D86">
      <w:pPr>
        <w:rPr>
          <w:noProof/>
          <w:lang w:val="en-US"/>
        </w:rPr>
      </w:pPr>
      <w:r>
        <w:rPr>
          <w:noProof/>
          <w:lang w:val="en-US"/>
        </w:rPr>
        <w:t>Approbation</w:t>
      </w:r>
    </w:p>
    <w:p w14:paraId="6D68CD76" w14:textId="6364D625" w:rsidR="00643D86" w:rsidRDefault="000F7E1D" w:rsidP="00643D86">
      <w:pPr>
        <w:rPr>
          <w:lang w:val="en-US"/>
        </w:rPr>
      </w:pPr>
      <w:r>
        <w:rPr>
          <w:noProof/>
          <w:lang w:val="en-US"/>
        </w:rPr>
        <w:t>14849</w:t>
      </w:r>
      <w:r>
        <w:rPr>
          <w:lang w:val="en-US"/>
        </w:rPr>
        <w:t xml:space="preserve">/15 </w:t>
      </w:r>
      <w:proofErr w:type="gramStart"/>
      <w:r>
        <w:rPr>
          <w:lang w:val="en-US"/>
        </w:rPr>
        <w:t>MAR</w:t>
      </w:r>
      <w:proofErr w:type="gramEnd"/>
      <w:r>
        <w:rPr>
          <w:lang w:val="en-US"/>
        </w:rPr>
        <w:t xml:space="preserve"> 166 OMI 18</w:t>
      </w:r>
    </w:p>
    <w:p w14:paraId="6D68CD77" w14:textId="77777777" w:rsidR="00643D86" w:rsidRDefault="000F7E1D" w:rsidP="00643D86">
      <w:r>
        <w:rPr>
          <w:b/>
        </w:rPr>
        <w:t>Ansvarigt statsråd</w:t>
      </w:r>
      <w:r>
        <w:rPr>
          <w:b/>
        </w:rPr>
        <w:br/>
      </w:r>
      <w:r>
        <w:rPr>
          <w:noProof/>
        </w:rPr>
        <w:t>Anna johansson</w:t>
      </w:r>
    </w:p>
    <w:p w14:paraId="6D68CD7C" w14:textId="01403840" w:rsidR="00A70E69" w:rsidRDefault="000F7E1D" w:rsidP="007736CD">
      <w:r w:rsidRPr="00B44CE2">
        <w:rPr>
          <w:b/>
        </w:rPr>
        <w:t>Annotering</w:t>
      </w:r>
      <w:r>
        <w:rPr>
          <w:b/>
        </w:rPr>
        <w:br/>
      </w:r>
      <w:r>
        <w:rPr>
          <w:b/>
          <w:bCs/>
        </w:rPr>
        <w:t xml:space="preserve">Avsikt med behandlingen i rådet: </w:t>
      </w:r>
      <w:r>
        <w:t xml:space="preserve">Att godkänna inlagan som ska skickas till IMO senast 25 december 2015. </w:t>
      </w:r>
    </w:p>
    <w:p w14:paraId="6D68CD7E" w14:textId="73FADCFD" w:rsidR="00A70E69" w:rsidRDefault="000F7E1D">
      <w:pPr>
        <w:spacing w:after="280" w:afterAutospacing="1"/>
      </w:pPr>
      <w:r>
        <w:rPr>
          <w:b/>
          <w:bCs/>
        </w:rPr>
        <w:t>Hur regeringen ställer sig till den blivande A-punkten:</w:t>
      </w:r>
      <w:r>
        <w:t xml:space="preserve"> Regeringen stödjer inlagan som den nu är föreslagen dvs. att EU MS och KOM står som avsändare på inlagan. </w:t>
      </w:r>
    </w:p>
    <w:p w14:paraId="6D68CD80" w14:textId="71BA6950" w:rsidR="00A70E69" w:rsidRDefault="000F7E1D">
      <w:pPr>
        <w:spacing w:after="280" w:afterAutospacing="1"/>
      </w:pPr>
      <w:r>
        <w:rPr>
          <w:b/>
          <w:bCs/>
        </w:rPr>
        <w:t xml:space="preserve">Bakgrund: </w:t>
      </w:r>
      <w:r>
        <w:t xml:space="preserve">Inlagan innehåller information om statusen på Galileo </w:t>
      </w:r>
      <w:proofErr w:type="spellStart"/>
      <w:r>
        <w:t>GNSS-systemet</w:t>
      </w:r>
      <w:proofErr w:type="spellEnd"/>
      <w:r>
        <w:t xml:space="preserve"> och processen att bli erkänd som en komponent i IMO:s World Wide Radio Navigation System (WWRNS). Man önskar därefter komplettera med ytterligare information till IMO:s </w:t>
      </w:r>
      <w:r>
        <w:lastRenderedPageBreak/>
        <w:t>sjösäkerhetskommitté (MSC) för att uppfylla ställda krav för att bli ett erkänt globalt navigationssystem.</w:t>
      </w:r>
    </w:p>
    <w:p w14:paraId="6D68CD82" w14:textId="2AE061DA" w:rsidR="00FB32B9" w:rsidRDefault="000F7E1D">
      <w:pPr>
        <w:spacing w:after="280" w:afterAutospacing="1"/>
        <w:rPr>
          <w:noProof/>
        </w:rPr>
      </w:pPr>
      <w:r>
        <w:t xml:space="preserve">MS och KOM var överens om sakinnehållet i inlagan redan på RAG, men anledningen att inlagan skickas till COREPER är att KOM anser att inlagan ska skickas in av "EC on </w:t>
      </w:r>
      <w:proofErr w:type="spellStart"/>
      <w:r>
        <w:t>behalf</w:t>
      </w:r>
      <w:proofErr w:type="spellEnd"/>
      <w:r>
        <w:t xml:space="preserve"> </w:t>
      </w:r>
      <w:proofErr w:type="spellStart"/>
      <w:r>
        <w:t>of</w:t>
      </w:r>
      <w:proofErr w:type="spellEnd"/>
      <w:r>
        <w:t xml:space="preserve"> the EU" </w:t>
      </w:r>
      <w:proofErr w:type="gramStart"/>
      <w:r>
        <w:t>medans</w:t>
      </w:r>
      <w:proofErr w:type="gramEnd"/>
      <w:r>
        <w:t xml:space="preserve"> alla MS anser att inlagan bör skickas in av "the MS and the EC". </w:t>
      </w:r>
      <w:proofErr w:type="gramStart"/>
      <w:r>
        <w:t>KOM</w:t>
      </w:r>
      <w:proofErr w:type="gramEnd"/>
      <w:r>
        <w:t xml:space="preserve"> </w:t>
      </w:r>
      <w:proofErr w:type="gramStart"/>
      <w:r>
        <w:t>kommer</w:t>
      </w:r>
      <w:proofErr w:type="gramEnd"/>
      <w:r>
        <w:t xml:space="preserve"> därför lägga en reservation utifrån deras ståndpunkt.</w:t>
      </w:r>
    </w:p>
    <w:p w14:paraId="6D68CD83" w14:textId="77777777" w:rsidR="00643D86" w:rsidRDefault="000F7E1D" w:rsidP="00643D86">
      <w:pPr>
        <w:pStyle w:val="Rubrik1"/>
      </w:pPr>
      <w:bookmarkStart w:id="12" w:name="_Toc437345441"/>
      <w:r>
        <w:rPr>
          <w:noProof/>
        </w:rPr>
        <w:t>OMI - Projet de proposition de l'Union à présenter lors de la 3 ème session du sous-comité de la navigation, des communications et de la recherche et du sauvetage (NCSR 3) de l'OMI qui se tiendra à Londres du 29 février au 4 mars 2016, en ce qui concerne un rapport sur le processus d'audit de l'échange de données au niveau international sur l'identification et le suivi des navires à grande distance (LRIT)</w:t>
      </w:r>
      <w:bookmarkEnd w:id="12"/>
    </w:p>
    <w:p w14:paraId="7DA516AC" w14:textId="77777777" w:rsidR="007736CD" w:rsidRDefault="000F7E1D" w:rsidP="00643D86">
      <w:pPr>
        <w:rPr>
          <w:noProof/>
          <w:lang w:val="en-US"/>
        </w:rPr>
      </w:pPr>
      <w:r>
        <w:rPr>
          <w:noProof/>
          <w:lang w:val="en-US"/>
        </w:rPr>
        <w:t>Approbation</w:t>
      </w:r>
    </w:p>
    <w:p w14:paraId="6D68CD84" w14:textId="0AF40D58" w:rsidR="00643D86" w:rsidRDefault="000F7E1D" w:rsidP="00643D86">
      <w:pPr>
        <w:rPr>
          <w:lang w:val="en-US"/>
        </w:rPr>
      </w:pPr>
      <w:r>
        <w:rPr>
          <w:noProof/>
          <w:lang w:val="en-US"/>
        </w:rPr>
        <w:t>14850</w:t>
      </w:r>
      <w:r>
        <w:rPr>
          <w:lang w:val="en-US"/>
        </w:rPr>
        <w:t xml:space="preserve">/15 </w:t>
      </w:r>
      <w:proofErr w:type="gramStart"/>
      <w:r>
        <w:rPr>
          <w:lang w:val="en-US"/>
        </w:rPr>
        <w:t>MAR</w:t>
      </w:r>
      <w:proofErr w:type="gramEnd"/>
      <w:r>
        <w:rPr>
          <w:lang w:val="en-US"/>
        </w:rPr>
        <w:t xml:space="preserve"> 167 OMI 19</w:t>
      </w:r>
    </w:p>
    <w:p w14:paraId="6D68CD85" w14:textId="77777777" w:rsidR="00643D86" w:rsidRDefault="000F7E1D" w:rsidP="00643D86">
      <w:r>
        <w:rPr>
          <w:b/>
        </w:rPr>
        <w:t>Ansvarigt statsråd</w:t>
      </w:r>
      <w:r>
        <w:rPr>
          <w:b/>
        </w:rPr>
        <w:br/>
      </w:r>
      <w:r>
        <w:rPr>
          <w:noProof/>
        </w:rPr>
        <w:t>Anna Johansson</w:t>
      </w:r>
    </w:p>
    <w:p w14:paraId="6D68CD8A" w14:textId="19E803F6" w:rsidR="00A70E69" w:rsidRDefault="000F7E1D" w:rsidP="007736CD">
      <w:r w:rsidRPr="00B44CE2">
        <w:rPr>
          <w:b/>
        </w:rPr>
        <w:t>Annotering</w:t>
      </w:r>
      <w:r>
        <w:rPr>
          <w:b/>
        </w:rPr>
        <w:br/>
      </w:r>
      <w:r>
        <w:rPr>
          <w:b/>
          <w:bCs/>
        </w:rPr>
        <w:t xml:space="preserve">Avsikt med behandlingen i rådet: </w:t>
      </w:r>
      <w:r>
        <w:t xml:space="preserve">Att godkänna inlagan som ska skickas till IMO senast 25 december 2015. </w:t>
      </w:r>
    </w:p>
    <w:p w14:paraId="6D68CD8C" w14:textId="0DEFE5BF" w:rsidR="00A70E69" w:rsidRDefault="000F7E1D">
      <w:pPr>
        <w:spacing w:after="280" w:afterAutospacing="1"/>
      </w:pPr>
      <w:r>
        <w:rPr>
          <w:b/>
          <w:bCs/>
        </w:rPr>
        <w:t>Hur regeringen ställer sig till den blivande A-punkten:</w:t>
      </w:r>
      <w:r>
        <w:t xml:space="preserve"> Regeringen stödjer inlagan som den nu är föreslagen dvs. att EU MS och KOM står som avsändare på inlagan. </w:t>
      </w:r>
    </w:p>
    <w:p w14:paraId="6D68CD8E" w14:textId="71B42241" w:rsidR="00A70E69" w:rsidRDefault="000F7E1D">
      <w:pPr>
        <w:spacing w:after="280" w:afterAutospacing="1"/>
      </w:pPr>
      <w:r>
        <w:rPr>
          <w:b/>
          <w:bCs/>
        </w:rPr>
        <w:t xml:space="preserve">Bakgrund: </w:t>
      </w:r>
      <w:r>
        <w:t xml:space="preserve">Inlagan innehåller information rörande möjligheten att modifiera de krav som styr </w:t>
      </w:r>
      <w:proofErr w:type="spellStart"/>
      <w:r>
        <w:t>auditering</w:t>
      </w:r>
      <w:proofErr w:type="spellEnd"/>
      <w:r>
        <w:t xml:space="preserve"> av LRIT IDE. Idag sker detta årligen, men förslagsställarna anser inte att detta är nödvändigt då man fångar upp LRIT IDE:s verksamhet genom att </w:t>
      </w:r>
      <w:proofErr w:type="spellStart"/>
      <w:r>
        <w:t>auditera</w:t>
      </w:r>
      <w:proofErr w:type="spellEnd"/>
      <w:r>
        <w:t xml:space="preserve"> LRIT DC. Vidare föreslås ett antal följdändringar i resolution MSC.263(84) som reglerar </w:t>
      </w:r>
      <w:proofErr w:type="spellStart"/>
      <w:r>
        <w:t>auditeringen</w:t>
      </w:r>
      <w:proofErr w:type="spellEnd"/>
      <w:r>
        <w:t xml:space="preserve">. LRIT=Long-Range </w:t>
      </w:r>
      <w:proofErr w:type="spellStart"/>
      <w:r>
        <w:t>Identification</w:t>
      </w:r>
      <w:proofErr w:type="spellEnd"/>
      <w:r>
        <w:t xml:space="preserve"> and </w:t>
      </w:r>
      <w:proofErr w:type="spellStart"/>
      <w:r>
        <w:t>Tracking</w:t>
      </w:r>
      <w:proofErr w:type="spellEnd"/>
      <w:r>
        <w:t xml:space="preserve"> system.</w:t>
      </w:r>
    </w:p>
    <w:p w14:paraId="6D68CD90" w14:textId="2747234C" w:rsidR="00FB32B9" w:rsidRDefault="000F7E1D">
      <w:pPr>
        <w:spacing w:after="280" w:afterAutospacing="1"/>
        <w:rPr>
          <w:noProof/>
        </w:rPr>
      </w:pPr>
      <w:r>
        <w:t xml:space="preserve">MS och KOM var överens om sakinnehållet i inlagan redan på RAG, men anledningen att inlagan skickas till COREPER är att KOM anser att inlagan ska skickas in av "EC on </w:t>
      </w:r>
      <w:proofErr w:type="spellStart"/>
      <w:r>
        <w:t>behalf</w:t>
      </w:r>
      <w:proofErr w:type="spellEnd"/>
      <w:r>
        <w:t xml:space="preserve"> </w:t>
      </w:r>
      <w:proofErr w:type="spellStart"/>
      <w:r>
        <w:t>of</w:t>
      </w:r>
      <w:proofErr w:type="spellEnd"/>
      <w:r>
        <w:t xml:space="preserve"> the EU" </w:t>
      </w:r>
      <w:proofErr w:type="gramStart"/>
      <w:r>
        <w:t>medans</w:t>
      </w:r>
      <w:proofErr w:type="gramEnd"/>
      <w:r>
        <w:t xml:space="preserve"> alla MS anser att inlagan bör skickas in av "the MS and the EC". </w:t>
      </w:r>
      <w:proofErr w:type="gramStart"/>
      <w:r>
        <w:t>KOM</w:t>
      </w:r>
      <w:proofErr w:type="gramEnd"/>
      <w:r>
        <w:t xml:space="preserve"> </w:t>
      </w:r>
      <w:proofErr w:type="gramStart"/>
      <w:r>
        <w:t>kommer</w:t>
      </w:r>
      <w:proofErr w:type="gramEnd"/>
      <w:r>
        <w:t xml:space="preserve"> därför lägga en reservation utifrån deras ståndpunkt.</w:t>
      </w:r>
    </w:p>
    <w:p w14:paraId="6D68CD91" w14:textId="77777777" w:rsidR="00643D86" w:rsidRDefault="000F7E1D" w:rsidP="00643D86">
      <w:pPr>
        <w:pStyle w:val="Rubrik1"/>
      </w:pPr>
      <w:bookmarkStart w:id="13" w:name="_Toc437345442"/>
      <w:r>
        <w:rPr>
          <w:noProof/>
        </w:rPr>
        <w:t>OMI - Projet de proposition de l'Union à présenter lors de la 3 ème session du sous-comité de la prévention de la pollution et de l'intervention (PPR 3) de l'OMI qui se tiendra à Londres du 15 au 19 février 2016, en ce qui concerne l'examen des prescriptions de l'Annexe II de MARPOL qui ont une incidence sur les résidus de cargaison et les eaux de nettoyage des citernes contenant des produits flottants persistants à viscosité élevée</w:t>
      </w:r>
      <w:bookmarkEnd w:id="13"/>
    </w:p>
    <w:p w14:paraId="77403553" w14:textId="77777777" w:rsidR="00BC1B0A" w:rsidRDefault="000F7E1D" w:rsidP="00643D86">
      <w:pPr>
        <w:rPr>
          <w:noProof/>
          <w:lang w:val="en-US"/>
        </w:rPr>
      </w:pPr>
      <w:r>
        <w:rPr>
          <w:noProof/>
          <w:lang w:val="en-US"/>
        </w:rPr>
        <w:t>Approbation</w:t>
      </w:r>
    </w:p>
    <w:p w14:paraId="6D68CD92" w14:textId="4BC588FA" w:rsidR="00643D86" w:rsidRDefault="000F7E1D" w:rsidP="00643D86">
      <w:pPr>
        <w:rPr>
          <w:lang w:val="en-US"/>
        </w:rPr>
      </w:pPr>
      <w:r>
        <w:rPr>
          <w:noProof/>
          <w:lang w:val="en-US"/>
        </w:rPr>
        <w:t>14894</w:t>
      </w:r>
      <w:r>
        <w:rPr>
          <w:lang w:val="en-US"/>
        </w:rPr>
        <w:t xml:space="preserve">/15 </w:t>
      </w:r>
      <w:proofErr w:type="gramStart"/>
      <w:r>
        <w:rPr>
          <w:lang w:val="en-US"/>
        </w:rPr>
        <w:t>MAR</w:t>
      </w:r>
      <w:proofErr w:type="gramEnd"/>
      <w:r>
        <w:rPr>
          <w:lang w:val="en-US"/>
        </w:rPr>
        <w:t xml:space="preserve"> 170 OMI 22 ENV 763 </w:t>
      </w:r>
    </w:p>
    <w:p w14:paraId="6D68CD93" w14:textId="77777777" w:rsidR="00643D86" w:rsidRDefault="000F7E1D" w:rsidP="00643D86">
      <w:r>
        <w:rPr>
          <w:b/>
        </w:rPr>
        <w:lastRenderedPageBreak/>
        <w:t>Ansvarigt statsråd</w:t>
      </w:r>
      <w:r>
        <w:rPr>
          <w:b/>
        </w:rPr>
        <w:br/>
      </w:r>
      <w:r>
        <w:rPr>
          <w:noProof/>
        </w:rPr>
        <w:t>Anna Johansson</w:t>
      </w:r>
    </w:p>
    <w:p w14:paraId="6D68CD98" w14:textId="46AA64BB" w:rsidR="00A70E69" w:rsidRDefault="000F7E1D" w:rsidP="00BC1B0A">
      <w:r w:rsidRPr="00B44CE2">
        <w:rPr>
          <w:b/>
        </w:rPr>
        <w:t>Annotering</w:t>
      </w:r>
      <w:r>
        <w:rPr>
          <w:b/>
        </w:rPr>
        <w:br/>
      </w:r>
      <w:r>
        <w:rPr>
          <w:b/>
          <w:bCs/>
        </w:rPr>
        <w:t xml:space="preserve">Avsikt med behandlingen i rådet: </w:t>
      </w:r>
      <w:r>
        <w:t xml:space="preserve">Att godkänna inlagan som ska skickas till IMO senast 11 december 2015. </w:t>
      </w:r>
    </w:p>
    <w:p w14:paraId="6D68CD9A" w14:textId="276D0D43" w:rsidR="00A70E69" w:rsidRDefault="000F7E1D">
      <w:pPr>
        <w:spacing w:after="280" w:afterAutospacing="1"/>
      </w:pPr>
      <w:r>
        <w:rPr>
          <w:b/>
          <w:bCs/>
        </w:rPr>
        <w:t>Hur regeringen ställer sig till den blivande A-punkten:</w:t>
      </w:r>
      <w:r>
        <w:t xml:space="preserve"> Regeringen stödjer inlagan som den nu är föreslagen dvs. att EU MS och KOM står som avsändare på inlagan. </w:t>
      </w:r>
    </w:p>
    <w:p w14:paraId="6D68CD9C" w14:textId="77A536FD" w:rsidR="00A70E69" w:rsidRDefault="000F7E1D">
      <w:pPr>
        <w:spacing w:after="280" w:afterAutospacing="1"/>
      </w:pPr>
      <w:r>
        <w:rPr>
          <w:b/>
          <w:bCs/>
        </w:rPr>
        <w:t>Bakgrund:</w:t>
      </w:r>
      <w:r w:rsidR="00BC1B0A">
        <w:rPr>
          <w:b/>
          <w:bCs/>
        </w:rPr>
        <w:t xml:space="preserve"> </w:t>
      </w:r>
      <w:r>
        <w:t>Inlagan ger synpunkter och förslag till ändringar av bilaga II till MARPOL konventionen och IBC-koden när det gäller utsläppskrav vid tankrengöring och tömning av avfallsprodukter för att minska miljöpåverkan.</w:t>
      </w:r>
    </w:p>
    <w:p w14:paraId="6D68CD9D" w14:textId="77777777" w:rsidR="00A70E69" w:rsidRDefault="000F7E1D">
      <w:pPr>
        <w:spacing w:after="280" w:afterAutospacing="1"/>
      </w:pPr>
      <w:r>
        <w:t xml:space="preserve">IBC koden=Transport till sjöss av skadliga flytande kemikalier i bulk </w:t>
      </w:r>
    </w:p>
    <w:p w14:paraId="6D68CD9F" w14:textId="357EEFC4" w:rsidR="00FB32B9" w:rsidRDefault="000F7E1D">
      <w:pPr>
        <w:spacing w:after="280" w:afterAutospacing="1"/>
        <w:rPr>
          <w:noProof/>
        </w:rPr>
      </w:pPr>
      <w:r>
        <w:t xml:space="preserve">MS och KOM var överens om sakinnehållet i inlagan redan på RAG, men anledningen att inlagan skickas till COREPER är att KOM anser att inlagan ska skickas in av "EC on </w:t>
      </w:r>
      <w:proofErr w:type="spellStart"/>
      <w:r>
        <w:t>behalf</w:t>
      </w:r>
      <w:proofErr w:type="spellEnd"/>
      <w:r>
        <w:t xml:space="preserve"> </w:t>
      </w:r>
      <w:proofErr w:type="spellStart"/>
      <w:r>
        <w:t>of</w:t>
      </w:r>
      <w:proofErr w:type="spellEnd"/>
      <w:r>
        <w:t xml:space="preserve"> the EU" </w:t>
      </w:r>
      <w:proofErr w:type="gramStart"/>
      <w:r>
        <w:t>medans</w:t>
      </w:r>
      <w:proofErr w:type="gramEnd"/>
      <w:r>
        <w:t xml:space="preserve"> alla MS anser att inlagan bör skickas in av "the MS and the EC". </w:t>
      </w:r>
      <w:proofErr w:type="gramStart"/>
      <w:r>
        <w:t>KOM</w:t>
      </w:r>
      <w:proofErr w:type="gramEnd"/>
      <w:r>
        <w:t xml:space="preserve"> </w:t>
      </w:r>
      <w:proofErr w:type="gramStart"/>
      <w:r>
        <w:t>kommer</w:t>
      </w:r>
      <w:proofErr w:type="gramEnd"/>
      <w:r>
        <w:t xml:space="preserve"> därför lägga en reservation utifrån deras ståndpunkt.</w:t>
      </w:r>
    </w:p>
    <w:p w14:paraId="6D68CDA0" w14:textId="77777777" w:rsidR="00643D86" w:rsidRDefault="000F7E1D" w:rsidP="00643D86">
      <w:pPr>
        <w:pStyle w:val="Rubrik1"/>
      </w:pPr>
      <w:bookmarkStart w:id="14" w:name="_Toc437345443"/>
      <w:r>
        <w:rPr>
          <w:noProof/>
        </w:rPr>
        <w:t>Deuxième réunion des Signataires du Mémorandum d'entente sur la conservation des requins migrateurs (Costa Rica, 15-19 février 2016)</w:t>
      </w:r>
      <w:bookmarkEnd w:id="14"/>
    </w:p>
    <w:p w14:paraId="16E2ED61" w14:textId="77777777" w:rsidR="00BC1B0A" w:rsidRDefault="000F7E1D" w:rsidP="00643D86">
      <w:pPr>
        <w:rPr>
          <w:lang w:val="en-US"/>
        </w:rPr>
      </w:pPr>
      <w:r>
        <w:rPr>
          <w:noProof/>
          <w:lang w:val="en-US"/>
        </w:rPr>
        <w:t>Approbation</w:t>
      </w:r>
      <w:r>
        <w:rPr>
          <w:lang w:val="en-US"/>
        </w:rPr>
        <w:t xml:space="preserve"> de la position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ses</w:t>
      </w:r>
      <w:proofErr w:type="spellEnd"/>
      <w:r>
        <w:rPr>
          <w:lang w:val="en-US"/>
        </w:rPr>
        <w:t xml:space="preserve"> </w:t>
      </w:r>
      <w:proofErr w:type="spellStart"/>
      <w:r>
        <w:rPr>
          <w:lang w:val="en-US"/>
        </w:rPr>
        <w:t>Etats</w:t>
      </w:r>
      <w:proofErr w:type="spellEnd"/>
      <w:r>
        <w:rPr>
          <w:lang w:val="en-US"/>
        </w:rPr>
        <w:t xml:space="preserve"> </w:t>
      </w:r>
      <w:proofErr w:type="spellStart"/>
      <w:r>
        <w:rPr>
          <w:lang w:val="en-US"/>
        </w:rPr>
        <w:t>membres</w:t>
      </w:r>
      <w:proofErr w:type="spellEnd"/>
    </w:p>
    <w:p w14:paraId="6D68CDA1" w14:textId="51D33BAF" w:rsidR="00643D86" w:rsidRDefault="000F7E1D" w:rsidP="00643D86">
      <w:pPr>
        <w:rPr>
          <w:lang w:val="en-US"/>
        </w:rPr>
      </w:pPr>
      <w:r>
        <w:rPr>
          <w:noProof/>
          <w:lang w:val="en-US"/>
        </w:rPr>
        <w:t>14712</w:t>
      </w:r>
      <w:r>
        <w:rPr>
          <w:lang w:val="en-US"/>
        </w:rPr>
        <w:t>/15 PECHE 452 ENV 750+ ADD 1</w:t>
      </w:r>
      <w:r w:rsidR="00BC1B0A">
        <w:rPr>
          <w:lang w:val="en-US"/>
        </w:rPr>
        <w:t xml:space="preserve"> </w:t>
      </w:r>
      <w:r>
        <w:rPr>
          <w:lang w:val="en-US"/>
        </w:rPr>
        <w:t>14711/2/15 REV 2 PECHE 451 ENV 749</w:t>
      </w:r>
    </w:p>
    <w:p w14:paraId="6D68CDA2" w14:textId="77777777" w:rsidR="00643D86" w:rsidRDefault="000F7E1D" w:rsidP="00643D86">
      <w:r>
        <w:rPr>
          <w:b/>
        </w:rPr>
        <w:t>Ansvarigt statsråd</w:t>
      </w:r>
      <w:r>
        <w:rPr>
          <w:b/>
        </w:rPr>
        <w:br/>
      </w:r>
      <w:r>
        <w:rPr>
          <w:noProof/>
        </w:rPr>
        <w:t>Sven-Erik Bucht</w:t>
      </w:r>
    </w:p>
    <w:p w14:paraId="6D68CDA6" w14:textId="775EA913" w:rsidR="00A70E69" w:rsidRDefault="000F7E1D" w:rsidP="00BC1B0A">
      <w:r w:rsidRPr="00B44CE2">
        <w:rPr>
          <w:b/>
        </w:rPr>
        <w:t>Annotering</w:t>
      </w:r>
      <w:r>
        <w:rPr>
          <w:b/>
        </w:rPr>
        <w:br/>
      </w:r>
      <w:r>
        <w:rPr>
          <w:b/>
          <w:bCs/>
        </w:rPr>
        <w:t>Avsikt med behandlingen i rådet:</w:t>
      </w:r>
      <w:r>
        <w:t xml:space="preserve"> Förberedelse inför det andra mötet med samförståndsavtalet om bevarande av migrerande </w:t>
      </w:r>
      <w:proofErr w:type="gramStart"/>
      <w:r>
        <w:t>hajar .</w:t>
      </w:r>
      <w:proofErr w:type="gramEnd"/>
      <w:r>
        <w:t xml:space="preserve"> </w:t>
      </w:r>
    </w:p>
    <w:p w14:paraId="6D68CDA8" w14:textId="4507B113" w:rsidR="00A70E69" w:rsidRDefault="000F7E1D">
      <w:pPr>
        <w:spacing w:after="280" w:afterAutospacing="1"/>
      </w:pPr>
      <w:r>
        <w:rPr>
          <w:b/>
          <w:bCs/>
        </w:rPr>
        <w:t>Hur regeringen ställer sig till den blivande A-punkten:</w:t>
      </w:r>
      <w:r>
        <w:t xml:space="preserve"> Regeringen kan ställa sig bakom förslaget.</w:t>
      </w:r>
    </w:p>
    <w:p w14:paraId="6D68CDAA" w14:textId="6669A9A6" w:rsidR="00A70E69" w:rsidRDefault="000F7E1D">
      <w:pPr>
        <w:spacing w:after="280" w:afterAutospacing="1"/>
      </w:pPr>
      <w:r>
        <w:rPr>
          <w:b/>
          <w:bCs/>
        </w:rPr>
        <w:t>Bakgrund:</w:t>
      </w:r>
      <w:r w:rsidR="00BC1B0A">
        <w:rPr>
          <w:b/>
          <w:bCs/>
        </w:rPr>
        <w:t xml:space="preserve"> </w:t>
      </w:r>
      <w:r>
        <w:t xml:space="preserve">Samförståndsavtalet om bevarande av migrerande hajar (Memorandum </w:t>
      </w:r>
      <w:proofErr w:type="spellStart"/>
      <w:r>
        <w:t>of</w:t>
      </w:r>
      <w:proofErr w:type="spellEnd"/>
      <w:r>
        <w:t xml:space="preserve"> </w:t>
      </w:r>
      <w:proofErr w:type="spellStart"/>
      <w:r>
        <w:t>Understanding</w:t>
      </w:r>
      <w:proofErr w:type="spellEnd"/>
      <w:r>
        <w:t xml:space="preserve"> on the </w:t>
      </w:r>
      <w:proofErr w:type="spellStart"/>
      <w:r>
        <w:t>Conservation</w:t>
      </w:r>
      <w:proofErr w:type="spellEnd"/>
      <w:r>
        <w:t xml:space="preserve"> </w:t>
      </w:r>
      <w:proofErr w:type="spellStart"/>
      <w:r>
        <w:t>of</w:t>
      </w:r>
      <w:proofErr w:type="spellEnd"/>
      <w:r>
        <w:t xml:space="preserve"> </w:t>
      </w:r>
      <w:proofErr w:type="spellStart"/>
      <w:r>
        <w:t>Migratory</w:t>
      </w:r>
      <w:proofErr w:type="spellEnd"/>
      <w:r>
        <w:t xml:space="preserve"> Sharks (Sharks </w:t>
      </w:r>
      <w:proofErr w:type="spellStart"/>
      <w:r>
        <w:t>MoU</w:t>
      </w:r>
      <w:proofErr w:type="spellEnd"/>
      <w:r>
        <w:t xml:space="preserve">)) är det första globala instrumentet för att förvalta migrerande hajarter och det öppnades för godkännande genom undertecknande 2010. </w:t>
      </w:r>
      <w:proofErr w:type="spellStart"/>
      <w:r>
        <w:t>MoU</w:t>
      </w:r>
      <w:proofErr w:type="spellEnd"/>
      <w:r>
        <w:t xml:space="preserve"> har 39 medlemmar (inklusive EU). Sverige är medlem sedan 2014.</w:t>
      </w:r>
    </w:p>
    <w:p w14:paraId="6D68CDAC" w14:textId="5E3F2C97" w:rsidR="00FB32B9" w:rsidRDefault="000F7E1D">
      <w:pPr>
        <w:spacing w:after="280" w:afterAutospacing="1"/>
        <w:rPr>
          <w:noProof/>
        </w:rPr>
      </w:pPr>
      <w:r>
        <w:t xml:space="preserve">Den gemensamma fiskeripolitiken kan anses vara ett effektivt verktyg för att leva upp till EU:s förpliktelser enligt CMS för att skydda just hajar och rockor, inte minst med tanke på deras känslighet för fisketryck. Samtidigt behöver inte detta betyda att alla frågor som återfinns under </w:t>
      </w:r>
      <w:proofErr w:type="spellStart"/>
      <w:r>
        <w:t>MoU</w:t>
      </w:r>
      <w:proofErr w:type="spellEnd"/>
      <w:r>
        <w:t xml:space="preserve"> för hajar och rockor medför beslut som faller under exklusiv kompetens. </w:t>
      </w:r>
      <w:proofErr w:type="spellStart"/>
      <w:r>
        <w:t>MoU</w:t>
      </w:r>
      <w:proofErr w:type="spellEnd"/>
      <w:r>
        <w:t xml:space="preserve"> sträcker sig utöver fiskeriförvaltande åtgärder då det fokuserar på bevarande av arter, skydd </w:t>
      </w:r>
      <w:r>
        <w:lastRenderedPageBreak/>
        <w:t>och bevarande av livsmiljöer, forskning och utbildning etc. och dess räckvidd är betydligt bredare med ett primärt syfte att vara en av miljövårdande överenskommelse mellan parter.</w:t>
      </w:r>
    </w:p>
    <w:p w14:paraId="6D68CDAD" w14:textId="77777777" w:rsidR="00643D86" w:rsidRDefault="000F7E1D" w:rsidP="00643D86">
      <w:pPr>
        <w:pStyle w:val="Rubrik1"/>
      </w:pPr>
      <w:bookmarkStart w:id="15" w:name="_Toc437345444"/>
      <w:r>
        <w:rPr>
          <w:noProof/>
        </w:rPr>
        <w:t>Proposition de décision du Conseil relative à la conclusion, au nom de l'Union européenne, de l'échange de lettres en vue d'obtenir l'adhésion à la Commission élargie de la convention pour la conservation du thon rouge du Sud</w:t>
      </w:r>
      <w:bookmarkEnd w:id="15"/>
    </w:p>
    <w:p w14:paraId="7A309825" w14:textId="77777777" w:rsidR="00E24BC1" w:rsidRDefault="000F7E1D" w:rsidP="00643D86">
      <w:pPr>
        <w:rPr>
          <w:noProof/>
          <w:lang w:val="en-US"/>
        </w:rPr>
      </w:pPr>
      <w:r>
        <w:rPr>
          <w:noProof/>
          <w:lang w:val="en-US"/>
        </w:rPr>
        <w:t>Adoption</w:t>
      </w:r>
    </w:p>
    <w:p w14:paraId="6D68CDAE" w14:textId="493BF355" w:rsidR="00643D86" w:rsidRDefault="000F7E1D" w:rsidP="00643D86">
      <w:pPr>
        <w:rPr>
          <w:lang w:val="en-US"/>
        </w:rPr>
      </w:pPr>
      <w:r>
        <w:rPr>
          <w:noProof/>
          <w:lang w:val="en-US"/>
        </w:rPr>
        <w:t>14856</w:t>
      </w:r>
      <w:r>
        <w:rPr>
          <w:lang w:val="en-US"/>
        </w:rPr>
        <w:t>/15 INIT PECHE 562+ COR 17134/15 INIT PECHE 90 + COR 1</w:t>
      </w:r>
    </w:p>
    <w:p w14:paraId="6D68CDAF" w14:textId="77777777" w:rsidR="00643D86" w:rsidRDefault="000F7E1D" w:rsidP="00643D86">
      <w:r>
        <w:rPr>
          <w:b/>
        </w:rPr>
        <w:t>Ansvarigt statsråd</w:t>
      </w:r>
      <w:r>
        <w:rPr>
          <w:b/>
        </w:rPr>
        <w:br/>
      </w:r>
      <w:r>
        <w:rPr>
          <w:noProof/>
        </w:rPr>
        <w:t>Sven-Erik Bucht</w:t>
      </w:r>
    </w:p>
    <w:p w14:paraId="6D68CDB3" w14:textId="12936B9B" w:rsidR="00A70E69" w:rsidRDefault="000F7E1D" w:rsidP="00BC1B0A">
      <w:r w:rsidRPr="00B44CE2">
        <w:rPr>
          <w:b/>
        </w:rPr>
        <w:t>Annotering</w:t>
      </w:r>
      <w:r>
        <w:rPr>
          <w:b/>
        </w:rPr>
        <w:br/>
      </w:r>
      <w:r>
        <w:rPr>
          <w:b/>
          <w:bCs/>
        </w:rPr>
        <w:t>Avsikt med behandlingen i rådet:</w:t>
      </w:r>
      <w:r>
        <w:t xml:space="preserve"> Syftet med förslaget är att säkerställa att EU blir medlem i den utvidgade kommissionen för konventionen för bevarande av sydlig tonfisk (CCSBT) för att garantera EU rösträtt vid </w:t>
      </w:r>
      <w:proofErr w:type="spellStart"/>
      <w:r>
        <w:t>CCSBT:s</w:t>
      </w:r>
      <w:proofErr w:type="spellEnd"/>
      <w:r>
        <w:t xml:space="preserve"> beslutsfattande och att främja enhetlighet i förvaltningen av sydlig tonfisk och atlantisk </w:t>
      </w:r>
      <w:proofErr w:type="spellStart"/>
      <w:r>
        <w:t>blåfenad</w:t>
      </w:r>
      <w:proofErr w:type="spellEnd"/>
      <w:r>
        <w:t xml:space="preserve"> tonfisk. </w:t>
      </w:r>
    </w:p>
    <w:p w14:paraId="6D68CDB5" w14:textId="389F18FF" w:rsidR="00A70E69" w:rsidRDefault="000F7E1D">
      <w:pPr>
        <w:spacing w:after="280" w:afterAutospacing="1"/>
      </w:pPr>
      <w:r>
        <w:rPr>
          <w:b/>
          <w:bCs/>
        </w:rPr>
        <w:t>Hur regeringen ställer sig till den blivande A-punkten:</w:t>
      </w:r>
      <w:r>
        <w:t xml:space="preserve"> Regeringen kan ställa sig bakom förslaget.</w:t>
      </w:r>
    </w:p>
    <w:p w14:paraId="6D68CDB8" w14:textId="586C53D3" w:rsidR="00FB32B9" w:rsidRDefault="000F7E1D">
      <w:pPr>
        <w:spacing w:after="280" w:afterAutospacing="1"/>
        <w:rPr>
          <w:noProof/>
        </w:rPr>
      </w:pPr>
      <w:r>
        <w:rPr>
          <w:b/>
          <w:bCs/>
        </w:rPr>
        <w:t>Bakgrund:</w:t>
      </w:r>
      <w:r w:rsidR="00BC1B0A">
        <w:rPr>
          <w:b/>
          <w:bCs/>
        </w:rPr>
        <w:t xml:space="preserve"> </w:t>
      </w:r>
      <w:r>
        <w:t xml:space="preserve">Den 20 april 2015 bemyndigade rådet undertecknandet och den provisoriska tillämpningen av avtalet genom skriftväxling mellan Europeiska unionen och kommissionen för bevarande av sydlig tonfisk (CCSBT) om unionens medlemskap i den utvidgade kommissionen för konventionen för bevarande av sydlig tonfisk). Eftersom fartyg som för EU-medlemsstaters flagg fiskar resurser i den sydliga tonfiskens utbredningsområde ligger det i unionens intresse att kunna delta effektivt i genomförandet av konventionen. Medlemskapet i </w:t>
      </w:r>
      <w:proofErr w:type="spellStart"/>
      <w:r>
        <w:t>CCSBT:s</w:t>
      </w:r>
      <w:proofErr w:type="spellEnd"/>
      <w:r>
        <w:t xml:space="preserve"> utvidgade kommissionen kommer också att främja enhetlighet i unionens bevarandestrategi mellan de olika haven och stärka dess engagemang för ett långsiktigt bevarande och en hållbar användning av fiskeresurserna globalt</w:t>
      </w:r>
    </w:p>
    <w:p w14:paraId="6D68CDB9" w14:textId="77777777" w:rsidR="00643D86" w:rsidRDefault="000F7E1D" w:rsidP="00643D86">
      <w:pPr>
        <w:pStyle w:val="Rubrik1"/>
      </w:pPr>
      <w:bookmarkStart w:id="16" w:name="_Toc437345445"/>
      <w:r>
        <w:rPr>
          <w:noProof/>
        </w:rPr>
        <w:t>Projet de règlement du Conseil modifiant le règlement (UE) n° 1388/2013 portant ouverture et mode de gestion de contingents tarifaires autonomes de l’Union pour certains produits agricoles et industriels</w:t>
      </w:r>
      <w:bookmarkEnd w:id="16"/>
    </w:p>
    <w:p w14:paraId="7339B7D6" w14:textId="77777777" w:rsidR="00BC1B0A" w:rsidRDefault="000F7E1D" w:rsidP="00643D86">
      <w:pPr>
        <w:rPr>
          <w:noProof/>
          <w:lang w:val="en-US"/>
        </w:rPr>
      </w:pPr>
      <w:r>
        <w:rPr>
          <w:noProof/>
          <w:lang w:val="en-US"/>
        </w:rPr>
        <w:t>Adoption</w:t>
      </w:r>
    </w:p>
    <w:p w14:paraId="6D68CDBA" w14:textId="11AC8838" w:rsidR="00643D86" w:rsidRDefault="000F7E1D" w:rsidP="00643D86">
      <w:pPr>
        <w:rPr>
          <w:lang w:val="en-US"/>
        </w:rPr>
      </w:pPr>
      <w:r>
        <w:rPr>
          <w:noProof/>
          <w:lang w:val="en-US"/>
        </w:rPr>
        <w:t>14898</w:t>
      </w:r>
      <w:r>
        <w:rPr>
          <w:lang w:val="en-US"/>
        </w:rPr>
        <w:t>/15 UD 24314504/15 UD 227</w:t>
      </w:r>
    </w:p>
    <w:p w14:paraId="6D68CDBB" w14:textId="77777777" w:rsidR="00643D86" w:rsidRDefault="000F7E1D" w:rsidP="00643D86">
      <w:r>
        <w:rPr>
          <w:b/>
        </w:rPr>
        <w:t>Ansvarigt statsråd</w:t>
      </w:r>
      <w:r>
        <w:rPr>
          <w:b/>
        </w:rPr>
        <w:br/>
      </w:r>
      <w:r>
        <w:rPr>
          <w:noProof/>
        </w:rPr>
        <w:t>Mikael Damberg</w:t>
      </w:r>
    </w:p>
    <w:p w14:paraId="6D68CDBF" w14:textId="27C87585" w:rsidR="00A70E69" w:rsidRDefault="000F7E1D" w:rsidP="00BC1B0A">
      <w:r w:rsidRPr="00B44CE2">
        <w:rPr>
          <w:b/>
        </w:rPr>
        <w:t>Annotering</w:t>
      </w:r>
      <w:r>
        <w:rPr>
          <w:b/>
        </w:rPr>
        <w:br/>
      </w:r>
      <w:r>
        <w:rPr>
          <w:b/>
          <w:bCs/>
        </w:rPr>
        <w:t xml:space="preserve">Avsikt med behandlingen i rådet: </w:t>
      </w:r>
      <w:r>
        <w:t xml:space="preserve">Rådet ska ta ställning till en rådsförordning </w:t>
      </w:r>
    </w:p>
    <w:p w14:paraId="6D68CDC0" w14:textId="399DF317" w:rsidR="00A70E69" w:rsidRDefault="000F7E1D">
      <w:pPr>
        <w:spacing w:after="280" w:afterAutospacing="1"/>
      </w:pPr>
      <w:r>
        <w:rPr>
          <w:b/>
          <w:bCs/>
        </w:rPr>
        <w:t>Hur regeringen ställer sig till den blivande A-punkten:</w:t>
      </w:r>
      <w:r w:rsidR="00E24BC1">
        <w:rPr>
          <w:b/>
          <w:bCs/>
        </w:rPr>
        <w:t xml:space="preserve"> </w:t>
      </w:r>
      <w:r>
        <w:t xml:space="preserve">Regeringen avser rösta ja </w:t>
      </w:r>
    </w:p>
    <w:p w14:paraId="6D68CDC3" w14:textId="74D6C75C" w:rsidR="00FB32B9" w:rsidRDefault="000F7E1D">
      <w:pPr>
        <w:spacing w:after="280" w:afterAutospacing="1"/>
        <w:rPr>
          <w:noProof/>
        </w:rPr>
      </w:pPr>
      <w:r>
        <w:rPr>
          <w:b/>
          <w:bCs/>
        </w:rPr>
        <w:t>Bakgrund</w:t>
      </w:r>
      <w:r w:rsidR="00BC1B0A">
        <w:rPr>
          <w:b/>
          <w:bCs/>
        </w:rPr>
        <w:t xml:space="preserve">: </w:t>
      </w:r>
      <w:r>
        <w:t xml:space="preserve">Tullsuspension innebär att gällande importtull för en vara enligt EU:s tulltaxa upphävs för en bestämd tid eller tills vidare. Import från alla länder till EU kan då ske utan tull </w:t>
      </w:r>
      <w:r>
        <w:lastRenderedPageBreak/>
        <w:t>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r>
        <w:br/>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förslag av Europeiska kommissionen.</w:t>
      </w:r>
    </w:p>
    <w:p w14:paraId="6D68CDC4" w14:textId="77777777" w:rsidR="00643D86" w:rsidRDefault="000F7E1D" w:rsidP="00643D86">
      <w:pPr>
        <w:pStyle w:val="Rubrik1"/>
      </w:pPr>
      <w:bookmarkStart w:id="17" w:name="_Toc437345446"/>
      <w:r>
        <w:rPr>
          <w:noProof/>
        </w:rPr>
        <w:t>Projet de règlement du Conseil modifiant le règlement (UE) n° 1387/2013 portant suspension des droits autonomes du tarif douanier commun sur certains produits agricoles et industriels</w:t>
      </w:r>
      <w:bookmarkEnd w:id="17"/>
    </w:p>
    <w:p w14:paraId="4741BE80" w14:textId="77777777" w:rsidR="00BC1B0A" w:rsidRDefault="000F7E1D" w:rsidP="00643D86">
      <w:pPr>
        <w:rPr>
          <w:noProof/>
          <w:lang w:val="en-US"/>
        </w:rPr>
      </w:pPr>
      <w:r>
        <w:rPr>
          <w:noProof/>
          <w:lang w:val="en-US"/>
        </w:rPr>
        <w:t>Adoption</w:t>
      </w:r>
    </w:p>
    <w:p w14:paraId="6D68CDC5" w14:textId="6B58A695" w:rsidR="00643D86" w:rsidRDefault="000F7E1D" w:rsidP="00643D86">
      <w:pPr>
        <w:rPr>
          <w:lang w:val="en-US"/>
        </w:rPr>
      </w:pPr>
      <w:r>
        <w:rPr>
          <w:noProof/>
          <w:lang w:val="en-US"/>
        </w:rPr>
        <w:t>14899</w:t>
      </w:r>
      <w:r>
        <w:rPr>
          <w:lang w:val="en-US"/>
        </w:rPr>
        <w:t>/15 UD 244</w:t>
      </w:r>
      <w:r w:rsidR="00BC1B0A">
        <w:rPr>
          <w:lang w:val="en-US"/>
        </w:rPr>
        <w:t xml:space="preserve"> </w:t>
      </w:r>
      <w:r>
        <w:rPr>
          <w:lang w:val="en-US"/>
        </w:rPr>
        <w:t>14602/15 UD 232</w:t>
      </w:r>
    </w:p>
    <w:p w14:paraId="6D68CDC6" w14:textId="77777777" w:rsidR="00643D86" w:rsidRDefault="000F7E1D" w:rsidP="00643D86">
      <w:r>
        <w:rPr>
          <w:b/>
        </w:rPr>
        <w:t>Ansvarigt statsråd</w:t>
      </w:r>
      <w:r>
        <w:rPr>
          <w:b/>
        </w:rPr>
        <w:br/>
      </w:r>
      <w:r>
        <w:rPr>
          <w:noProof/>
        </w:rPr>
        <w:t>Mikael Damberg</w:t>
      </w:r>
    </w:p>
    <w:p w14:paraId="6D68CDCA" w14:textId="53F9099D" w:rsidR="00A70E69" w:rsidRDefault="000F7E1D" w:rsidP="00BC1B0A">
      <w:r w:rsidRPr="00B44CE2">
        <w:rPr>
          <w:b/>
        </w:rPr>
        <w:t>Annotering</w:t>
      </w:r>
      <w:r>
        <w:rPr>
          <w:b/>
        </w:rPr>
        <w:br/>
      </w:r>
      <w:r>
        <w:rPr>
          <w:b/>
          <w:bCs/>
        </w:rPr>
        <w:t xml:space="preserve">Avsikt med behandlingen i rådet: </w:t>
      </w:r>
      <w:r>
        <w:t xml:space="preserve">Rådet ska ta ställning till en rådsförordning </w:t>
      </w:r>
    </w:p>
    <w:p w14:paraId="6D68CDCB" w14:textId="77777777" w:rsidR="00A70E69" w:rsidRDefault="000F7E1D">
      <w:pPr>
        <w:spacing w:after="280" w:afterAutospacing="1"/>
      </w:pPr>
      <w:r>
        <w:rPr>
          <w:b/>
          <w:bCs/>
        </w:rPr>
        <w:t xml:space="preserve">Hur regeringen ställer sig till den blivande A-punkten: </w:t>
      </w:r>
      <w:r>
        <w:t xml:space="preserve">Regeringen avser rösta ja </w:t>
      </w:r>
    </w:p>
    <w:p w14:paraId="6D68CDCD" w14:textId="12289143" w:rsidR="00FB32B9" w:rsidRDefault="000F7E1D">
      <w:pPr>
        <w:spacing w:after="280" w:afterAutospacing="1"/>
        <w:rPr>
          <w:noProof/>
        </w:rPr>
      </w:pPr>
      <w:r>
        <w:rPr>
          <w:b/>
          <w:bCs/>
        </w:rPr>
        <w:t>Bakgrund</w:t>
      </w:r>
      <w:r w:rsidR="00BC1B0A">
        <w:rPr>
          <w:b/>
          <w:bCs/>
        </w:rPr>
        <w:t xml:space="preserve">: </w:t>
      </w:r>
      <w:r>
        <w:t>Tullsuspension innebär att gällande importtull för en vara enligt EU:s tulltaxa upphävs för en bestämd tid eller tills vidare. Import från alla länder till EU kan då ske utan tull 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r>
        <w:br/>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förslag av Europeiska kommissionen.</w:t>
      </w:r>
    </w:p>
    <w:p w14:paraId="6D68CDCE" w14:textId="77777777" w:rsidR="00643D86" w:rsidRDefault="000F7E1D" w:rsidP="00643D86">
      <w:pPr>
        <w:pStyle w:val="Rubrik1"/>
      </w:pPr>
      <w:bookmarkStart w:id="18" w:name="_Toc437345447"/>
      <w:r>
        <w:rPr>
          <w:noProof/>
        </w:rPr>
        <w:t>Projet de décision du Conseil relative à la signature, au nom de l'Union européenne, et à l'application provisoire de l'accord entre l'Union européenne et la République populaire du Bangladesh sur certains aspects des services aériens</w:t>
      </w:r>
      <w:bookmarkEnd w:id="18"/>
    </w:p>
    <w:p w14:paraId="58B73DBE" w14:textId="77777777" w:rsidR="00BC1B0A" w:rsidRDefault="000F7E1D" w:rsidP="00643D86">
      <w:pPr>
        <w:rPr>
          <w:noProof/>
          <w:lang w:val="en-US"/>
        </w:rPr>
      </w:pPr>
      <w:r>
        <w:rPr>
          <w:noProof/>
          <w:lang w:val="en-US"/>
        </w:rPr>
        <w:t>Adoption</w:t>
      </w:r>
    </w:p>
    <w:p w14:paraId="6D68CDCF" w14:textId="46106653" w:rsidR="00643D86" w:rsidRDefault="000F7E1D" w:rsidP="00643D86">
      <w:pPr>
        <w:rPr>
          <w:lang w:val="en-US"/>
        </w:rPr>
      </w:pPr>
      <w:r>
        <w:rPr>
          <w:noProof/>
          <w:lang w:val="en-US"/>
        </w:rPr>
        <w:t>14778</w:t>
      </w:r>
      <w:r>
        <w:rPr>
          <w:lang w:val="en-US"/>
        </w:rPr>
        <w:t>/15 TRANS 399 AVIATION 149 RELEX 1007 ASIE 58+ ADD 1</w:t>
      </w:r>
      <w:r w:rsidR="00BC1B0A">
        <w:rPr>
          <w:lang w:val="en-US"/>
        </w:rPr>
        <w:t xml:space="preserve"> </w:t>
      </w:r>
      <w:r>
        <w:rPr>
          <w:lang w:val="en-US"/>
        </w:rPr>
        <w:t xml:space="preserve">12911/15 TRANS 322 AVIATION 116 RELEX 804 ASIE 50 14378/15 TRANS 377 AVIATION 138 RELEX 953 ASIE 57 </w:t>
      </w:r>
    </w:p>
    <w:p w14:paraId="6D68CDD0" w14:textId="7D1A9A32" w:rsidR="00643D86" w:rsidRDefault="000F7E1D" w:rsidP="00643D86">
      <w:r>
        <w:rPr>
          <w:b/>
        </w:rPr>
        <w:t>Ansvarigt statsråd</w:t>
      </w:r>
      <w:r>
        <w:rPr>
          <w:b/>
        </w:rPr>
        <w:br/>
      </w:r>
      <w:r>
        <w:rPr>
          <w:noProof/>
        </w:rPr>
        <w:t>Anna Joh</w:t>
      </w:r>
      <w:r w:rsidR="00BC1B0A">
        <w:rPr>
          <w:noProof/>
        </w:rPr>
        <w:t>ansson</w:t>
      </w:r>
    </w:p>
    <w:p w14:paraId="6D68CDD4" w14:textId="234676F7" w:rsidR="00A70E69" w:rsidRDefault="000F7E1D" w:rsidP="00BC1B0A">
      <w:r w:rsidRPr="00B44CE2">
        <w:rPr>
          <w:b/>
        </w:rPr>
        <w:lastRenderedPageBreak/>
        <w:t>Annotering</w:t>
      </w:r>
      <w:r>
        <w:rPr>
          <w:b/>
        </w:rPr>
        <w:br/>
      </w:r>
      <w:r>
        <w:rPr>
          <w:b/>
          <w:bCs/>
        </w:rPr>
        <w:t>Avsikt med behandlingen i rådet:</w:t>
      </w:r>
      <w:r>
        <w:t xml:space="preserve"> Att godkänna utkastet till beslut </w:t>
      </w:r>
    </w:p>
    <w:p w14:paraId="6D68CDD6" w14:textId="2F30D8A8" w:rsidR="00A70E69" w:rsidRDefault="000F7E1D">
      <w:pPr>
        <w:spacing w:after="280" w:afterAutospacing="1"/>
      </w:pPr>
      <w:r>
        <w:rPr>
          <w:b/>
          <w:bCs/>
        </w:rPr>
        <w:t>Hur regeringen ställer sig till den blivande A-punkten:</w:t>
      </w:r>
      <w:r>
        <w:t xml:space="preserve"> Regeringen avser att rösta ja </w:t>
      </w:r>
    </w:p>
    <w:p w14:paraId="6D68CDD8" w14:textId="7BDBD7F8" w:rsidR="00A70E69" w:rsidRDefault="000F7E1D">
      <w:pPr>
        <w:spacing w:after="280" w:afterAutospacing="1"/>
      </w:pPr>
      <w:r>
        <w:rPr>
          <w:b/>
          <w:bCs/>
        </w:rPr>
        <w:t>Bakgrund:</w:t>
      </w:r>
      <w:r w:rsidR="00BC1B0A">
        <w:rPr>
          <w:b/>
          <w:bCs/>
        </w:rPr>
        <w:t xml:space="preserve"> </w:t>
      </w:r>
      <w:r>
        <w:t>Avtalet med Bangladesh är ett resultat av kommissionens förhandlingsaktiviteter under det s.k. horisontella mandatet, beslutat av rådet i juni 2003, enligt vilket kommissionen kan inleda förhandlingar med varje tredje land med syfte att bringa medlemsstaternas bilaterala luftfartsavtal i överensstämmelse med EU-rätten.</w:t>
      </w:r>
    </w:p>
    <w:p w14:paraId="6D68CDD9" w14:textId="77777777" w:rsidR="00A70E69" w:rsidRDefault="000F7E1D">
      <w:pPr>
        <w:spacing w:after="280" w:afterAutospacing="1"/>
      </w:pPr>
      <w:r>
        <w:t xml:space="preserve">Efter </w:t>
      </w:r>
      <w:proofErr w:type="spellStart"/>
      <w:r>
        <w:t>parafering</w:t>
      </w:r>
      <w:proofErr w:type="spellEnd"/>
      <w:r>
        <w:t>, presenterades avtalet för rådet den 7 september 2015.</w:t>
      </w:r>
    </w:p>
    <w:p w14:paraId="6D68CDDA" w14:textId="77777777" w:rsidR="00A70E69" w:rsidRDefault="000F7E1D">
      <w:pPr>
        <w:spacing w:after="280" w:afterAutospacing="1"/>
      </w:pPr>
      <w:r>
        <w:t>Arbetsgruppen för luftfart har gått igenom utkastet till rådsbeslut och nått enighet om det vid sitt möte den 29 september 2015.</w:t>
      </w:r>
    </w:p>
    <w:p w14:paraId="6D68CDDC" w14:textId="59C45C15" w:rsidR="00FB32B9" w:rsidRDefault="000F7E1D">
      <w:pPr>
        <w:spacing w:after="280" w:afterAutospacing="1"/>
        <w:rPr>
          <w:noProof/>
        </w:rPr>
      </w:pPr>
      <w:r>
        <w:t>Beslutet nu innebär att rådet godkänner förslaget till beslut.</w:t>
      </w:r>
    </w:p>
    <w:p w14:paraId="6D68CDDD" w14:textId="77777777" w:rsidR="00643D86" w:rsidRDefault="000F7E1D" w:rsidP="00643D86">
      <w:pPr>
        <w:pStyle w:val="Rubrik1"/>
      </w:pPr>
      <w:bookmarkStart w:id="19" w:name="_Toc437345448"/>
      <w:r>
        <w:rPr>
          <w:noProof/>
        </w:rPr>
        <w:t>Projet de règlement du Parlement européen et du Conseil relatif aux maladies animales transmissibles ("législation sur la santé animale") (première lecture) (AL + D)</w:t>
      </w:r>
      <w:bookmarkEnd w:id="19"/>
    </w:p>
    <w:p w14:paraId="22BF6ECA" w14:textId="77777777" w:rsidR="00BC1B0A" w:rsidRDefault="000F7E1D" w:rsidP="00643D86">
      <w:pPr>
        <w:rPr>
          <w:lang w:val="en-US"/>
        </w:rPr>
      </w:pPr>
      <w:r>
        <w:rPr>
          <w:noProof/>
          <w:lang w:val="en-US"/>
        </w:rPr>
        <w:t>Adoption</w:t>
      </w:r>
      <w:r>
        <w:rPr>
          <w:lang w:val="en-US"/>
        </w:rPr>
        <w:br/>
        <w:t xml:space="preserve">a) de la position du </w:t>
      </w:r>
      <w:proofErr w:type="spellStart"/>
      <w:r>
        <w:rPr>
          <w:lang w:val="en-US"/>
        </w:rPr>
        <w:t>Conseil</w:t>
      </w:r>
      <w:proofErr w:type="spellEnd"/>
      <w:r>
        <w:rPr>
          <w:lang w:val="en-US"/>
        </w:rPr>
        <w:t xml:space="preserve"> </w:t>
      </w:r>
      <w:proofErr w:type="spellStart"/>
      <w:r>
        <w:rPr>
          <w:lang w:val="en-US"/>
        </w:rPr>
        <w:t>en</w:t>
      </w:r>
      <w:proofErr w:type="spellEnd"/>
      <w:r>
        <w:rPr>
          <w:lang w:val="en-US"/>
        </w:rPr>
        <w:t xml:space="preserve"> première lecture</w:t>
      </w:r>
      <w:r>
        <w:rPr>
          <w:lang w:val="en-US"/>
        </w:rPr>
        <w:br/>
        <w:t xml:space="preserve">b) de </w:t>
      </w:r>
      <w:proofErr w:type="spellStart"/>
      <w:r>
        <w:rPr>
          <w:lang w:val="en-US"/>
        </w:rPr>
        <w:t>l'exposé</w:t>
      </w:r>
      <w:proofErr w:type="spellEnd"/>
      <w:r>
        <w:rPr>
          <w:lang w:val="en-US"/>
        </w:rPr>
        <w:t xml:space="preserve"> des motifs du </w:t>
      </w:r>
      <w:proofErr w:type="spellStart"/>
      <w:r>
        <w:rPr>
          <w:lang w:val="en-US"/>
        </w:rPr>
        <w:t>Conseil</w:t>
      </w:r>
      <w:proofErr w:type="spellEnd"/>
    </w:p>
    <w:p w14:paraId="6D68CDDE" w14:textId="20C69790" w:rsidR="00643D86" w:rsidRDefault="000F7E1D" w:rsidP="00643D86">
      <w:pPr>
        <w:rPr>
          <w:lang w:val="en-US"/>
        </w:rPr>
      </w:pPr>
      <w:r>
        <w:rPr>
          <w:noProof/>
          <w:lang w:val="en-US"/>
        </w:rPr>
        <w:t>14903</w:t>
      </w:r>
      <w:r>
        <w:rPr>
          <w:lang w:val="en-US"/>
        </w:rPr>
        <w:t>/15 CODEC 1642 AGRI 634 VETER 107 AGRILEG 238 ANIMAUX 61SAN 419+ ADD 1</w:t>
      </w:r>
      <w:r w:rsidR="00BC1B0A">
        <w:rPr>
          <w:lang w:val="en-US"/>
        </w:rPr>
        <w:t xml:space="preserve"> </w:t>
      </w:r>
      <w:r>
        <w:rPr>
          <w:lang w:val="en-US"/>
        </w:rPr>
        <w:t>11779/15 AGRI 460 VETER 68 AGRILEG 165 ANIMAUX 40 SAN 268CODEC 1161+ ADD 1</w:t>
      </w:r>
    </w:p>
    <w:p w14:paraId="6D68CDDF" w14:textId="77777777" w:rsidR="00643D86" w:rsidRDefault="000F7E1D" w:rsidP="00643D86">
      <w:r>
        <w:rPr>
          <w:b/>
        </w:rPr>
        <w:t>Ansvarigt statsråd</w:t>
      </w:r>
      <w:r>
        <w:rPr>
          <w:b/>
        </w:rPr>
        <w:br/>
      </w:r>
      <w:r>
        <w:rPr>
          <w:noProof/>
        </w:rPr>
        <w:t>Sven-Erik Bucht</w:t>
      </w:r>
    </w:p>
    <w:p w14:paraId="6D68CDE0" w14:textId="77777777" w:rsidR="00643D86" w:rsidRPr="00643D86" w:rsidRDefault="000F7E1D" w:rsidP="00643D86">
      <w:r w:rsidRPr="00643D86">
        <w:rPr>
          <w:b/>
        </w:rPr>
        <w:t>Tidigare behandling i riksdagen</w:t>
      </w:r>
      <w:r>
        <w:rPr>
          <w:b/>
        </w:rPr>
        <w:br/>
      </w:r>
      <w:r>
        <w:rPr>
          <w:noProof/>
        </w:rPr>
        <w:t>2015-06-11</w:t>
      </w:r>
    </w:p>
    <w:p w14:paraId="6D68CDE1" w14:textId="77777777" w:rsidR="00643D86" w:rsidRPr="00643D86" w:rsidRDefault="000F7E1D" w:rsidP="00643D86">
      <w:r w:rsidRPr="00643D86">
        <w:rPr>
          <w:b/>
        </w:rPr>
        <w:t>Tidigare behandling vid rådsmöte</w:t>
      </w:r>
      <w:r>
        <w:rPr>
          <w:b/>
        </w:rPr>
        <w:br/>
      </w:r>
      <w:r>
        <w:rPr>
          <w:noProof/>
        </w:rPr>
        <w:t>2015-06-15</w:t>
      </w:r>
    </w:p>
    <w:p w14:paraId="6D68CDE4" w14:textId="50B29D78" w:rsidR="00A70E69" w:rsidRDefault="000F7E1D" w:rsidP="00BC1B0A">
      <w:r w:rsidRPr="00B44CE2">
        <w:rPr>
          <w:b/>
        </w:rPr>
        <w:t>Annotering</w:t>
      </w:r>
      <w:r>
        <w:rPr>
          <w:b/>
        </w:rPr>
        <w:br/>
      </w:r>
      <w:r>
        <w:rPr>
          <w:b/>
          <w:bCs/>
        </w:rPr>
        <w:t>Avsikt med behandlingen i rådet:</w:t>
      </w:r>
      <w:r w:rsidR="00BC1B0A">
        <w:t xml:space="preserve"> </w:t>
      </w:r>
      <w:r>
        <w:t xml:space="preserve">Antagande av förordningen </w:t>
      </w:r>
    </w:p>
    <w:p w14:paraId="6D68CDE6" w14:textId="32AF86B9" w:rsidR="00A70E69" w:rsidRDefault="000F7E1D">
      <w:pPr>
        <w:spacing w:after="280" w:afterAutospacing="1"/>
      </w:pPr>
      <w:r>
        <w:rPr>
          <w:b/>
          <w:bCs/>
        </w:rPr>
        <w:t>Hur regeringen ställer sig till den blivande A-punkten:</w:t>
      </w:r>
      <w:r>
        <w:t xml:space="preserve"> Regeringen stödjer antagandet av förordningen </w:t>
      </w:r>
    </w:p>
    <w:p w14:paraId="6D68CDE8" w14:textId="3A01EE30" w:rsidR="00A70E69" w:rsidRDefault="000F7E1D">
      <w:pPr>
        <w:spacing w:after="280" w:afterAutospacing="1"/>
      </w:pPr>
      <w:r>
        <w:rPr>
          <w:b/>
          <w:bCs/>
        </w:rPr>
        <w:t>Bakgrund:</w:t>
      </w:r>
      <w:r w:rsidR="00BC1B0A">
        <w:rPr>
          <w:b/>
          <w:bCs/>
        </w:rPr>
        <w:t xml:space="preserve"> </w:t>
      </w:r>
      <w:r>
        <w:t xml:space="preserve">I maj 2013 </w:t>
      </w:r>
      <w:r w:rsidR="00E24BC1">
        <w:t>överlämnade</w:t>
      </w:r>
      <w:r>
        <w:t xml:space="preserve"> kommissionen sitt förslag till förordning om djurhälsa till rådet. Förslaget, som var en del av det större lagstiftningspaketet ”Friskare djur, sundare växter och en säkrare jordbruksbaserad livsmedelskedja - En moderniserad lagstiftning för ett mer konkurrenskraftigt EU”, syftade till att göra lagstiftningen enklare, modernare och mer sammanhållen samt att stärka sjukdomsövervakningen och klargöra djurhållarnas ansvar för djurhälsan. I maj 2014 antog Europaparlamentet sitt yttrande i första läsningen med 331 ändringsförslag. </w:t>
      </w:r>
    </w:p>
    <w:p w14:paraId="6D68CDED" w14:textId="2880BB8D" w:rsidR="00643D86" w:rsidRPr="00643D86" w:rsidRDefault="000F7E1D" w:rsidP="00BC1B0A">
      <w:pPr>
        <w:spacing w:after="280" w:afterAutospacing="1"/>
        <w:rPr>
          <w:lang w:val="en-US"/>
        </w:rPr>
      </w:pPr>
      <w:r>
        <w:lastRenderedPageBreak/>
        <w:t xml:space="preserve">Förslaget diskuterades i rådsstrukturen mellan maj 2013 och december 2014. Den 17 december 2014 nåddes en överenskommelse i Coreper om ett antal ändringsförslag. Coreper gav ett mandat till ordförandeskapet att förhandla med </w:t>
      </w:r>
      <w:proofErr w:type="spellStart"/>
      <w:r>
        <w:t>Europaparlamemtet</w:t>
      </w:r>
      <w:proofErr w:type="spellEnd"/>
      <w:r>
        <w:t xml:space="preserve"> för att nå en tidig andraläsningsöverenskommelse. </w:t>
      </w:r>
      <w:r>
        <w:br/>
        <w:t xml:space="preserve">Efter ett antal tekniska möten och informella </w:t>
      </w:r>
      <w:proofErr w:type="spellStart"/>
      <w:r>
        <w:t>trilogmöten</w:t>
      </w:r>
      <w:proofErr w:type="spellEnd"/>
      <w:r>
        <w:t xml:space="preserve"> nåddes en preliminär överenskommelse kring en kompromisstext vid ett </w:t>
      </w:r>
      <w:proofErr w:type="spellStart"/>
      <w:r>
        <w:t>trilogmöte</w:t>
      </w:r>
      <w:proofErr w:type="spellEnd"/>
      <w:r>
        <w:t xml:space="preserve"> den 1 juni 2015. En politisk överenskommelse träffades kring förslag</w:t>
      </w:r>
      <w:r w:rsidR="00BC1B0A">
        <w:t>et i ministerrådet den 16 juni.</w:t>
      </w:r>
      <w:bookmarkEnd w:id="1"/>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EA3A3" w14:textId="77777777" w:rsidR="00D31661" w:rsidRDefault="00D31661">
      <w:pPr>
        <w:spacing w:after="0" w:line="240" w:lineRule="auto"/>
      </w:pPr>
      <w:r>
        <w:separator/>
      </w:r>
    </w:p>
  </w:endnote>
  <w:endnote w:type="continuationSeparator" w:id="0">
    <w:p w14:paraId="70811634" w14:textId="77777777" w:rsidR="00D31661" w:rsidRDefault="00D3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7EA1E" w14:textId="77777777" w:rsidR="00D31661" w:rsidRDefault="00D31661">
      <w:pPr>
        <w:spacing w:after="0" w:line="240" w:lineRule="auto"/>
      </w:pPr>
      <w:r>
        <w:separator/>
      </w:r>
    </w:p>
  </w:footnote>
  <w:footnote w:type="continuationSeparator" w:id="0">
    <w:p w14:paraId="7D416FBC" w14:textId="77777777" w:rsidR="00D31661" w:rsidRDefault="00D31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11523"/>
      <w:docPartObj>
        <w:docPartGallery w:val="Page Numbers (Top of Page)"/>
        <w:docPartUnique/>
      </w:docPartObj>
    </w:sdtPr>
    <w:sdtEndPr/>
    <w:sdtContent>
      <w:p w14:paraId="0C5EAB00" w14:textId="011AE169" w:rsidR="007736CD" w:rsidRDefault="007736CD">
        <w:pPr>
          <w:pStyle w:val="Sidhuvud"/>
          <w:jc w:val="right"/>
        </w:pPr>
        <w:r>
          <w:fldChar w:fldCharType="begin"/>
        </w:r>
        <w:r>
          <w:instrText>PAGE   \* MERGEFORMAT</w:instrText>
        </w:r>
        <w:r>
          <w:fldChar w:fldCharType="separate"/>
        </w:r>
        <w:r w:rsidR="00424D91">
          <w:rPr>
            <w:noProof/>
          </w:rPr>
          <w:t>8</w:t>
        </w:r>
        <w:r>
          <w:fldChar w:fldCharType="end"/>
        </w:r>
      </w:p>
    </w:sdtContent>
  </w:sdt>
  <w:p w14:paraId="6D68CDEF" w14:textId="77777777" w:rsidR="006F1C0D" w:rsidRDefault="00D3166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70E69" w14:paraId="6D68CDF5" w14:textId="77777777" w:rsidTr="006E71D7">
      <w:tc>
        <w:tcPr>
          <w:tcW w:w="4606" w:type="dxa"/>
        </w:tcPr>
        <w:p w14:paraId="6D68CDF0" w14:textId="77777777" w:rsidR="006E71D7" w:rsidRDefault="000F7E1D" w:rsidP="00752770">
          <w:pPr>
            <w:pStyle w:val="Sidhuvud"/>
            <w:ind w:left="0"/>
          </w:pPr>
          <w:r>
            <w:rPr>
              <w:noProof/>
              <w:lang w:eastAsia="sv-SE"/>
            </w:rPr>
            <w:drawing>
              <wp:inline distT="0" distB="0" distL="0" distR="0" wp14:anchorId="6D68CDFB" wp14:editId="6D68CDF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D68CDF1" w14:textId="77777777" w:rsidR="00FB32B9" w:rsidRDefault="00D31661" w:rsidP="00FB32B9">
          <w:pPr>
            <w:ind w:right="916"/>
            <w:rPr>
              <w:rFonts w:ascii="TradeGothic" w:hAnsi="TradeGothic"/>
              <w:b/>
            </w:rPr>
          </w:pPr>
        </w:p>
        <w:p w14:paraId="6D68CDF2" w14:textId="77777777" w:rsidR="00FB32B9" w:rsidRDefault="000F7E1D" w:rsidP="00FB32B9">
          <w:pPr>
            <w:ind w:right="916"/>
          </w:pPr>
          <w:r>
            <w:rPr>
              <w:rFonts w:ascii="TradeGothic" w:hAnsi="TradeGothic"/>
              <w:b/>
            </w:rPr>
            <w:t>Promemoria</w:t>
          </w:r>
        </w:p>
        <w:p w14:paraId="6D68CDF3" w14:textId="77777777" w:rsidR="00FB32B9" w:rsidRDefault="00D31661" w:rsidP="00FB32B9">
          <w:pPr>
            <w:jc w:val="right"/>
          </w:pPr>
        </w:p>
        <w:p w14:paraId="6D68CDF4" w14:textId="5BC71DB2" w:rsidR="006E71D7" w:rsidRDefault="000F7E1D" w:rsidP="00FB32B9">
          <w:pPr>
            <w:ind w:right="916"/>
          </w:pPr>
          <w:r>
            <w:rPr>
              <w:rFonts w:ascii="TradeGothic" w:hAnsi="TradeGothic"/>
              <w:b/>
              <w:noProof/>
            </w:rPr>
            <w:t>2015-12-0</w:t>
          </w:r>
          <w:r w:rsidR="007736CD">
            <w:rPr>
              <w:rFonts w:ascii="TradeGothic" w:hAnsi="TradeGothic"/>
              <w:b/>
              <w:noProof/>
            </w:rPr>
            <w:t>9</w:t>
          </w:r>
          <w:r w:rsidRPr="00934953">
            <w:t xml:space="preserve"> </w:t>
          </w:r>
        </w:p>
      </w:tc>
    </w:tr>
  </w:tbl>
  <w:p w14:paraId="6D68CDF6" w14:textId="77777777" w:rsidR="00FB32B9" w:rsidRDefault="00D31661" w:rsidP="00FB32B9">
    <w:pPr>
      <w:pStyle w:val="Avsndare"/>
      <w:framePr w:w="0" w:hRule="auto" w:hSpace="0" w:wrap="auto" w:vAnchor="margin" w:hAnchor="text" w:xAlign="left" w:yAlign="inline"/>
      <w:rPr>
        <w:b/>
        <w:i w:val="0"/>
        <w:sz w:val="22"/>
      </w:rPr>
    </w:pPr>
  </w:p>
  <w:p w14:paraId="6D68CDF7" w14:textId="77777777" w:rsidR="00FB32B9" w:rsidRDefault="000F7E1D" w:rsidP="00FB32B9">
    <w:pPr>
      <w:pStyle w:val="Avsndare"/>
      <w:framePr w:w="0" w:hRule="auto" w:hSpace="0" w:wrap="auto" w:vAnchor="margin" w:hAnchor="text" w:xAlign="left" w:yAlign="inline"/>
      <w:rPr>
        <w:b/>
        <w:i w:val="0"/>
        <w:sz w:val="22"/>
      </w:rPr>
    </w:pPr>
    <w:r>
      <w:rPr>
        <w:b/>
        <w:i w:val="0"/>
        <w:sz w:val="22"/>
      </w:rPr>
      <w:t>Statsrådsberedningen</w:t>
    </w:r>
  </w:p>
  <w:p w14:paraId="6D68CDF8" w14:textId="77777777" w:rsidR="00FB32B9" w:rsidRDefault="00D31661" w:rsidP="00FB32B9">
    <w:pPr>
      <w:pStyle w:val="Avsndare"/>
      <w:framePr w:w="0" w:hRule="auto" w:hSpace="0" w:wrap="auto" w:vAnchor="margin" w:hAnchor="text" w:xAlign="left" w:yAlign="inline"/>
    </w:pPr>
  </w:p>
  <w:p w14:paraId="6D68CDF9" w14:textId="77777777" w:rsidR="00FB32B9" w:rsidRDefault="000F7E1D" w:rsidP="00FB32B9">
    <w:pPr>
      <w:pStyle w:val="Avsndare"/>
      <w:framePr w:w="0" w:hRule="auto" w:hSpace="0" w:wrap="auto" w:vAnchor="margin" w:hAnchor="text" w:xAlign="left" w:yAlign="inline"/>
    </w:pPr>
    <w:r>
      <w:t>EU-kansliet</w:t>
    </w:r>
  </w:p>
  <w:p w14:paraId="6D68CDFA" w14:textId="77777777" w:rsidR="0012376B" w:rsidRDefault="00D3166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64CAE44">
      <w:start w:val="1"/>
      <w:numFmt w:val="decimal"/>
      <w:pStyle w:val="Rubrik1"/>
      <w:lvlText w:val="%1."/>
      <w:lvlJc w:val="left"/>
      <w:pPr>
        <w:ind w:left="720" w:hanging="360"/>
      </w:pPr>
    </w:lvl>
    <w:lvl w:ilvl="1" w:tplc="F4FAE3E0" w:tentative="1">
      <w:start w:val="1"/>
      <w:numFmt w:val="lowerLetter"/>
      <w:lvlText w:val="%2."/>
      <w:lvlJc w:val="left"/>
      <w:pPr>
        <w:ind w:left="1440" w:hanging="360"/>
      </w:pPr>
    </w:lvl>
    <w:lvl w:ilvl="2" w:tplc="92C64B88" w:tentative="1">
      <w:start w:val="1"/>
      <w:numFmt w:val="lowerRoman"/>
      <w:lvlText w:val="%3."/>
      <w:lvlJc w:val="right"/>
      <w:pPr>
        <w:ind w:left="2160" w:hanging="180"/>
      </w:pPr>
    </w:lvl>
    <w:lvl w:ilvl="3" w:tplc="21540BD2" w:tentative="1">
      <w:start w:val="1"/>
      <w:numFmt w:val="decimal"/>
      <w:lvlText w:val="%4."/>
      <w:lvlJc w:val="left"/>
      <w:pPr>
        <w:ind w:left="2880" w:hanging="360"/>
      </w:pPr>
    </w:lvl>
    <w:lvl w:ilvl="4" w:tplc="CB6A2C3C" w:tentative="1">
      <w:start w:val="1"/>
      <w:numFmt w:val="lowerLetter"/>
      <w:lvlText w:val="%5."/>
      <w:lvlJc w:val="left"/>
      <w:pPr>
        <w:ind w:left="3600" w:hanging="360"/>
      </w:pPr>
    </w:lvl>
    <w:lvl w:ilvl="5" w:tplc="5CB6180C" w:tentative="1">
      <w:start w:val="1"/>
      <w:numFmt w:val="lowerRoman"/>
      <w:lvlText w:val="%6."/>
      <w:lvlJc w:val="right"/>
      <w:pPr>
        <w:ind w:left="4320" w:hanging="180"/>
      </w:pPr>
    </w:lvl>
    <w:lvl w:ilvl="6" w:tplc="FBE05DE2" w:tentative="1">
      <w:start w:val="1"/>
      <w:numFmt w:val="decimal"/>
      <w:lvlText w:val="%7."/>
      <w:lvlJc w:val="left"/>
      <w:pPr>
        <w:ind w:left="5040" w:hanging="360"/>
      </w:pPr>
    </w:lvl>
    <w:lvl w:ilvl="7" w:tplc="2278A13E" w:tentative="1">
      <w:start w:val="1"/>
      <w:numFmt w:val="lowerLetter"/>
      <w:lvlText w:val="%8."/>
      <w:lvlJc w:val="left"/>
      <w:pPr>
        <w:ind w:left="5760" w:hanging="360"/>
      </w:pPr>
    </w:lvl>
    <w:lvl w:ilvl="8" w:tplc="6D24557C" w:tentative="1">
      <w:start w:val="1"/>
      <w:numFmt w:val="lowerRoman"/>
      <w:lvlText w:val="%9."/>
      <w:lvlJc w:val="right"/>
      <w:pPr>
        <w:ind w:left="6480" w:hanging="180"/>
      </w:pPr>
    </w:lvl>
  </w:abstractNum>
  <w:abstractNum w:abstractNumId="1">
    <w:nsid w:val="73990993"/>
    <w:multiLevelType w:val="hybridMultilevel"/>
    <w:tmpl w:val="3BD822EE"/>
    <w:lvl w:ilvl="0" w:tplc="16F4D76C">
      <w:start w:val="1"/>
      <w:numFmt w:val="decimal"/>
      <w:lvlText w:val="%1."/>
      <w:lvlJc w:val="left"/>
      <w:pPr>
        <w:ind w:left="360" w:hanging="360"/>
      </w:pPr>
      <w:rPr>
        <w:b w:val="0"/>
      </w:rPr>
    </w:lvl>
    <w:lvl w:ilvl="1" w:tplc="C444E5F8" w:tentative="1">
      <w:start w:val="1"/>
      <w:numFmt w:val="lowerLetter"/>
      <w:lvlText w:val="%2."/>
      <w:lvlJc w:val="left"/>
      <w:pPr>
        <w:ind w:left="1080" w:hanging="360"/>
      </w:pPr>
    </w:lvl>
    <w:lvl w:ilvl="2" w:tplc="18CEE0FA" w:tentative="1">
      <w:start w:val="1"/>
      <w:numFmt w:val="lowerRoman"/>
      <w:lvlText w:val="%3."/>
      <w:lvlJc w:val="right"/>
      <w:pPr>
        <w:ind w:left="1800" w:hanging="180"/>
      </w:pPr>
    </w:lvl>
    <w:lvl w:ilvl="3" w:tplc="7CF2DF5E" w:tentative="1">
      <w:start w:val="1"/>
      <w:numFmt w:val="decimal"/>
      <w:lvlText w:val="%4."/>
      <w:lvlJc w:val="left"/>
      <w:pPr>
        <w:ind w:left="2520" w:hanging="360"/>
      </w:pPr>
    </w:lvl>
    <w:lvl w:ilvl="4" w:tplc="BD060D02" w:tentative="1">
      <w:start w:val="1"/>
      <w:numFmt w:val="lowerLetter"/>
      <w:lvlText w:val="%5."/>
      <w:lvlJc w:val="left"/>
      <w:pPr>
        <w:ind w:left="3240" w:hanging="360"/>
      </w:pPr>
    </w:lvl>
    <w:lvl w:ilvl="5" w:tplc="6EC61988" w:tentative="1">
      <w:start w:val="1"/>
      <w:numFmt w:val="lowerRoman"/>
      <w:lvlText w:val="%6."/>
      <w:lvlJc w:val="right"/>
      <w:pPr>
        <w:ind w:left="3960" w:hanging="180"/>
      </w:pPr>
    </w:lvl>
    <w:lvl w:ilvl="6" w:tplc="C370172C" w:tentative="1">
      <w:start w:val="1"/>
      <w:numFmt w:val="decimal"/>
      <w:lvlText w:val="%7."/>
      <w:lvlJc w:val="left"/>
      <w:pPr>
        <w:ind w:left="4680" w:hanging="360"/>
      </w:pPr>
    </w:lvl>
    <w:lvl w:ilvl="7" w:tplc="4D3208FE" w:tentative="1">
      <w:start w:val="1"/>
      <w:numFmt w:val="lowerLetter"/>
      <w:lvlText w:val="%8."/>
      <w:lvlJc w:val="left"/>
      <w:pPr>
        <w:ind w:left="5400" w:hanging="360"/>
      </w:pPr>
    </w:lvl>
    <w:lvl w:ilvl="8" w:tplc="716CCDE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69"/>
    <w:rsid w:val="000609D9"/>
    <w:rsid w:val="000F7E1D"/>
    <w:rsid w:val="00424D91"/>
    <w:rsid w:val="007736CD"/>
    <w:rsid w:val="00A70E69"/>
    <w:rsid w:val="00BC1B0A"/>
    <w:rsid w:val="00C870F6"/>
    <w:rsid w:val="00D31661"/>
    <w:rsid w:val="00E24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BC1B0A"/>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C870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BC1B0A"/>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C87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78432">
      <w:bodyDiv w:val="1"/>
      <w:marLeft w:val="0"/>
      <w:marRight w:val="0"/>
      <w:marTop w:val="0"/>
      <w:marBottom w:val="0"/>
      <w:divBdr>
        <w:top w:val="none" w:sz="0" w:space="0" w:color="auto"/>
        <w:left w:val="none" w:sz="0" w:space="0" w:color="auto"/>
        <w:bottom w:val="none" w:sz="0" w:space="0" w:color="auto"/>
        <w:right w:val="none" w:sz="0" w:space="0" w:color="auto"/>
      </w:divBdr>
      <w:divsChild>
        <w:div w:id="1633318448">
          <w:marLeft w:val="0"/>
          <w:marRight w:val="0"/>
          <w:marTop w:val="0"/>
          <w:marBottom w:val="0"/>
          <w:divBdr>
            <w:top w:val="none" w:sz="0" w:space="0" w:color="auto"/>
            <w:left w:val="none" w:sz="0" w:space="0" w:color="auto"/>
            <w:bottom w:val="none" w:sz="0" w:space="0" w:color="auto"/>
            <w:right w:val="none" w:sz="0" w:space="0" w:color="auto"/>
          </w:divBdr>
          <w:divsChild>
            <w:div w:id="1637905098">
              <w:marLeft w:val="0"/>
              <w:marRight w:val="0"/>
              <w:marTop w:val="0"/>
              <w:marBottom w:val="0"/>
              <w:divBdr>
                <w:top w:val="none" w:sz="0" w:space="0" w:color="auto"/>
                <w:left w:val="none" w:sz="0" w:space="0" w:color="auto"/>
                <w:bottom w:val="none" w:sz="0" w:space="0" w:color="auto"/>
                <w:right w:val="none" w:sz="0" w:space="0" w:color="auto"/>
              </w:divBdr>
              <w:divsChild>
                <w:div w:id="1604991162">
                  <w:marLeft w:val="0"/>
                  <w:marRight w:val="0"/>
                  <w:marTop w:val="0"/>
                  <w:marBottom w:val="0"/>
                  <w:divBdr>
                    <w:top w:val="none" w:sz="0" w:space="0" w:color="auto"/>
                    <w:left w:val="none" w:sz="0" w:space="0" w:color="auto"/>
                    <w:bottom w:val="none" w:sz="0" w:space="0" w:color="auto"/>
                    <w:right w:val="none" w:sz="0" w:space="0" w:color="auto"/>
                  </w:divBdr>
                  <w:divsChild>
                    <w:div w:id="974523742">
                      <w:marLeft w:val="0"/>
                      <w:marRight w:val="0"/>
                      <w:marTop w:val="0"/>
                      <w:marBottom w:val="0"/>
                      <w:divBdr>
                        <w:top w:val="none" w:sz="0" w:space="0" w:color="auto"/>
                        <w:left w:val="none" w:sz="0" w:space="0" w:color="auto"/>
                        <w:bottom w:val="none" w:sz="0" w:space="0" w:color="auto"/>
                        <w:right w:val="none" w:sz="0" w:space="0" w:color="auto"/>
                      </w:divBdr>
                      <w:divsChild>
                        <w:div w:id="1490562146">
                          <w:marLeft w:val="2325"/>
                          <w:marRight w:val="0"/>
                          <w:marTop w:val="0"/>
                          <w:marBottom w:val="0"/>
                          <w:divBdr>
                            <w:top w:val="none" w:sz="0" w:space="0" w:color="auto"/>
                            <w:left w:val="none" w:sz="0" w:space="0" w:color="auto"/>
                            <w:bottom w:val="none" w:sz="0" w:space="0" w:color="auto"/>
                            <w:right w:val="none" w:sz="0" w:space="0" w:color="auto"/>
                          </w:divBdr>
                          <w:divsChild>
                            <w:div w:id="1029182751">
                              <w:marLeft w:val="0"/>
                              <w:marRight w:val="0"/>
                              <w:marTop w:val="0"/>
                              <w:marBottom w:val="0"/>
                              <w:divBdr>
                                <w:top w:val="none" w:sz="0" w:space="0" w:color="auto"/>
                                <w:left w:val="none" w:sz="0" w:space="0" w:color="auto"/>
                                <w:bottom w:val="none" w:sz="0" w:space="0" w:color="auto"/>
                                <w:right w:val="none" w:sz="0" w:space="0" w:color="auto"/>
                              </w:divBdr>
                              <w:divsChild>
                                <w:div w:id="2001888952">
                                  <w:marLeft w:val="0"/>
                                  <w:marRight w:val="0"/>
                                  <w:marTop w:val="0"/>
                                  <w:marBottom w:val="0"/>
                                  <w:divBdr>
                                    <w:top w:val="none" w:sz="0" w:space="0" w:color="auto"/>
                                    <w:left w:val="none" w:sz="0" w:space="0" w:color="auto"/>
                                    <w:bottom w:val="none" w:sz="0" w:space="0" w:color="auto"/>
                                    <w:right w:val="none" w:sz="0" w:space="0" w:color="auto"/>
                                  </w:divBdr>
                                  <w:divsChild>
                                    <w:div w:id="365519879">
                                      <w:marLeft w:val="0"/>
                                      <w:marRight w:val="0"/>
                                      <w:marTop w:val="0"/>
                                      <w:marBottom w:val="0"/>
                                      <w:divBdr>
                                        <w:top w:val="none" w:sz="0" w:space="0" w:color="auto"/>
                                        <w:left w:val="none" w:sz="0" w:space="0" w:color="auto"/>
                                        <w:bottom w:val="none" w:sz="0" w:space="0" w:color="auto"/>
                                        <w:right w:val="none" w:sz="0" w:space="0" w:color="auto"/>
                                      </w:divBdr>
                                      <w:divsChild>
                                        <w:div w:id="873662482">
                                          <w:marLeft w:val="480"/>
                                          <w:marRight w:val="0"/>
                                          <w:marTop w:val="0"/>
                                          <w:marBottom w:val="0"/>
                                          <w:divBdr>
                                            <w:top w:val="none" w:sz="0" w:space="0" w:color="auto"/>
                                            <w:left w:val="none" w:sz="0" w:space="0" w:color="auto"/>
                                            <w:bottom w:val="none" w:sz="0" w:space="0" w:color="auto"/>
                                            <w:right w:val="none" w:sz="0" w:space="0" w:color="auto"/>
                                          </w:divBdr>
                                          <w:divsChild>
                                            <w:div w:id="44263132">
                                              <w:marLeft w:val="0"/>
                                              <w:marRight w:val="0"/>
                                              <w:marTop w:val="0"/>
                                              <w:marBottom w:val="0"/>
                                              <w:divBdr>
                                                <w:top w:val="none" w:sz="0" w:space="0" w:color="auto"/>
                                                <w:left w:val="none" w:sz="0" w:space="0" w:color="auto"/>
                                                <w:bottom w:val="none" w:sz="0" w:space="0" w:color="auto"/>
                                                <w:right w:val="none" w:sz="0" w:space="0" w:color="auto"/>
                                              </w:divBdr>
                                              <w:divsChild>
                                                <w:div w:id="341592506">
                                                  <w:marLeft w:val="0"/>
                                                  <w:marRight w:val="0"/>
                                                  <w:marTop w:val="0"/>
                                                  <w:marBottom w:val="0"/>
                                                  <w:divBdr>
                                                    <w:top w:val="none" w:sz="0" w:space="0" w:color="auto"/>
                                                    <w:left w:val="none" w:sz="0" w:space="0" w:color="auto"/>
                                                    <w:bottom w:val="none" w:sz="0" w:space="0" w:color="auto"/>
                                                    <w:right w:val="none" w:sz="0" w:space="0" w:color="auto"/>
                                                  </w:divBdr>
                                                  <w:divsChild>
                                                    <w:div w:id="837765466">
                                                      <w:marLeft w:val="0"/>
                                                      <w:marRight w:val="0"/>
                                                      <w:marTop w:val="0"/>
                                                      <w:marBottom w:val="0"/>
                                                      <w:divBdr>
                                                        <w:top w:val="none" w:sz="0" w:space="0" w:color="auto"/>
                                                        <w:left w:val="none" w:sz="0" w:space="0" w:color="auto"/>
                                                        <w:bottom w:val="none" w:sz="0" w:space="0" w:color="auto"/>
                                                        <w:right w:val="none" w:sz="0" w:space="0" w:color="auto"/>
                                                      </w:divBdr>
                                                      <w:divsChild>
                                                        <w:div w:id="1881088290">
                                                          <w:marLeft w:val="0"/>
                                                          <w:marRight w:val="0"/>
                                                          <w:marTop w:val="0"/>
                                                          <w:marBottom w:val="0"/>
                                                          <w:divBdr>
                                                            <w:top w:val="none" w:sz="0" w:space="0" w:color="auto"/>
                                                            <w:left w:val="none" w:sz="0" w:space="0" w:color="auto"/>
                                                            <w:bottom w:val="none" w:sz="0" w:space="0" w:color="auto"/>
                                                            <w:right w:val="none" w:sz="0" w:space="0" w:color="auto"/>
                                                          </w:divBdr>
                                                          <w:divsChild>
                                                            <w:div w:id="1629629990">
                                                              <w:marLeft w:val="0"/>
                                                              <w:marRight w:val="0"/>
                                                              <w:marTop w:val="0"/>
                                                              <w:marBottom w:val="0"/>
                                                              <w:divBdr>
                                                                <w:top w:val="none" w:sz="0" w:space="0" w:color="auto"/>
                                                                <w:left w:val="none" w:sz="0" w:space="0" w:color="auto"/>
                                                                <w:bottom w:val="none" w:sz="0" w:space="0" w:color="auto"/>
                                                                <w:right w:val="none" w:sz="0" w:space="0" w:color="auto"/>
                                                              </w:divBdr>
                                                              <w:divsChild>
                                                                <w:div w:id="1373193697">
                                                                  <w:marLeft w:val="0"/>
                                                                  <w:marRight w:val="0"/>
                                                                  <w:marTop w:val="0"/>
                                                                  <w:marBottom w:val="0"/>
                                                                  <w:divBdr>
                                                                    <w:top w:val="none" w:sz="0" w:space="0" w:color="auto"/>
                                                                    <w:left w:val="none" w:sz="0" w:space="0" w:color="auto"/>
                                                                    <w:bottom w:val="none" w:sz="0" w:space="0" w:color="auto"/>
                                                                    <w:right w:val="none" w:sz="0" w:space="0" w:color="auto"/>
                                                                  </w:divBdr>
                                                                  <w:divsChild>
                                                                    <w:div w:id="1091974140">
                                                                      <w:marLeft w:val="0"/>
                                                                      <w:marRight w:val="0"/>
                                                                      <w:marTop w:val="96"/>
                                                                      <w:marBottom w:val="0"/>
                                                                      <w:divBdr>
                                                                        <w:top w:val="none" w:sz="0" w:space="0" w:color="auto"/>
                                                                        <w:left w:val="none" w:sz="0" w:space="0" w:color="auto"/>
                                                                        <w:bottom w:val="none" w:sz="0" w:space="0" w:color="auto"/>
                                                                        <w:right w:val="none" w:sz="0" w:space="0" w:color="auto"/>
                                                                      </w:divBdr>
                                                                      <w:divsChild>
                                                                        <w:div w:id="694232375">
                                                                          <w:marLeft w:val="0"/>
                                                                          <w:marRight w:val="0"/>
                                                                          <w:marTop w:val="72"/>
                                                                          <w:marBottom w:val="0"/>
                                                                          <w:divBdr>
                                                                            <w:top w:val="none" w:sz="0" w:space="0" w:color="auto"/>
                                                                            <w:left w:val="none" w:sz="0" w:space="0" w:color="auto"/>
                                                                            <w:bottom w:val="none" w:sz="0" w:space="0" w:color="auto"/>
                                                                            <w:right w:val="none" w:sz="0" w:space="0" w:color="auto"/>
                                                                          </w:divBdr>
                                                                          <w:divsChild>
                                                                            <w:div w:id="1484614121">
                                                                              <w:marLeft w:val="0"/>
                                                                              <w:marRight w:val="0"/>
                                                                              <w:marTop w:val="0"/>
                                                                              <w:marBottom w:val="0"/>
                                                                              <w:divBdr>
                                                                                <w:top w:val="none" w:sz="0" w:space="0" w:color="auto"/>
                                                                                <w:left w:val="none" w:sz="0" w:space="0" w:color="auto"/>
                                                                                <w:bottom w:val="none" w:sz="0" w:space="0" w:color="auto"/>
                                                                                <w:right w:val="none" w:sz="0" w:space="0" w:color="auto"/>
                                                                              </w:divBdr>
                                                                              <w:divsChild>
                                                                                <w:div w:id="3858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525536">
      <w:bodyDiv w:val="1"/>
      <w:marLeft w:val="0"/>
      <w:marRight w:val="0"/>
      <w:marTop w:val="0"/>
      <w:marBottom w:val="0"/>
      <w:divBdr>
        <w:top w:val="none" w:sz="0" w:space="0" w:color="auto"/>
        <w:left w:val="none" w:sz="0" w:space="0" w:color="auto"/>
        <w:bottom w:val="none" w:sz="0" w:space="0" w:color="auto"/>
        <w:right w:val="none" w:sz="0" w:space="0" w:color="auto"/>
      </w:divBdr>
      <w:divsChild>
        <w:div w:id="140120183">
          <w:marLeft w:val="0"/>
          <w:marRight w:val="0"/>
          <w:marTop w:val="0"/>
          <w:marBottom w:val="0"/>
          <w:divBdr>
            <w:top w:val="none" w:sz="0" w:space="0" w:color="auto"/>
            <w:left w:val="none" w:sz="0" w:space="0" w:color="auto"/>
            <w:bottom w:val="none" w:sz="0" w:space="0" w:color="auto"/>
            <w:right w:val="none" w:sz="0" w:space="0" w:color="auto"/>
          </w:divBdr>
          <w:divsChild>
            <w:div w:id="1951012495">
              <w:marLeft w:val="0"/>
              <w:marRight w:val="0"/>
              <w:marTop w:val="0"/>
              <w:marBottom w:val="0"/>
              <w:divBdr>
                <w:top w:val="none" w:sz="0" w:space="0" w:color="auto"/>
                <w:left w:val="none" w:sz="0" w:space="0" w:color="auto"/>
                <w:bottom w:val="none" w:sz="0" w:space="0" w:color="auto"/>
                <w:right w:val="none" w:sz="0" w:space="0" w:color="auto"/>
              </w:divBdr>
              <w:divsChild>
                <w:div w:id="1706052946">
                  <w:marLeft w:val="0"/>
                  <w:marRight w:val="0"/>
                  <w:marTop w:val="0"/>
                  <w:marBottom w:val="0"/>
                  <w:divBdr>
                    <w:top w:val="none" w:sz="0" w:space="0" w:color="auto"/>
                    <w:left w:val="none" w:sz="0" w:space="0" w:color="auto"/>
                    <w:bottom w:val="none" w:sz="0" w:space="0" w:color="auto"/>
                    <w:right w:val="none" w:sz="0" w:space="0" w:color="auto"/>
                  </w:divBdr>
                  <w:divsChild>
                    <w:div w:id="1753966168">
                      <w:marLeft w:val="0"/>
                      <w:marRight w:val="0"/>
                      <w:marTop w:val="0"/>
                      <w:marBottom w:val="0"/>
                      <w:divBdr>
                        <w:top w:val="none" w:sz="0" w:space="0" w:color="auto"/>
                        <w:left w:val="none" w:sz="0" w:space="0" w:color="auto"/>
                        <w:bottom w:val="none" w:sz="0" w:space="0" w:color="auto"/>
                        <w:right w:val="none" w:sz="0" w:space="0" w:color="auto"/>
                      </w:divBdr>
                      <w:divsChild>
                        <w:div w:id="1263605824">
                          <w:marLeft w:val="2325"/>
                          <w:marRight w:val="0"/>
                          <w:marTop w:val="0"/>
                          <w:marBottom w:val="0"/>
                          <w:divBdr>
                            <w:top w:val="none" w:sz="0" w:space="0" w:color="auto"/>
                            <w:left w:val="none" w:sz="0" w:space="0" w:color="auto"/>
                            <w:bottom w:val="none" w:sz="0" w:space="0" w:color="auto"/>
                            <w:right w:val="none" w:sz="0" w:space="0" w:color="auto"/>
                          </w:divBdr>
                          <w:divsChild>
                            <w:div w:id="932056080">
                              <w:marLeft w:val="0"/>
                              <w:marRight w:val="0"/>
                              <w:marTop w:val="0"/>
                              <w:marBottom w:val="0"/>
                              <w:divBdr>
                                <w:top w:val="none" w:sz="0" w:space="0" w:color="auto"/>
                                <w:left w:val="none" w:sz="0" w:space="0" w:color="auto"/>
                                <w:bottom w:val="none" w:sz="0" w:space="0" w:color="auto"/>
                                <w:right w:val="none" w:sz="0" w:space="0" w:color="auto"/>
                              </w:divBdr>
                              <w:divsChild>
                                <w:div w:id="1688481780">
                                  <w:marLeft w:val="0"/>
                                  <w:marRight w:val="0"/>
                                  <w:marTop w:val="0"/>
                                  <w:marBottom w:val="0"/>
                                  <w:divBdr>
                                    <w:top w:val="none" w:sz="0" w:space="0" w:color="auto"/>
                                    <w:left w:val="none" w:sz="0" w:space="0" w:color="auto"/>
                                    <w:bottom w:val="none" w:sz="0" w:space="0" w:color="auto"/>
                                    <w:right w:val="none" w:sz="0" w:space="0" w:color="auto"/>
                                  </w:divBdr>
                                  <w:divsChild>
                                    <w:div w:id="1621566536">
                                      <w:marLeft w:val="0"/>
                                      <w:marRight w:val="0"/>
                                      <w:marTop w:val="0"/>
                                      <w:marBottom w:val="0"/>
                                      <w:divBdr>
                                        <w:top w:val="none" w:sz="0" w:space="0" w:color="auto"/>
                                        <w:left w:val="none" w:sz="0" w:space="0" w:color="auto"/>
                                        <w:bottom w:val="none" w:sz="0" w:space="0" w:color="auto"/>
                                        <w:right w:val="none" w:sz="0" w:space="0" w:color="auto"/>
                                      </w:divBdr>
                                      <w:divsChild>
                                        <w:div w:id="310642557">
                                          <w:marLeft w:val="480"/>
                                          <w:marRight w:val="0"/>
                                          <w:marTop w:val="0"/>
                                          <w:marBottom w:val="0"/>
                                          <w:divBdr>
                                            <w:top w:val="none" w:sz="0" w:space="0" w:color="auto"/>
                                            <w:left w:val="none" w:sz="0" w:space="0" w:color="auto"/>
                                            <w:bottom w:val="none" w:sz="0" w:space="0" w:color="auto"/>
                                            <w:right w:val="none" w:sz="0" w:space="0" w:color="auto"/>
                                          </w:divBdr>
                                          <w:divsChild>
                                            <w:div w:id="876814122">
                                              <w:marLeft w:val="0"/>
                                              <w:marRight w:val="0"/>
                                              <w:marTop w:val="0"/>
                                              <w:marBottom w:val="0"/>
                                              <w:divBdr>
                                                <w:top w:val="none" w:sz="0" w:space="0" w:color="auto"/>
                                                <w:left w:val="none" w:sz="0" w:space="0" w:color="auto"/>
                                                <w:bottom w:val="none" w:sz="0" w:space="0" w:color="auto"/>
                                                <w:right w:val="none" w:sz="0" w:space="0" w:color="auto"/>
                                              </w:divBdr>
                                              <w:divsChild>
                                                <w:div w:id="811482121">
                                                  <w:marLeft w:val="0"/>
                                                  <w:marRight w:val="0"/>
                                                  <w:marTop w:val="0"/>
                                                  <w:marBottom w:val="0"/>
                                                  <w:divBdr>
                                                    <w:top w:val="none" w:sz="0" w:space="0" w:color="auto"/>
                                                    <w:left w:val="none" w:sz="0" w:space="0" w:color="auto"/>
                                                    <w:bottom w:val="none" w:sz="0" w:space="0" w:color="auto"/>
                                                    <w:right w:val="none" w:sz="0" w:space="0" w:color="auto"/>
                                                  </w:divBdr>
                                                  <w:divsChild>
                                                    <w:div w:id="1555119149">
                                                      <w:marLeft w:val="0"/>
                                                      <w:marRight w:val="0"/>
                                                      <w:marTop w:val="0"/>
                                                      <w:marBottom w:val="0"/>
                                                      <w:divBdr>
                                                        <w:top w:val="none" w:sz="0" w:space="0" w:color="auto"/>
                                                        <w:left w:val="none" w:sz="0" w:space="0" w:color="auto"/>
                                                        <w:bottom w:val="none" w:sz="0" w:space="0" w:color="auto"/>
                                                        <w:right w:val="none" w:sz="0" w:space="0" w:color="auto"/>
                                                      </w:divBdr>
                                                      <w:divsChild>
                                                        <w:div w:id="4719525">
                                                          <w:marLeft w:val="0"/>
                                                          <w:marRight w:val="0"/>
                                                          <w:marTop w:val="0"/>
                                                          <w:marBottom w:val="0"/>
                                                          <w:divBdr>
                                                            <w:top w:val="none" w:sz="0" w:space="0" w:color="auto"/>
                                                            <w:left w:val="none" w:sz="0" w:space="0" w:color="auto"/>
                                                            <w:bottom w:val="none" w:sz="0" w:space="0" w:color="auto"/>
                                                            <w:right w:val="none" w:sz="0" w:space="0" w:color="auto"/>
                                                          </w:divBdr>
                                                          <w:divsChild>
                                                            <w:div w:id="1791823576">
                                                              <w:marLeft w:val="0"/>
                                                              <w:marRight w:val="0"/>
                                                              <w:marTop w:val="0"/>
                                                              <w:marBottom w:val="0"/>
                                                              <w:divBdr>
                                                                <w:top w:val="none" w:sz="0" w:space="0" w:color="auto"/>
                                                                <w:left w:val="none" w:sz="0" w:space="0" w:color="auto"/>
                                                                <w:bottom w:val="none" w:sz="0" w:space="0" w:color="auto"/>
                                                                <w:right w:val="none" w:sz="0" w:space="0" w:color="auto"/>
                                                              </w:divBdr>
                                                              <w:divsChild>
                                                                <w:div w:id="1703356458">
                                                                  <w:marLeft w:val="0"/>
                                                                  <w:marRight w:val="0"/>
                                                                  <w:marTop w:val="0"/>
                                                                  <w:marBottom w:val="0"/>
                                                                  <w:divBdr>
                                                                    <w:top w:val="none" w:sz="0" w:space="0" w:color="auto"/>
                                                                    <w:left w:val="none" w:sz="0" w:space="0" w:color="auto"/>
                                                                    <w:bottom w:val="none" w:sz="0" w:space="0" w:color="auto"/>
                                                                    <w:right w:val="none" w:sz="0" w:space="0" w:color="auto"/>
                                                                  </w:divBdr>
                                                                  <w:divsChild>
                                                                    <w:div w:id="191379476">
                                                                      <w:marLeft w:val="0"/>
                                                                      <w:marRight w:val="0"/>
                                                                      <w:marTop w:val="96"/>
                                                                      <w:marBottom w:val="0"/>
                                                                      <w:divBdr>
                                                                        <w:top w:val="none" w:sz="0" w:space="0" w:color="auto"/>
                                                                        <w:left w:val="none" w:sz="0" w:space="0" w:color="auto"/>
                                                                        <w:bottom w:val="none" w:sz="0" w:space="0" w:color="auto"/>
                                                                        <w:right w:val="none" w:sz="0" w:space="0" w:color="auto"/>
                                                                      </w:divBdr>
                                                                      <w:divsChild>
                                                                        <w:div w:id="1157763414">
                                                                          <w:marLeft w:val="0"/>
                                                                          <w:marRight w:val="0"/>
                                                                          <w:marTop w:val="72"/>
                                                                          <w:marBottom w:val="0"/>
                                                                          <w:divBdr>
                                                                            <w:top w:val="none" w:sz="0" w:space="0" w:color="auto"/>
                                                                            <w:left w:val="none" w:sz="0" w:space="0" w:color="auto"/>
                                                                            <w:bottom w:val="none" w:sz="0" w:space="0" w:color="auto"/>
                                                                            <w:right w:val="none" w:sz="0" w:space="0" w:color="auto"/>
                                                                          </w:divBdr>
                                                                          <w:divsChild>
                                                                            <w:div w:id="1522085182">
                                                                              <w:marLeft w:val="0"/>
                                                                              <w:marRight w:val="0"/>
                                                                              <w:marTop w:val="0"/>
                                                                              <w:marBottom w:val="0"/>
                                                                              <w:divBdr>
                                                                                <w:top w:val="none" w:sz="0" w:space="0" w:color="auto"/>
                                                                                <w:left w:val="none" w:sz="0" w:space="0" w:color="auto"/>
                                                                                <w:bottom w:val="none" w:sz="0" w:space="0" w:color="auto"/>
                                                                                <w:right w:val="none" w:sz="0" w:space="0" w:color="auto"/>
                                                                              </w:divBdr>
                                                                              <w:divsChild>
                                                                                <w:div w:id="20638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JE6N4JFJXNNF-9-70313</_dlc_DocId>
    <_dlc_DocIdUrl xmlns="8b66ae41-1ec6-402e-b662-35d1932ca064">
      <Url>http://rkdhs-sb/enhet/EUKansli/_layouts/DocIdRedir.aspx?ID=JE6N4JFJXNNF-9-70313</Url>
      <Description>JE6N4JFJXNNF-9-70313</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0F44-8900-494E-BEC5-59DAE397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3BA99-3F65-435F-A711-9CDD493A5554}">
  <ds:schemaRefs>
    <ds:schemaRef ds:uri="http://schemas.microsoft.com/sharepoint/v3/contenttype/forms"/>
  </ds:schemaRefs>
</ds:datastoreItem>
</file>

<file path=customXml/itemProps3.xml><?xml version="1.0" encoding="utf-8"?>
<ds:datastoreItem xmlns:ds="http://schemas.openxmlformats.org/officeDocument/2006/customXml" ds:itemID="{C0672C63-8D15-427F-8DCA-DDCC7FC28B0D}">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D817CA2B-1911-4393-9A0E-6C84C3658568}">
  <ds:schemaRefs>
    <ds:schemaRef ds:uri="http://schemas.microsoft.com/sharepoint/v3/contenttype/forms/url"/>
  </ds:schemaRefs>
</ds:datastoreItem>
</file>

<file path=customXml/itemProps5.xml><?xml version="1.0" encoding="utf-8"?>
<ds:datastoreItem xmlns:ds="http://schemas.openxmlformats.org/officeDocument/2006/customXml" ds:itemID="{859460D1-B1D4-4971-A9A0-3FA6F4CBFB41}">
  <ds:schemaRefs>
    <ds:schemaRef ds:uri="http://schemas.microsoft.com/office/2006/metadata/customXsn"/>
  </ds:schemaRefs>
</ds:datastoreItem>
</file>

<file path=customXml/itemProps6.xml><?xml version="1.0" encoding="utf-8"?>
<ds:datastoreItem xmlns:ds="http://schemas.openxmlformats.org/officeDocument/2006/customXml" ds:itemID="{010E29D3-1C70-46D7-8F29-92516471C99C}">
  <ds:schemaRefs>
    <ds:schemaRef ds:uri="http://schemas.microsoft.com/sharepoint/events"/>
  </ds:schemaRefs>
</ds:datastoreItem>
</file>

<file path=customXml/itemProps7.xml><?xml version="1.0" encoding="utf-8"?>
<ds:datastoreItem xmlns:ds="http://schemas.openxmlformats.org/officeDocument/2006/customXml" ds:itemID="{DED7B322-0FA8-4B86-B377-B753F509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4865</Words>
  <Characters>25790</Characters>
  <Application>Microsoft Office Word</Application>
  <DocSecurity>0</DocSecurity>
  <Lines>214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2015-12-08T12:46:00Z</dcterms:created>
  <dcterms:modified xsi:type="dcterms:W3CDTF">2015-12-09T09:31:00Z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e95a2f0a-93a5-4949-9cf0-a5bd3ee8297a</vt:lpwstr>
  </property>
</Properties>
</file>