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C0D35" w:rsidP="007242A3">
            <w:pPr>
              <w:framePr w:w="5035" w:h="1644" w:wrap="notBeside" w:vAnchor="page" w:hAnchor="page" w:x="6573" w:y="721"/>
              <w:rPr>
                <w:sz w:val="20"/>
              </w:rPr>
            </w:pPr>
            <w:r>
              <w:rPr>
                <w:sz w:val="20"/>
              </w:rPr>
              <w:t>Dnr N2015/</w:t>
            </w:r>
            <w:r w:rsidR="004E0968">
              <w:t xml:space="preserve"> </w:t>
            </w:r>
            <w:r w:rsidR="004E0968" w:rsidRPr="004E0968">
              <w:rPr>
                <w:sz w:val="20"/>
              </w:rPr>
              <w:t>07848/MRT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C0D35" w:rsidP="00617167">
            <w:pPr>
              <w:pStyle w:val="Avsndare"/>
              <w:framePr w:h="2483" w:wrap="notBeside" w:x="1313" w:y="2221"/>
              <w:rPr>
                <w:b/>
                <w:i w:val="0"/>
                <w:sz w:val="22"/>
              </w:rPr>
            </w:pPr>
            <w:r>
              <w:rPr>
                <w:b/>
                <w:i w:val="0"/>
                <w:sz w:val="22"/>
              </w:rPr>
              <w:t>Näringsdepartementet</w:t>
            </w:r>
          </w:p>
        </w:tc>
      </w:tr>
      <w:tr w:rsidR="006E4E11">
        <w:trPr>
          <w:trHeight w:val="284"/>
        </w:trPr>
        <w:tc>
          <w:tcPr>
            <w:tcW w:w="4911" w:type="dxa"/>
          </w:tcPr>
          <w:p w:rsidR="006E4E11" w:rsidRDefault="009C0D35" w:rsidP="00617167">
            <w:pPr>
              <w:pStyle w:val="Avsndare"/>
              <w:framePr w:h="2483" w:wrap="notBeside" w:x="1313" w:y="2221"/>
              <w:rPr>
                <w:bCs/>
                <w:iCs/>
              </w:rPr>
            </w:pPr>
            <w:r>
              <w:rPr>
                <w:bCs/>
                <w:iCs/>
              </w:rPr>
              <w:t>Infrastrukturministern</w:t>
            </w:r>
          </w:p>
        </w:tc>
      </w:tr>
      <w:tr w:rsidR="006E4E11">
        <w:trPr>
          <w:trHeight w:val="284"/>
        </w:trPr>
        <w:tc>
          <w:tcPr>
            <w:tcW w:w="4911" w:type="dxa"/>
          </w:tcPr>
          <w:p w:rsidR="006E4E11" w:rsidRDefault="006E4E11" w:rsidP="00617167">
            <w:pPr>
              <w:pStyle w:val="Avsndare"/>
              <w:framePr w:h="2483" w:wrap="notBeside" w:x="1313" w:y="2221"/>
              <w:rPr>
                <w:bCs/>
                <w:iCs/>
              </w:rPr>
            </w:pPr>
          </w:p>
        </w:tc>
      </w:tr>
      <w:tr w:rsidR="006E4E11">
        <w:trPr>
          <w:trHeight w:val="284"/>
        </w:trPr>
        <w:tc>
          <w:tcPr>
            <w:tcW w:w="4911" w:type="dxa"/>
          </w:tcPr>
          <w:p w:rsidR="006E4E11" w:rsidRDefault="006E4E11" w:rsidP="00617167">
            <w:pPr>
              <w:pStyle w:val="Avsndare"/>
              <w:framePr w:h="2483" w:wrap="notBeside" w:x="1313" w:y="2221"/>
              <w:rPr>
                <w:bCs/>
                <w:iCs/>
              </w:rPr>
            </w:pPr>
          </w:p>
        </w:tc>
      </w:tr>
      <w:tr w:rsidR="006E4E11">
        <w:trPr>
          <w:trHeight w:val="284"/>
        </w:trPr>
        <w:tc>
          <w:tcPr>
            <w:tcW w:w="4911" w:type="dxa"/>
          </w:tcPr>
          <w:p w:rsidR="006E4E11" w:rsidRDefault="006E4E11" w:rsidP="00617167">
            <w:pPr>
              <w:pStyle w:val="Avsndare"/>
              <w:framePr w:h="2483" w:wrap="notBeside" w:x="1313" w:y="2221"/>
              <w:rPr>
                <w:bCs/>
                <w:iCs/>
              </w:rPr>
            </w:pPr>
          </w:p>
        </w:tc>
      </w:tr>
      <w:tr w:rsidR="006E4E11">
        <w:trPr>
          <w:trHeight w:val="284"/>
        </w:trPr>
        <w:tc>
          <w:tcPr>
            <w:tcW w:w="4911" w:type="dxa"/>
          </w:tcPr>
          <w:p w:rsidR="006E4E11" w:rsidRDefault="006E4E11" w:rsidP="00617167">
            <w:pPr>
              <w:pStyle w:val="Avsndare"/>
              <w:framePr w:h="2483" w:wrap="notBeside" w:x="1313" w:y="2221"/>
              <w:rPr>
                <w:bCs/>
                <w:iCs/>
              </w:rPr>
            </w:pPr>
          </w:p>
        </w:tc>
      </w:tr>
      <w:tr w:rsidR="006E4E11">
        <w:trPr>
          <w:trHeight w:val="284"/>
        </w:trPr>
        <w:tc>
          <w:tcPr>
            <w:tcW w:w="4911" w:type="dxa"/>
          </w:tcPr>
          <w:p w:rsidR="006E4E11" w:rsidRDefault="006E4E11" w:rsidP="00617167">
            <w:pPr>
              <w:pStyle w:val="Avsndare"/>
              <w:framePr w:h="2483" w:wrap="notBeside" w:x="1313" w:y="2221"/>
              <w:rPr>
                <w:bCs/>
                <w:iCs/>
              </w:rPr>
            </w:pPr>
          </w:p>
        </w:tc>
      </w:tr>
      <w:tr w:rsidR="006E4E11">
        <w:trPr>
          <w:trHeight w:val="284"/>
        </w:trPr>
        <w:tc>
          <w:tcPr>
            <w:tcW w:w="4911" w:type="dxa"/>
          </w:tcPr>
          <w:p w:rsidR="006E4E11" w:rsidRDefault="006E4E11" w:rsidP="00617167">
            <w:pPr>
              <w:pStyle w:val="Avsndare"/>
              <w:framePr w:h="2483" w:wrap="notBeside" w:x="1313" w:y="2221"/>
              <w:rPr>
                <w:bCs/>
                <w:iCs/>
              </w:rPr>
            </w:pPr>
          </w:p>
        </w:tc>
      </w:tr>
      <w:tr w:rsidR="006E4E11">
        <w:trPr>
          <w:trHeight w:val="284"/>
        </w:trPr>
        <w:tc>
          <w:tcPr>
            <w:tcW w:w="4911" w:type="dxa"/>
          </w:tcPr>
          <w:p w:rsidR="006E4E11" w:rsidRDefault="006E4E11" w:rsidP="00617167">
            <w:pPr>
              <w:pStyle w:val="Avsndare"/>
              <w:framePr w:h="2483" w:wrap="notBeside" w:x="1313" w:y="2221"/>
              <w:rPr>
                <w:bCs/>
                <w:iCs/>
              </w:rPr>
            </w:pPr>
          </w:p>
        </w:tc>
      </w:tr>
    </w:tbl>
    <w:p w:rsidR="006E4E11" w:rsidRDefault="009C0D35" w:rsidP="00617167">
      <w:pPr>
        <w:framePr w:w="4400" w:h="2176" w:wrap="notBeside" w:vAnchor="page" w:hAnchor="page" w:x="6481" w:y="2251"/>
        <w:ind w:left="142"/>
      </w:pPr>
      <w:r>
        <w:t>Till riksdagen</w:t>
      </w:r>
    </w:p>
    <w:p w:rsidR="006E4E11" w:rsidRDefault="009C0D35" w:rsidP="009C0D35">
      <w:pPr>
        <w:pStyle w:val="RKrubrik"/>
        <w:pBdr>
          <w:bottom w:val="single" w:sz="4" w:space="1" w:color="auto"/>
        </w:pBdr>
        <w:spacing w:before="0" w:after="0"/>
      </w:pPr>
      <w:r>
        <w:t>Svar på fråga 2015/16:300 av Erik Ottoson (M) Tyngre lastbilar på våra vägar</w:t>
      </w:r>
    </w:p>
    <w:p w:rsidR="006E4E11" w:rsidRDefault="006E4E11">
      <w:pPr>
        <w:pStyle w:val="RKnormal"/>
      </w:pPr>
    </w:p>
    <w:p w:rsidR="006E4E11" w:rsidRDefault="009C0D35">
      <w:pPr>
        <w:pStyle w:val="RKnormal"/>
      </w:pPr>
      <w:r>
        <w:t>Erik Ottoson har frågat mig vilka hinder utöver bärigheten på vissa broar jag har stött på i arbetet att få fram lagstiftning som möjliggör tunga fordon om 72 ton som förklarar att regeringen inte kunnat hålla den tidsplan nuvarande finansministern Magdalena Andersson utfäste i valrörelsen.</w:t>
      </w:r>
    </w:p>
    <w:p w:rsidR="009C0D35" w:rsidRDefault="009C0D35">
      <w:pPr>
        <w:pStyle w:val="RKnormal"/>
      </w:pPr>
    </w:p>
    <w:p w:rsidR="009C0D35" w:rsidRDefault="009C0D35" w:rsidP="009C0D35">
      <w:pPr>
        <w:pStyle w:val="RKnormal"/>
      </w:pPr>
      <w:r>
        <w:t>Regeringen är generellt positiv till att tillåta tyngre lastbilar under förutsättning att det leder till mindre miljö-</w:t>
      </w:r>
      <w:r w:rsidR="00617167">
        <w:t xml:space="preserve"> </w:t>
      </w:r>
      <w:r>
        <w:t xml:space="preserve">och klimatpåverkan, effektivare transporter, nytta för näringslivet och att kostnaderna för anpassning av infrastrukturen står i relation </w:t>
      </w:r>
      <w:r w:rsidR="00617167">
        <w:t>till den ökade samhällsnyttan.</w:t>
      </w:r>
      <w:r>
        <w:t xml:space="preserve"> </w:t>
      </w:r>
      <w:r w:rsidRPr="008F518B">
        <w:t>Regeringens ambition är att minska miljöpåverkan från transportsektorn och regeringen vill se en överflyttning av långväga transporter, inklusive gods, från väg till järnväg och sjöfart.</w:t>
      </w:r>
    </w:p>
    <w:p w:rsidR="009C0D35" w:rsidRDefault="009C0D35" w:rsidP="009C0D35">
      <w:pPr>
        <w:pStyle w:val="RKnormal"/>
      </w:pPr>
    </w:p>
    <w:p w:rsidR="009C0D35" w:rsidRDefault="009C0D35" w:rsidP="009C0D35">
      <w:pPr>
        <w:pStyle w:val="RKnormal"/>
      </w:pPr>
      <w:r>
        <w:t>I april beslutade regeringen att höja den högsta tillåtna bruttovikten från 60 till 64 ton på vägar som tillhör bärighetsklass 1. Från den 1 juni i år är därmed över 95 procent av det statliga vägnätet tillgängligt för 64-tonslastbilar.  Regeringens beslut stärker konkurrenskraften hos svensk åkerinäring samtidigt som lastbilstrafikens miljö-</w:t>
      </w:r>
      <w:r w:rsidR="00617167">
        <w:t xml:space="preserve"> </w:t>
      </w:r>
      <w:r>
        <w:t xml:space="preserve">och klimatpåverkan kan minska. </w:t>
      </w:r>
    </w:p>
    <w:p w:rsidR="009C0D35" w:rsidRDefault="009C0D35" w:rsidP="009C0D35">
      <w:pPr>
        <w:pStyle w:val="RKnormal"/>
      </w:pPr>
    </w:p>
    <w:p w:rsidR="009C0D35" w:rsidRDefault="009C0D35" w:rsidP="009C0D35">
      <w:pPr>
        <w:pStyle w:val="RKnormal"/>
      </w:pPr>
      <w:r>
        <w:t xml:space="preserve">Regeringen har dessutom gett Trafikverket i uppdrag att analysera förutsättningarna för och konsekvenserna av att tillåta tyngre lastbilar (med en bruttovikt på upp till 74 ton) att trafikera vissa delar av det allmänna vägnätet. Trafikverket ska särskilt utreda om höjda bruttovikter kan leda till en oönskad överflyttning av gods från järnväg till väg. Utifrån gjorda analyser ska Trafikverket presentera en plan för hur det </w:t>
      </w:r>
      <w:r w:rsidRPr="0061133A">
        <w:t>identifierade vägnätet successivt skulle kunna öppnas för tyngre fordon.</w:t>
      </w:r>
    </w:p>
    <w:p w:rsidR="009C0D35" w:rsidRDefault="009C0D35" w:rsidP="009C0D35">
      <w:pPr>
        <w:pStyle w:val="RKnormal"/>
      </w:pPr>
      <w:r>
        <w:t>Uppdraget ska redovisas till Regeringskansliet</w:t>
      </w:r>
      <w:r w:rsidR="00617167">
        <w:t xml:space="preserve"> inom kort,</w:t>
      </w:r>
      <w:r>
        <w:t xml:space="preserve"> senast den 30 november i år. </w:t>
      </w:r>
      <w:r w:rsidRPr="008F518B">
        <w:t xml:space="preserve">Regeringen </w:t>
      </w:r>
      <w:r w:rsidR="0062591A">
        <w:t xml:space="preserve">avser således därefter att </w:t>
      </w:r>
      <w:bookmarkStart w:id="0" w:name="_GoBack"/>
      <w:bookmarkEnd w:id="0"/>
      <w:r w:rsidRPr="008F518B">
        <w:t>återkomma i frågan.</w:t>
      </w:r>
      <w:r>
        <w:t xml:space="preserve">  </w:t>
      </w:r>
    </w:p>
    <w:p w:rsidR="009C0D35" w:rsidRDefault="009C0D35">
      <w:pPr>
        <w:pStyle w:val="RKnormal"/>
      </w:pPr>
    </w:p>
    <w:p w:rsidR="009C0D35" w:rsidRDefault="009C0D35">
      <w:pPr>
        <w:pStyle w:val="RKnormal"/>
      </w:pPr>
      <w:r>
        <w:t>Stockholm den 25 november 2015</w:t>
      </w:r>
    </w:p>
    <w:p w:rsidR="009C0D35" w:rsidRDefault="009C0D35">
      <w:pPr>
        <w:pStyle w:val="RKnormal"/>
      </w:pPr>
    </w:p>
    <w:p w:rsidR="009C0D35" w:rsidRDefault="009C0D35">
      <w:pPr>
        <w:pStyle w:val="RKnormal"/>
      </w:pPr>
    </w:p>
    <w:p w:rsidR="009C0D35" w:rsidRDefault="009C0D35">
      <w:pPr>
        <w:pStyle w:val="RKnormal"/>
      </w:pPr>
      <w:r>
        <w:t>Anna Johansson</w:t>
      </w:r>
    </w:p>
    <w:sectPr w:rsidR="009C0D35" w:rsidSect="00617167">
      <w:headerReference w:type="even" r:id="rId7"/>
      <w:headerReference w:type="default" r:id="rId8"/>
      <w:headerReference w:type="first" r:id="rId9"/>
      <w:type w:val="continuous"/>
      <w:pgSz w:w="11907" w:h="16840" w:code="9"/>
      <w:pgMar w:top="567" w:right="1701" w:bottom="0"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FEA" w:rsidRDefault="00093FEA">
      <w:r>
        <w:separator/>
      </w:r>
    </w:p>
  </w:endnote>
  <w:endnote w:type="continuationSeparator" w:id="0">
    <w:p w:rsidR="00093FEA" w:rsidRDefault="0009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FEA" w:rsidRDefault="00093FEA">
      <w:r>
        <w:separator/>
      </w:r>
    </w:p>
  </w:footnote>
  <w:footnote w:type="continuationSeparator" w:id="0">
    <w:p w:rsidR="00093FEA" w:rsidRDefault="00093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71038">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71038">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D35" w:rsidRDefault="009C0D35">
    <w:pPr>
      <w:framePr w:w="2948" w:h="1321" w:hRule="exact" w:wrap="notBeside" w:vAnchor="page" w:hAnchor="page" w:x="1362" w:y="653"/>
    </w:pPr>
    <w:r>
      <w:rPr>
        <w:noProof/>
        <w:lang w:eastAsia="sv-SE"/>
      </w:rPr>
      <w:drawing>
        <wp:inline distT="0" distB="0" distL="0" distR="0" wp14:anchorId="05BE2B0B" wp14:editId="6B85FF1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D35"/>
    <w:rsid w:val="00093FEA"/>
    <w:rsid w:val="00150384"/>
    <w:rsid w:val="00160901"/>
    <w:rsid w:val="00171038"/>
    <w:rsid w:val="001805B7"/>
    <w:rsid w:val="0026574D"/>
    <w:rsid w:val="00351BBF"/>
    <w:rsid w:val="00367B1C"/>
    <w:rsid w:val="00391B43"/>
    <w:rsid w:val="003C3C82"/>
    <w:rsid w:val="004A328D"/>
    <w:rsid w:val="004E0968"/>
    <w:rsid w:val="0058762B"/>
    <w:rsid w:val="00603840"/>
    <w:rsid w:val="00617167"/>
    <w:rsid w:val="0062591A"/>
    <w:rsid w:val="006E4E11"/>
    <w:rsid w:val="007242A3"/>
    <w:rsid w:val="007A6855"/>
    <w:rsid w:val="0092027A"/>
    <w:rsid w:val="00955E31"/>
    <w:rsid w:val="00983785"/>
    <w:rsid w:val="00992E72"/>
    <w:rsid w:val="009C0D35"/>
    <w:rsid w:val="00AF26D1"/>
    <w:rsid w:val="00C14F60"/>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C0D3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C0D35"/>
    <w:rPr>
      <w:rFonts w:ascii="Tahoma" w:hAnsi="Tahoma" w:cs="Tahoma"/>
      <w:sz w:val="16"/>
      <w:szCs w:val="16"/>
      <w:lang w:eastAsia="en-US"/>
    </w:rPr>
  </w:style>
  <w:style w:type="character" w:styleId="Hyperlnk">
    <w:name w:val="Hyperlink"/>
    <w:basedOn w:val="Standardstycketeckensnitt"/>
    <w:rsid w:val="00351B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C0D3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C0D35"/>
    <w:rPr>
      <w:rFonts w:ascii="Tahoma" w:hAnsi="Tahoma" w:cs="Tahoma"/>
      <w:sz w:val="16"/>
      <w:szCs w:val="16"/>
      <w:lang w:eastAsia="en-US"/>
    </w:rPr>
  </w:style>
  <w:style w:type="character" w:styleId="Hyperlnk">
    <w:name w:val="Hyperlink"/>
    <w:basedOn w:val="Standardstycketeckensnitt"/>
    <w:rsid w:val="00351B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418fa20e-a950-4d34-aa1b-e982c258442a</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99191-066E-421C-91CB-EFDD12C8DCC1}"/>
</file>

<file path=customXml/itemProps2.xml><?xml version="1.0" encoding="utf-8"?>
<ds:datastoreItem xmlns:ds="http://schemas.openxmlformats.org/officeDocument/2006/customXml" ds:itemID="{AEDC045D-B9C4-4D84-BDCF-274B83AF9C09}"/>
</file>

<file path=customXml/itemProps3.xml><?xml version="1.0" encoding="utf-8"?>
<ds:datastoreItem xmlns:ds="http://schemas.openxmlformats.org/officeDocument/2006/customXml" ds:itemID="{55C8C8A9-74FD-469F-AFFC-AE4EC3610464}"/>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1748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Andersson</dc:creator>
  <cp:lastModifiedBy>Peter Kalliopuro</cp:lastModifiedBy>
  <cp:revision>3</cp:revision>
  <cp:lastPrinted>2015-11-25T07:30:00Z</cp:lastPrinted>
  <dcterms:created xsi:type="dcterms:W3CDTF">2015-11-25T07:26:00Z</dcterms:created>
  <dcterms:modified xsi:type="dcterms:W3CDTF">2015-11-25T07:30:00Z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