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94305">
        <w:tblPrEx>
          <w:tblCellMar>
            <w:top w:w="0" w:type="dxa"/>
            <w:left w:w="0" w:type="dxa"/>
            <w:bottom w:w="0" w:type="dxa"/>
            <w:right w:w="0" w:type="dxa"/>
          </w:tblCellMar>
        </w:tblPrEx>
        <w:trPr>
          <w:gridAfter w:val="2"/>
          <w:wAfter w:w="1758" w:type="dxa"/>
          <w:cantSplit/>
          <w:trHeight w:val="1320"/>
        </w:trPr>
        <w:tc>
          <w:tcPr>
            <w:tcW w:w="5897" w:type="dxa"/>
          </w:tcPr>
          <w:p w:rsidR="00FC0511" w:rsidRPr="00894305" w:rsidRDefault="00FC0511">
            <w:pPr>
              <w:pStyle w:val="HuvudRubrik"/>
            </w:pPr>
            <w:r w:rsidRPr="00894305">
              <w:t>Regeringskansliet</w:t>
            </w:r>
          </w:p>
          <w:p w:rsidR="00FC0511" w:rsidRPr="00894305" w:rsidRDefault="00FC0511">
            <w:pPr>
              <w:pStyle w:val="HuvudRubrik"/>
            </w:pPr>
            <w:r w:rsidRPr="00894305">
              <w:t xml:space="preserve">Faktapromemoria  </w:t>
            </w:r>
            <w:r w:rsidRPr="00894305">
              <w:t>2007/08</w:t>
            </w:r>
            <w:r w:rsidRPr="00894305">
              <w:t>:</w:t>
            </w:r>
            <w:r w:rsidRPr="00894305">
              <w:t>FPM10</w:t>
            </w:r>
          </w:p>
        </w:tc>
      </w:tr>
      <w:tr w:rsidR="00000000" w:rsidRPr="00894305">
        <w:tblPrEx>
          <w:tblCellMar>
            <w:top w:w="0" w:type="dxa"/>
            <w:left w:w="0" w:type="dxa"/>
            <w:bottom w:w="0" w:type="dxa"/>
            <w:right w:w="0" w:type="dxa"/>
          </w:tblCellMar>
        </w:tblPrEx>
        <w:trPr>
          <w:gridAfter w:val="2"/>
          <w:wAfter w:w="1758" w:type="dxa"/>
          <w:cantSplit/>
          <w:trHeight w:val="240"/>
        </w:trPr>
        <w:tc>
          <w:tcPr>
            <w:tcW w:w="5897" w:type="dxa"/>
          </w:tcPr>
          <w:p w:rsidR="00FC0511" w:rsidRPr="00894305" w:rsidRDefault="00FC0511">
            <w:pPr>
              <w:pStyle w:val="HuvudRubrik"/>
              <w:rPr>
                <w:sz w:val="28"/>
              </w:rPr>
            </w:pPr>
            <w:r w:rsidRPr="00894305">
              <w:t>Meddelande om att främja ungas deltagande</w:t>
            </w:r>
          </w:p>
        </w:tc>
      </w:tr>
      <w:tr w:rsidR="006D4AA5" w:rsidRPr="00894305">
        <w:tblPrEx>
          <w:tblCellMar>
            <w:top w:w="0" w:type="dxa"/>
            <w:left w:w="0" w:type="dxa"/>
            <w:bottom w:w="0" w:type="dxa"/>
            <w:right w:w="0" w:type="dxa"/>
          </w:tblCellMar>
        </w:tblPrEx>
        <w:trPr>
          <w:cantSplit/>
          <w:trHeight w:val="285"/>
        </w:trPr>
        <w:tc>
          <w:tcPr>
            <w:tcW w:w="7655" w:type="dxa"/>
            <w:gridSpan w:val="3"/>
          </w:tcPr>
          <w:p w:rsidR="006D4AA5" w:rsidRPr="00894305" w:rsidRDefault="00446D6F">
            <w:pPr>
              <w:pStyle w:val="Departement"/>
              <w:rPr>
                <w:sz w:val="28"/>
              </w:rPr>
            </w:pPr>
            <w:r w:rsidRPr="00894305">
              <w:t>Integrations- och jämställdhetsdepartementet</w:t>
            </w:r>
          </w:p>
        </w:tc>
      </w:tr>
      <w:tr w:rsidR="006D4AA5" w:rsidRPr="00894305">
        <w:tblPrEx>
          <w:tblCellMar>
            <w:top w:w="0" w:type="dxa"/>
            <w:left w:w="0" w:type="dxa"/>
            <w:bottom w:w="0" w:type="dxa"/>
            <w:right w:w="0" w:type="dxa"/>
          </w:tblCellMar>
        </w:tblPrEx>
        <w:trPr>
          <w:cantSplit/>
          <w:trHeight w:val="240"/>
        </w:trPr>
        <w:tc>
          <w:tcPr>
            <w:tcW w:w="7655" w:type="dxa"/>
            <w:gridSpan w:val="3"/>
          </w:tcPr>
          <w:p w:rsidR="006D4AA5" w:rsidRPr="00894305" w:rsidRDefault="00CB5D9F">
            <w:pPr>
              <w:pStyle w:val="Dokumentdatum"/>
            </w:pPr>
            <w:r w:rsidRPr="00894305">
              <w:t>2007-10-</w:t>
            </w:r>
            <w:r w:rsidR="00E17553" w:rsidRPr="00894305">
              <w:t>17</w:t>
            </w:r>
          </w:p>
        </w:tc>
      </w:tr>
      <w:tr w:rsidR="006D4AA5" w:rsidRPr="00894305">
        <w:tblPrEx>
          <w:tblCellMar>
            <w:top w:w="0" w:type="dxa"/>
            <w:left w:w="0" w:type="dxa"/>
            <w:bottom w:w="0" w:type="dxa"/>
            <w:right w:w="0" w:type="dxa"/>
          </w:tblCellMar>
        </w:tblPrEx>
        <w:trPr>
          <w:cantSplit/>
          <w:trHeight w:val="726"/>
        </w:trPr>
        <w:tc>
          <w:tcPr>
            <w:tcW w:w="7655" w:type="dxa"/>
            <w:gridSpan w:val="3"/>
            <w:vAlign w:val="bottom"/>
          </w:tcPr>
          <w:p w:rsidR="006D4AA5" w:rsidRPr="00894305" w:rsidRDefault="006D4AA5">
            <w:pPr>
              <w:pStyle w:val="Dokumentbeteckning"/>
            </w:pPr>
            <w:r w:rsidRPr="00894305">
              <w:t>Dokumentbeteckning</w:t>
            </w:r>
          </w:p>
        </w:tc>
      </w:tr>
      <w:tr w:rsidR="00E17553" w:rsidRPr="00894305">
        <w:tblPrEx>
          <w:tblCellMar>
            <w:top w:w="0" w:type="dxa"/>
            <w:left w:w="0" w:type="dxa"/>
            <w:bottom w:w="0" w:type="dxa"/>
            <w:right w:w="0" w:type="dxa"/>
          </w:tblCellMar>
        </w:tblPrEx>
        <w:trPr>
          <w:gridAfter w:val="1"/>
          <w:wAfter w:w="1560" w:type="dxa"/>
          <w:trHeight w:val="120"/>
        </w:trPr>
        <w:tc>
          <w:tcPr>
            <w:tcW w:w="6095" w:type="dxa"/>
            <w:gridSpan w:val="2"/>
          </w:tcPr>
          <w:p w:rsidR="00E17553" w:rsidRPr="00894305" w:rsidRDefault="00446D6F" w:rsidP="00446D6F">
            <w:bookmarkStart w:id="0" w:name="KomNr"/>
            <w:bookmarkEnd w:id="0"/>
            <w:r w:rsidRPr="00894305">
              <w:t>KOM(2007) 498 slutlig</w:t>
            </w:r>
          </w:p>
        </w:tc>
      </w:tr>
      <w:tr w:rsidR="00446D6F" w:rsidRPr="00894305">
        <w:tblPrEx>
          <w:tblCellMar>
            <w:top w:w="0" w:type="dxa"/>
            <w:left w:w="0" w:type="dxa"/>
            <w:bottom w:w="0" w:type="dxa"/>
            <w:right w:w="0" w:type="dxa"/>
          </w:tblCellMar>
        </w:tblPrEx>
        <w:trPr>
          <w:gridAfter w:val="1"/>
          <w:wAfter w:w="1560" w:type="dxa"/>
          <w:trHeight w:val="120"/>
        </w:trPr>
        <w:tc>
          <w:tcPr>
            <w:tcW w:w="6095" w:type="dxa"/>
            <w:gridSpan w:val="2"/>
          </w:tcPr>
          <w:p w:rsidR="00446D6F" w:rsidRPr="00894305" w:rsidRDefault="00446D6F" w:rsidP="00446D6F">
            <w:pPr>
              <w:pStyle w:val="Dokumentbeteckning-titel"/>
            </w:pPr>
            <w:r w:rsidRPr="00894305">
              <w:t>Meddelande från kommissionen till Europaparlamentet, rådet, Europeiska ekonomiska och sociala kommittén och regionkommittén om att främja unga människors fulla deltagande i utbildning, arbetsliv och samhälle</w:t>
            </w:r>
            <w:r w:rsidRPr="00894305">
              <w:cr/>
              <w:t xml:space="preserve">
</w:t>
            </w:r>
          </w:p>
        </w:tc>
      </w:tr>
      <w:tr w:rsidR="00446D6F" w:rsidRPr="00894305">
        <w:tblPrEx>
          <w:tblCellMar>
            <w:top w:w="0" w:type="dxa"/>
            <w:left w:w="0" w:type="dxa"/>
            <w:bottom w:w="0" w:type="dxa"/>
            <w:right w:w="0" w:type="dxa"/>
          </w:tblCellMar>
        </w:tblPrEx>
        <w:trPr>
          <w:gridAfter w:val="1"/>
          <w:wAfter w:w="1560" w:type="dxa"/>
          <w:trHeight w:val="120"/>
        </w:trPr>
        <w:tc>
          <w:tcPr>
            <w:tcW w:w="6095" w:type="dxa"/>
            <w:gridSpan w:val="2"/>
          </w:tcPr>
          <w:p w:rsidR="00446D6F" w:rsidRPr="00894305" w:rsidRDefault="00446D6F" w:rsidP="00446D6F">
            <w:r w:rsidRPr="00894305">
              <w:t>SEK(2007) 1084</w:t>
            </w:r>
          </w:p>
        </w:tc>
      </w:tr>
      <w:tr w:rsidR="00446D6F" w:rsidRPr="00894305">
        <w:tblPrEx>
          <w:tblCellMar>
            <w:top w:w="0" w:type="dxa"/>
            <w:left w:w="0" w:type="dxa"/>
            <w:bottom w:w="0" w:type="dxa"/>
            <w:right w:w="0" w:type="dxa"/>
          </w:tblCellMar>
        </w:tblPrEx>
        <w:trPr>
          <w:gridAfter w:val="1"/>
          <w:wAfter w:w="1560" w:type="dxa"/>
          <w:trHeight w:val="120"/>
        </w:trPr>
        <w:tc>
          <w:tcPr>
            <w:tcW w:w="6095" w:type="dxa"/>
            <w:gridSpan w:val="2"/>
          </w:tcPr>
          <w:p w:rsidR="00446D6F" w:rsidRPr="00894305" w:rsidRDefault="00446D6F" w:rsidP="00446D6F">
            <w:pPr>
              <w:pStyle w:val="Dokumentbeteckning-titel"/>
            </w:pPr>
            <w:r w:rsidRPr="00894305">
              <w:t xml:space="preserve"> </w:t>
            </w:r>
          </w:p>
        </w:tc>
      </w:tr>
      <w:tr w:rsidR="00446D6F" w:rsidRPr="00894305">
        <w:tblPrEx>
          <w:tblCellMar>
            <w:top w:w="0" w:type="dxa"/>
            <w:left w:w="0" w:type="dxa"/>
            <w:bottom w:w="0" w:type="dxa"/>
            <w:right w:w="0" w:type="dxa"/>
          </w:tblCellMar>
        </w:tblPrEx>
        <w:trPr>
          <w:gridAfter w:val="1"/>
          <w:wAfter w:w="1560" w:type="dxa"/>
          <w:trHeight w:val="120"/>
        </w:trPr>
        <w:tc>
          <w:tcPr>
            <w:tcW w:w="6095" w:type="dxa"/>
            <w:gridSpan w:val="2"/>
          </w:tcPr>
          <w:p w:rsidR="00446D6F" w:rsidRPr="00894305" w:rsidRDefault="00446D6F" w:rsidP="00446D6F">
            <w:r w:rsidRPr="00894305">
              <w:t>SEK(2007) 1093</w:t>
            </w:r>
          </w:p>
        </w:tc>
      </w:tr>
      <w:tr w:rsidR="00446D6F" w:rsidRPr="00894305">
        <w:tblPrEx>
          <w:tblCellMar>
            <w:top w:w="0" w:type="dxa"/>
            <w:left w:w="0" w:type="dxa"/>
            <w:bottom w:w="0" w:type="dxa"/>
            <w:right w:w="0" w:type="dxa"/>
          </w:tblCellMar>
        </w:tblPrEx>
        <w:trPr>
          <w:gridAfter w:val="1"/>
          <w:wAfter w:w="1560" w:type="dxa"/>
          <w:trHeight w:val="120"/>
        </w:trPr>
        <w:tc>
          <w:tcPr>
            <w:tcW w:w="6095" w:type="dxa"/>
            <w:gridSpan w:val="2"/>
          </w:tcPr>
          <w:p w:rsidR="00446D6F" w:rsidRPr="00894305" w:rsidRDefault="00446D6F" w:rsidP="00446D6F">
            <w:pPr>
              <w:pStyle w:val="Dokumentbeteckning-titel"/>
            </w:pPr>
            <w:r w:rsidRPr="00894305">
              <w:t xml:space="preserve"> </w:t>
            </w:r>
          </w:p>
        </w:tc>
      </w:tr>
    </w:tbl>
    <w:p w:rsidR="000E11BF" w:rsidRPr="00894305" w:rsidRDefault="000E11BF" w:rsidP="00016C71"/>
    <w:p w:rsidR="006D4AA5" w:rsidRPr="00894305" w:rsidRDefault="006D4AA5">
      <w:pPr>
        <w:pStyle w:val="Rubrik1"/>
        <w:numPr>
          <w:ilvl w:val="0"/>
          <w:numId w:val="0"/>
        </w:numPr>
      </w:pPr>
      <w:r w:rsidRPr="00894305">
        <w:t>Sammanfattning</w:t>
      </w:r>
    </w:p>
    <w:p w:rsidR="00284961" w:rsidRPr="00894305" w:rsidRDefault="00BF712A" w:rsidP="00016C71">
      <w:r w:rsidRPr="00894305">
        <w:t>Kommissionen</w:t>
      </w:r>
      <w:r w:rsidR="00284961" w:rsidRPr="00894305">
        <w:t xml:space="preserve"> presenterade den 5 september 2007 ett meddelande om</w:t>
      </w:r>
      <w:r w:rsidRPr="00894305">
        <w:t xml:space="preserve"> nya initiativ på ungdomsområdet</w:t>
      </w:r>
      <w:r w:rsidR="00284961" w:rsidRPr="00894305">
        <w:t>. I meddelandet avisera</w:t>
      </w:r>
      <w:r w:rsidRPr="00894305">
        <w:t xml:space="preserve">r kommissionen </w:t>
      </w:r>
      <w:r w:rsidR="00284961" w:rsidRPr="00894305">
        <w:t>sin ambition,</w:t>
      </w:r>
      <w:r w:rsidRPr="00894305">
        <w:t xml:space="preserve"> att tillsammans med medlemsstaterna</w:t>
      </w:r>
      <w:r w:rsidR="00284961" w:rsidRPr="00894305">
        <w:t xml:space="preserve">, verka för åtgärder för ungdomar på följande områden: </w:t>
      </w:r>
    </w:p>
    <w:p w:rsidR="00284961" w:rsidRPr="00894305" w:rsidRDefault="00284961" w:rsidP="00016C71"/>
    <w:p w:rsidR="00284961" w:rsidRPr="00894305" w:rsidRDefault="00284961" w:rsidP="00016C71">
      <w:r w:rsidRPr="00894305">
        <w:t>Utbildning</w:t>
      </w:r>
    </w:p>
    <w:p w:rsidR="00284961" w:rsidRPr="00894305" w:rsidRDefault="00284961" w:rsidP="00016C71">
      <w:r w:rsidRPr="00894305">
        <w:t>Sysselsättning (inkl. frågor om flexicurity och entreprenörskap)</w:t>
      </w:r>
    </w:p>
    <w:p w:rsidR="00284961" w:rsidRPr="00894305" w:rsidRDefault="00284961" w:rsidP="00016C71">
      <w:r w:rsidRPr="00894305">
        <w:t>Social inkludering</w:t>
      </w:r>
      <w:r w:rsidR="005E4E1B" w:rsidRPr="00894305">
        <w:t xml:space="preserve"> (ink. frågor om jämställdhet och hälsa)</w:t>
      </w:r>
    </w:p>
    <w:p w:rsidR="00284961" w:rsidRPr="00894305" w:rsidRDefault="005E4E1B" w:rsidP="00016C71">
      <w:r w:rsidRPr="00894305">
        <w:t>Aktivt medborgarskap</w:t>
      </w:r>
    </w:p>
    <w:p w:rsidR="00284961" w:rsidRPr="00894305" w:rsidRDefault="00284961" w:rsidP="00016C71"/>
    <w:p w:rsidR="00054859" w:rsidRPr="00894305" w:rsidRDefault="00284961" w:rsidP="00016C71">
      <w:r w:rsidRPr="00894305">
        <w:lastRenderedPageBreak/>
        <w:t xml:space="preserve">Meddelandet innehåller också </w:t>
      </w:r>
      <w:r w:rsidR="00BF712A" w:rsidRPr="00894305">
        <w:t xml:space="preserve">en inbjudan från kommissionen </w:t>
      </w:r>
      <w:r w:rsidRPr="00894305">
        <w:t xml:space="preserve">till EU:s institutioner och ungdomar att stärka sitt partnerskap genom en gemensam deklaration, som föreslås antas i slutet av 2007. </w:t>
      </w:r>
    </w:p>
    <w:p w:rsidR="00054859" w:rsidRPr="00894305" w:rsidRDefault="00054859" w:rsidP="00016C71"/>
    <w:p w:rsidR="000453FD" w:rsidRPr="00894305" w:rsidRDefault="000453FD" w:rsidP="00016C71">
      <w:r w:rsidRPr="00894305">
        <w:t xml:space="preserve">Regeringen </w:t>
      </w:r>
      <w:r w:rsidR="0028322A" w:rsidRPr="00894305">
        <w:t>ställer</w:t>
      </w:r>
      <w:r w:rsidRPr="00894305">
        <w:t xml:space="preserve"> sig bakom den generella inriktningen i kommissionens meddelande.</w:t>
      </w:r>
    </w:p>
    <w:p w:rsidR="006D4AA5" w:rsidRPr="00894305" w:rsidRDefault="006D4AA5"/>
    <w:p w:rsidR="006D4AA5" w:rsidRPr="00894305" w:rsidRDefault="006D4AA5">
      <w:pPr>
        <w:pStyle w:val="Rubrik1"/>
      </w:pPr>
      <w:r w:rsidRPr="00894305">
        <w:t>Förslaget</w:t>
      </w:r>
    </w:p>
    <w:p w:rsidR="00F64CDF" w:rsidRPr="00894305" w:rsidRDefault="006D4AA5" w:rsidP="00C50C9A">
      <w:pPr>
        <w:pStyle w:val="Rubrik2"/>
      </w:pPr>
      <w:r w:rsidRPr="00894305">
        <w:t>Innehåll</w:t>
      </w:r>
    </w:p>
    <w:p w:rsidR="00F64CDF" w:rsidRPr="00894305" w:rsidRDefault="00F64CDF" w:rsidP="00F64CDF">
      <w:r w:rsidRPr="00894305">
        <w:rPr>
          <w:szCs w:val="25"/>
        </w:rPr>
        <w:t>Sedan kommissionen i slutet av 2001 publicerade sin vitbok på ungdomsområdet ”Nya insatser för Europas ungdom” (KOM (2001) 681 slutlig) har samarbetet på ungdomsområdet utökats och stärkts betydligt</w:t>
      </w:r>
      <w:r w:rsidRPr="00894305">
        <w:t>. Samarbetet fokuserar i dag på tre övergripande arbetsområden:</w:t>
      </w:r>
    </w:p>
    <w:p w:rsidR="00C50C9A" w:rsidRPr="00894305" w:rsidRDefault="00C50C9A" w:rsidP="00016C71"/>
    <w:p w:rsidR="00F64CDF" w:rsidRPr="00894305" w:rsidRDefault="00F64CDF" w:rsidP="00016C71">
      <w:r w:rsidRPr="00894305">
        <w:t>1. samarbete genom den öppna samordningsmetoden kring fyra gemensamma målområden - ungas deltagande, information till unga, ungas volontärverksamhet och bättre kunskaper om unga,</w:t>
      </w:r>
    </w:p>
    <w:p w:rsidR="00F64CDF" w:rsidRPr="00894305" w:rsidRDefault="00F64CDF" w:rsidP="00016C71">
      <w:r w:rsidRPr="00894305">
        <w:t>2. integrering av ett ungdomsperspektiv på andra politikområden och</w:t>
      </w:r>
    </w:p>
    <w:p w:rsidR="00F64CDF" w:rsidRPr="00894305" w:rsidRDefault="00F64CDF" w:rsidP="00016C71">
      <w:r w:rsidRPr="00894305">
        <w:t>3. den Europeiska ungdomspakten</w:t>
      </w:r>
      <w:r w:rsidR="00B52B67" w:rsidRPr="00894305">
        <w:t xml:space="preserve"> (integrerad del av Lissabonstrategin)</w:t>
      </w:r>
      <w:r w:rsidRPr="00894305">
        <w:t>.</w:t>
      </w:r>
    </w:p>
    <w:p w:rsidR="00DF0178" w:rsidRPr="00894305" w:rsidRDefault="00C643C5" w:rsidP="00DF0178">
      <w:r w:rsidRPr="00894305">
        <w:t>Det aktuella meddelandet har presenterats</w:t>
      </w:r>
      <w:r w:rsidR="00A94270" w:rsidRPr="00894305">
        <w:t xml:space="preserve"> </w:t>
      </w:r>
      <w:r w:rsidR="0030585B" w:rsidRPr="00894305">
        <w:t xml:space="preserve">på eget initiativ från kommissionen. </w:t>
      </w:r>
      <w:r w:rsidR="00910F96" w:rsidRPr="00894305">
        <w:t xml:space="preserve">Meddelandet har tagits fram </w:t>
      </w:r>
      <w:r w:rsidR="00A94270" w:rsidRPr="00894305">
        <w:t>gemensamt</w:t>
      </w:r>
      <w:r w:rsidR="00A875D3" w:rsidRPr="00894305">
        <w:t xml:space="preserve"> </w:t>
      </w:r>
      <w:r w:rsidR="00A94270" w:rsidRPr="00894305">
        <w:t xml:space="preserve"> av </w:t>
      </w:r>
      <w:r w:rsidR="00533DD0" w:rsidRPr="00894305">
        <w:t>generald</w:t>
      </w:r>
      <w:r w:rsidRPr="00894305">
        <w:t xml:space="preserve">irektoratet </w:t>
      </w:r>
      <w:r w:rsidR="00533DD0" w:rsidRPr="00894305">
        <w:t xml:space="preserve">för sysselsättningsfrågor och </w:t>
      </w:r>
      <w:r w:rsidR="00DB30DB" w:rsidRPr="00894305">
        <w:t>generaldiretoratet</w:t>
      </w:r>
      <w:r w:rsidR="00533DD0" w:rsidRPr="00894305">
        <w:t xml:space="preserve"> för utbildning och </w:t>
      </w:r>
      <w:r w:rsidR="00DB30DB" w:rsidRPr="00894305">
        <w:t>kultur</w:t>
      </w:r>
      <w:r w:rsidR="00A94270" w:rsidRPr="00894305">
        <w:t xml:space="preserve"> (och ungdomsfrågor)</w:t>
      </w:r>
      <w:r w:rsidR="00910F96" w:rsidRPr="00894305">
        <w:t xml:space="preserve"> och i samarbete </w:t>
      </w:r>
      <w:r w:rsidR="00533DD0" w:rsidRPr="00894305">
        <w:t xml:space="preserve">med andra berörda generaldirektorat. Meddelandet </w:t>
      </w:r>
      <w:r w:rsidR="00DF0178" w:rsidRPr="00894305">
        <w:t xml:space="preserve">tar sin utgångspunkt i </w:t>
      </w:r>
      <w:r w:rsidR="006A4D25" w:rsidRPr="00894305">
        <w:t xml:space="preserve">att </w:t>
      </w:r>
      <w:r w:rsidR="00DF0178" w:rsidRPr="00894305">
        <w:t>möjligheterna för unga att växa upp under goda levnadsvillkor</w:t>
      </w:r>
      <w:r w:rsidRPr="00894305">
        <w:t>,</w:t>
      </w:r>
      <w:r w:rsidR="00DF0178" w:rsidRPr="00894305">
        <w:t xml:space="preserve"> </w:t>
      </w:r>
      <w:r w:rsidR="006F01ED" w:rsidRPr="00894305">
        <w:t>och därmed möjligheterna att utveckla och uppnå sin fulla potential</w:t>
      </w:r>
      <w:r w:rsidRPr="00894305">
        <w:t>,</w:t>
      </w:r>
      <w:r w:rsidR="006F01ED" w:rsidRPr="00894305">
        <w:t xml:space="preserve"> är avgörande </w:t>
      </w:r>
      <w:r w:rsidR="00DF0178" w:rsidRPr="00894305">
        <w:t xml:space="preserve">för en sund ekonomisk och social utveckling </w:t>
      </w:r>
      <w:r w:rsidR="00755E97" w:rsidRPr="00894305">
        <w:t>inom</w:t>
      </w:r>
      <w:r w:rsidR="00735BC7" w:rsidRPr="00894305">
        <w:t xml:space="preserve"> EU. Detta i</w:t>
      </w:r>
      <w:r w:rsidR="00DF0178" w:rsidRPr="00894305">
        <w:t>nte minst mot bakgrund av globaliseringen, fra</w:t>
      </w:r>
      <w:r w:rsidR="006A4D25" w:rsidRPr="00894305">
        <w:t>mväxten av kunskapsbaserade ekonomier och den demografiska utveckli</w:t>
      </w:r>
      <w:r w:rsidR="00735BC7" w:rsidRPr="00894305">
        <w:t>ngen med en åldrande befolkning i EU.</w:t>
      </w:r>
    </w:p>
    <w:p w:rsidR="006A4D25" w:rsidRPr="00894305" w:rsidRDefault="006A4D25" w:rsidP="00016C71"/>
    <w:p w:rsidR="00ED7E08" w:rsidRPr="00894305" w:rsidRDefault="0099247C" w:rsidP="00016C71">
      <w:r w:rsidRPr="00894305">
        <w:t>Ä</w:t>
      </w:r>
      <w:r w:rsidR="006A4D25" w:rsidRPr="00894305">
        <w:t>ven om situationen för unga i EU i dag generellt är relativt bra</w:t>
      </w:r>
      <w:r w:rsidR="009E6DA4" w:rsidRPr="00894305">
        <w:t>,</w:t>
      </w:r>
      <w:r w:rsidRPr="00894305">
        <w:t xml:space="preserve"> konstaterar kommissionen att </w:t>
      </w:r>
      <w:r w:rsidR="006A4D25" w:rsidRPr="00894305">
        <w:t>utveckling</w:t>
      </w:r>
      <w:r w:rsidR="003A1D2F" w:rsidRPr="00894305">
        <w:t>en</w:t>
      </w:r>
      <w:r w:rsidR="006A4D25" w:rsidRPr="00894305">
        <w:t xml:space="preserve"> </w:t>
      </w:r>
      <w:r w:rsidR="003A1D2F" w:rsidRPr="00894305">
        <w:t xml:space="preserve">är oroande </w:t>
      </w:r>
      <w:r w:rsidR="006A4D25" w:rsidRPr="00894305">
        <w:t>när det gäller exempelvis en hög andel fattiga barn, oh</w:t>
      </w:r>
      <w:r w:rsidR="003A1D2F" w:rsidRPr="00894305">
        <w:t>älsa bland unga</w:t>
      </w:r>
      <w:r w:rsidR="006A4D25" w:rsidRPr="00894305">
        <w:t xml:space="preserve">, förtida avhopp från skolan och </w:t>
      </w:r>
      <w:r w:rsidR="00EE5913" w:rsidRPr="00894305">
        <w:t xml:space="preserve"> en hög </w:t>
      </w:r>
      <w:r w:rsidR="006A4D25" w:rsidRPr="00894305">
        <w:t xml:space="preserve">ungdomsarbetslöshet. </w:t>
      </w:r>
      <w:r w:rsidR="00EE5913" w:rsidRPr="00894305">
        <w:t xml:space="preserve">Social exkludering av unga  för med sig alltför  höga sociala och ekonomiska kostnader. </w:t>
      </w:r>
      <w:r w:rsidR="006A4D25" w:rsidRPr="00894305">
        <w:t>Detta pekar enligt kommissionen på ett behov av att se över de investeringar som görs i barn och unga</w:t>
      </w:r>
      <w:r w:rsidR="00C02636" w:rsidRPr="00894305">
        <w:t xml:space="preserve"> och på ett </w:t>
      </w:r>
      <w:r w:rsidR="00AF3B40" w:rsidRPr="00894305">
        <w:t>behov av en tvärsektoriell ungdomsstrategi, som bygger på samarbete mellan beslutsfattare och b</w:t>
      </w:r>
      <w:r w:rsidRPr="00894305">
        <w:t xml:space="preserve">erörda aktörer på alla nivåer. Det påpekas att medlemsstaterna </w:t>
      </w:r>
      <w:r w:rsidR="00AF3B40" w:rsidRPr="00894305">
        <w:t xml:space="preserve">även fortsatt </w:t>
      </w:r>
      <w:r w:rsidRPr="00894305">
        <w:t xml:space="preserve">kommer </w:t>
      </w:r>
      <w:r w:rsidR="00AF3B40" w:rsidRPr="00894305">
        <w:t xml:space="preserve">att spela huvudrollen i genomförandet av ungdomspolitiken. EU kan enligt kommissionen spela en kompletterande roll genom </w:t>
      </w:r>
      <w:r w:rsidR="00707FC5" w:rsidRPr="00894305">
        <w:t xml:space="preserve">ekonomiskt stöd och samordning av policies. </w:t>
      </w:r>
    </w:p>
    <w:p w:rsidR="00CE4C8C" w:rsidRPr="00894305" w:rsidRDefault="00CE4C8C" w:rsidP="00016C71"/>
    <w:p w:rsidR="001A3245" w:rsidRPr="00894305" w:rsidRDefault="00DB30DB" w:rsidP="00016C71">
      <w:r w:rsidRPr="00894305">
        <w:t xml:space="preserve">En </w:t>
      </w:r>
      <w:r w:rsidR="002915E6" w:rsidRPr="00894305">
        <w:t xml:space="preserve">närmare samordning mellan </w:t>
      </w:r>
      <w:r w:rsidRPr="00894305">
        <w:t>ramverk</w:t>
      </w:r>
      <w:r w:rsidR="002915E6" w:rsidRPr="00894305">
        <w:t>et på ungdomsområdet</w:t>
      </w:r>
      <w:r w:rsidRPr="00894305">
        <w:t xml:space="preserve"> och andra politikområden som påverkar unga, tillsammans med starkare fokus på unga på dessa politikområden</w:t>
      </w:r>
      <w:r w:rsidR="00464434" w:rsidRPr="00894305">
        <w:t>,</w:t>
      </w:r>
      <w:r w:rsidRPr="00894305">
        <w:t xml:space="preserve"> skulle enligt kommissionen bidra till att på ett mer effektivt sätt möta de utma</w:t>
      </w:r>
      <w:r w:rsidR="00402FCD" w:rsidRPr="00894305">
        <w:t>ningar som unga står inför. D</w:t>
      </w:r>
      <w:r w:rsidRPr="00894305">
        <w:t xml:space="preserve">etta är </w:t>
      </w:r>
      <w:r w:rsidR="00402FCD" w:rsidRPr="00894305">
        <w:t xml:space="preserve"> också enligt kommissionen </w:t>
      </w:r>
      <w:r w:rsidRPr="00894305">
        <w:t xml:space="preserve">det övergripande syftet med det aktuella meddelandet. </w:t>
      </w:r>
      <w:r w:rsidR="0007339F" w:rsidRPr="00894305">
        <w:t xml:space="preserve">Kommissionen </w:t>
      </w:r>
      <w:r w:rsidR="008C708D" w:rsidRPr="00894305">
        <w:t>understryker vidare</w:t>
      </w:r>
      <w:r w:rsidR="0007339F" w:rsidRPr="00894305">
        <w:t xml:space="preserve"> att ungas deltagande </w:t>
      </w:r>
      <w:r w:rsidR="008C708D" w:rsidRPr="00894305">
        <w:t>är avgörande. För att stärka partnerskapet mellan</w:t>
      </w:r>
      <w:r w:rsidR="0007339F" w:rsidRPr="00894305">
        <w:t xml:space="preserve"> EU:s institutioner och unga </w:t>
      </w:r>
      <w:r w:rsidR="008C708D" w:rsidRPr="00894305">
        <w:t xml:space="preserve">föreslår kommissionen </w:t>
      </w:r>
      <w:r w:rsidR="00464434" w:rsidRPr="00894305">
        <w:t xml:space="preserve">att en </w:t>
      </w:r>
      <w:r w:rsidR="008C708D" w:rsidRPr="00894305">
        <w:t xml:space="preserve">gemensam deklaration </w:t>
      </w:r>
      <w:r w:rsidR="00464434" w:rsidRPr="00894305">
        <w:t xml:space="preserve">ska antas </w:t>
      </w:r>
      <w:r w:rsidR="008C708D" w:rsidRPr="00894305">
        <w:t>under 2007 om</w:t>
      </w:r>
      <w:r w:rsidR="0007339F" w:rsidRPr="00894305">
        <w:t xml:space="preserve"> att tillsammans bidra till att förbättra levnadsvillkoren för unga.</w:t>
      </w:r>
    </w:p>
    <w:p w:rsidR="001A3245" w:rsidRPr="00894305" w:rsidRDefault="001A3245" w:rsidP="00016C71"/>
    <w:p w:rsidR="00076B31" w:rsidRPr="00894305" w:rsidRDefault="00324700" w:rsidP="00016C71">
      <w:r w:rsidRPr="00894305">
        <w:t xml:space="preserve">I meddelandet </w:t>
      </w:r>
      <w:r w:rsidR="00EB09A1" w:rsidRPr="00894305">
        <w:t xml:space="preserve">sammanfattar kommissionen läget på ett antal för unga särskilt viktiga områden och aviserar </w:t>
      </w:r>
      <w:r w:rsidRPr="00894305">
        <w:t xml:space="preserve">sin ambition, att tillsammans med medlemsstaterna, verka för åtgärder för ungdomar på </w:t>
      </w:r>
      <w:r w:rsidR="008C708D" w:rsidRPr="00894305">
        <w:t>dessa områden:</w:t>
      </w:r>
    </w:p>
    <w:p w:rsidR="00141422" w:rsidRPr="00894305" w:rsidRDefault="00141422" w:rsidP="00016C71"/>
    <w:p w:rsidR="00324700" w:rsidRPr="00894305" w:rsidRDefault="00D57F02" w:rsidP="00016C71">
      <w:r w:rsidRPr="00894305">
        <w:t xml:space="preserve">- </w:t>
      </w:r>
      <w:r w:rsidR="00324700" w:rsidRPr="00894305">
        <w:t>Utbildning</w:t>
      </w:r>
    </w:p>
    <w:p w:rsidR="00076B31" w:rsidRPr="00894305" w:rsidRDefault="00076B31" w:rsidP="00016C71"/>
    <w:p w:rsidR="00467F47" w:rsidRPr="00894305" w:rsidRDefault="00DB30DB" w:rsidP="00016C71">
      <w:r w:rsidRPr="00894305">
        <w:t>Kommissionen</w:t>
      </w:r>
      <w:r w:rsidR="004E00ED" w:rsidRPr="00894305">
        <w:t xml:space="preserve"> pekar på vikten av en god utbildning för unga och på ett antal problem </w:t>
      </w:r>
      <w:r w:rsidR="00E62056" w:rsidRPr="00894305">
        <w:t xml:space="preserve">på området. Det nämns bland annat att </w:t>
      </w:r>
      <w:r w:rsidR="004E00ED" w:rsidRPr="00894305">
        <w:t>nästan en av sex unga i EU slutar skolan i förtid, en av fyra unga vuxna (25-29 å</w:t>
      </w:r>
      <w:r w:rsidR="00E62056" w:rsidRPr="00894305">
        <w:t xml:space="preserve">r) har inte avslutat gymnasiet, det finns stora </w:t>
      </w:r>
      <w:r w:rsidR="004E00ED" w:rsidRPr="00894305">
        <w:t xml:space="preserve">brister i </w:t>
      </w:r>
      <w:r w:rsidRPr="00894305">
        <w:t>grundläggande</w:t>
      </w:r>
      <w:r w:rsidR="004E00ED" w:rsidRPr="00894305">
        <w:t xml:space="preserve"> läs- och matematikkunskaper, </w:t>
      </w:r>
      <w:r w:rsidR="00E62056" w:rsidRPr="00894305">
        <w:t xml:space="preserve">utbildningarna matchar inte alltid </w:t>
      </w:r>
      <w:r w:rsidR="004E00ED" w:rsidRPr="00894305">
        <w:t xml:space="preserve">arbetsmarknadens behov osv. </w:t>
      </w:r>
    </w:p>
    <w:p w:rsidR="00467F47" w:rsidRPr="00894305" w:rsidRDefault="00467F47" w:rsidP="00016C71"/>
    <w:p w:rsidR="004B5ECB" w:rsidRPr="00894305" w:rsidRDefault="00D5542C" w:rsidP="00016C71">
      <w:r w:rsidRPr="00894305">
        <w:t>Kommissionen förslår</w:t>
      </w:r>
      <w:r w:rsidR="003A390B" w:rsidRPr="00894305">
        <w:t xml:space="preserve"> därför </w:t>
      </w:r>
      <w:r w:rsidRPr="00894305">
        <w:t xml:space="preserve">att </w:t>
      </w:r>
      <w:r w:rsidR="003A390B" w:rsidRPr="00894305">
        <w:t xml:space="preserve">medlemsstaterna </w:t>
      </w:r>
      <w:r w:rsidRPr="00894305">
        <w:t>ska</w:t>
      </w:r>
      <w:r w:rsidR="00E62056" w:rsidRPr="00894305">
        <w:t xml:space="preserve"> vidta ett antal åtgärder. Det handlar e</w:t>
      </w:r>
      <w:r w:rsidR="00B910F1" w:rsidRPr="00894305">
        <w:t xml:space="preserve">xempelvis </w:t>
      </w:r>
      <w:r w:rsidR="00E62056" w:rsidRPr="00894305">
        <w:t>om att investera tidigt i barn</w:t>
      </w:r>
      <w:r w:rsidR="003A390B" w:rsidRPr="00894305">
        <w:t xml:space="preserve"> och ung</w:t>
      </w:r>
      <w:r w:rsidR="00015534" w:rsidRPr="00894305">
        <w:t>as utbildning, i möjligh</w:t>
      </w:r>
      <w:r w:rsidR="003A390B" w:rsidRPr="00894305">
        <w:t xml:space="preserve">eter för livslångt lärande och att förbättra </w:t>
      </w:r>
      <w:r w:rsidR="00B910F1" w:rsidRPr="00894305">
        <w:t xml:space="preserve">den högre </w:t>
      </w:r>
      <w:r w:rsidR="003A390B" w:rsidRPr="00894305">
        <w:t>utbildningens kvalitet.</w:t>
      </w:r>
      <w:r w:rsidR="00B910F1" w:rsidRPr="00894305">
        <w:t xml:space="preserve"> Medlemsstaterna inbjuds dessutom att i sina nationella reformprogram för Lissabonstrategin fokusera mer på utbildning och att vidta åtgärder för att bättre matcha utbildningen med arbetsmarknadens behov</w:t>
      </w:r>
      <w:r w:rsidR="00EA7DD5" w:rsidRPr="00894305">
        <w:t xml:space="preserve">, </w:t>
      </w:r>
      <w:r w:rsidR="00467F47" w:rsidRPr="00894305">
        <w:t xml:space="preserve">att förbättra yrkesutbildningen, </w:t>
      </w:r>
      <w:r w:rsidRPr="00894305">
        <w:t>att implementera det europeiska ramverket för kvalifikationer</w:t>
      </w:r>
      <w:r w:rsidR="00197758" w:rsidRPr="00894305">
        <w:t xml:space="preserve"> (European Qualifications Framework)</w:t>
      </w:r>
      <w:r w:rsidR="00894AB7" w:rsidRPr="00894305">
        <w:t>,</w:t>
      </w:r>
      <w:r w:rsidR="00EA7DD5" w:rsidRPr="00894305">
        <w:t xml:space="preserve"> </w:t>
      </w:r>
      <w:r w:rsidR="00467F47" w:rsidRPr="00894305">
        <w:t>samt att fortsätta utvecklingen av</w:t>
      </w:r>
      <w:r w:rsidR="00EA7DD5" w:rsidRPr="00894305">
        <w:t xml:space="preserve"> en ungdomsspecifik del i Europass. </w:t>
      </w:r>
    </w:p>
    <w:p w:rsidR="00076B31" w:rsidRPr="00894305" w:rsidRDefault="00076B31" w:rsidP="00016C71"/>
    <w:p w:rsidR="00324700" w:rsidRPr="00894305" w:rsidRDefault="00282387" w:rsidP="00016C71">
      <w:r w:rsidRPr="00894305">
        <w:t xml:space="preserve">- </w:t>
      </w:r>
      <w:r w:rsidR="00324700" w:rsidRPr="00894305">
        <w:t>Sysselsättning (inkl. frågor om flexicurity och entreprenörskap)</w:t>
      </w:r>
    </w:p>
    <w:p w:rsidR="00055FBF" w:rsidRPr="00894305" w:rsidRDefault="00055FBF" w:rsidP="00016C71"/>
    <w:p w:rsidR="00D22299" w:rsidRPr="00894305" w:rsidRDefault="00D22299" w:rsidP="00016C71">
      <w:r w:rsidRPr="00894305">
        <w:t>Kommissionen konstaterar i meddelandet a</w:t>
      </w:r>
      <w:r w:rsidR="006203B9" w:rsidRPr="00894305">
        <w:t xml:space="preserve">tt ungdomsarbetslösheten i EU 2006 låg på </w:t>
      </w:r>
      <w:r w:rsidRPr="00894305">
        <w:t>17,4,</w:t>
      </w:r>
      <w:r w:rsidR="006203B9" w:rsidRPr="00894305">
        <w:t>%,</w:t>
      </w:r>
      <w:r w:rsidRPr="00894305">
        <w:t xml:space="preserve"> </w:t>
      </w:r>
      <w:r w:rsidR="00D10CA3" w:rsidRPr="00894305">
        <w:t xml:space="preserve">och </w:t>
      </w:r>
      <w:r w:rsidR="00894AB7" w:rsidRPr="00894305">
        <w:t xml:space="preserve">att </w:t>
      </w:r>
      <w:r w:rsidR="004422C3" w:rsidRPr="00894305">
        <w:t xml:space="preserve">den </w:t>
      </w:r>
      <w:r w:rsidR="00D10CA3" w:rsidRPr="00894305">
        <w:t>därmed</w:t>
      </w:r>
      <w:r w:rsidRPr="00894305">
        <w:t xml:space="preserve"> </w:t>
      </w:r>
      <w:r w:rsidR="004422C3" w:rsidRPr="00894305">
        <w:t xml:space="preserve">är </w:t>
      </w:r>
      <w:r w:rsidRPr="00894305">
        <w:t xml:space="preserve">mer än dubbelt så hög som bland </w:t>
      </w:r>
      <w:r w:rsidR="00D5542C" w:rsidRPr="00894305">
        <w:t xml:space="preserve">den </w:t>
      </w:r>
      <w:r w:rsidRPr="00894305">
        <w:t>övriga befolk</w:t>
      </w:r>
      <w:r w:rsidR="004422C3" w:rsidRPr="00894305">
        <w:t>ningen. I</w:t>
      </w:r>
      <w:r w:rsidRPr="00894305">
        <w:t>ngen avgörande förändring har skett under de senaste 25 åren</w:t>
      </w:r>
      <w:r w:rsidR="001D013C" w:rsidRPr="00894305">
        <w:t>, trots en generellt höjd utbildningsnivå hos unga</w:t>
      </w:r>
      <w:r w:rsidRPr="00894305">
        <w:t xml:space="preserve">. Under den ekonomiska uppgången under 2005-2008 har ytterligare sju miljoner </w:t>
      </w:r>
      <w:r w:rsidR="006203B9" w:rsidRPr="00894305">
        <w:t xml:space="preserve">personer </w:t>
      </w:r>
      <w:r w:rsidRPr="00894305">
        <w:t xml:space="preserve">fått jobb, men situationen för unga fortsätter att utvecklas på ett negativt sätt. </w:t>
      </w:r>
      <w:r w:rsidR="001D013C" w:rsidRPr="00894305">
        <w:t xml:space="preserve">Arbetslöshet i unga år leder också ofta till långtidsarbetslöshet. </w:t>
      </w:r>
      <w:r w:rsidRPr="00894305">
        <w:t>Unga kvinnor är dessutom överrepresenterade bland de u</w:t>
      </w:r>
      <w:r w:rsidR="004422C3" w:rsidRPr="00894305">
        <w:t>nga arbetslösa</w:t>
      </w:r>
      <w:r w:rsidRPr="00894305">
        <w:t xml:space="preserve">. </w:t>
      </w:r>
      <w:r w:rsidR="006203B9" w:rsidRPr="00894305">
        <w:t xml:space="preserve">Kommissionen beskriver detta som </w:t>
      </w:r>
      <w:r w:rsidR="00907563" w:rsidRPr="00894305">
        <w:t>ett slöseri med resurser som EU inte har råd med.</w:t>
      </w:r>
      <w:r w:rsidR="00712016" w:rsidRPr="00894305">
        <w:t xml:space="preserve"> Ytterl</w:t>
      </w:r>
      <w:r w:rsidR="00897A9E" w:rsidRPr="00894305">
        <w:t>igare frågor som diskuteras är de potentiella problem det kan innebära att unga ofta har tillfälliga och/eller deltidsanställningar och lågt betalda arbeten och att unga, trots att många anger att de skulle kunna tänka sig att starta eget, i relativt låg utsträckning gör det.</w:t>
      </w:r>
    </w:p>
    <w:p w:rsidR="00D22299" w:rsidRPr="00894305" w:rsidRDefault="00D22299" w:rsidP="00016C71"/>
    <w:p w:rsidR="00D45125" w:rsidRPr="00894305" w:rsidRDefault="00FD0240" w:rsidP="00016C71">
      <w:r w:rsidRPr="00894305">
        <w:t>Kommissionen föreslår, utöver ovan nämnda insatser på utbildningso</w:t>
      </w:r>
      <w:r w:rsidR="003D2051" w:rsidRPr="00894305">
        <w:t>mrådet, ett antal åtgärder av medlemsstaterna</w:t>
      </w:r>
      <w:r w:rsidRPr="00894305">
        <w:t xml:space="preserve"> såsom bättre rådgivning till unga när de söker arbete, ökade möjlighet</w:t>
      </w:r>
      <w:r w:rsidR="003D2051" w:rsidRPr="00894305">
        <w:t>er att arbeta i andra EU-länder och att främja</w:t>
      </w:r>
      <w:r w:rsidRPr="00894305">
        <w:t xml:space="preserve"> bättre tillgång t</w:t>
      </w:r>
      <w:r w:rsidR="003D2051" w:rsidRPr="00894305">
        <w:t xml:space="preserve">ill kvalitativa praktikplatser. </w:t>
      </w:r>
      <w:r w:rsidR="00D45125" w:rsidRPr="00894305">
        <w:t>Här aviserar kommissionen också att de avser att följa upp ungas sysselsättningssituation på ett bättre s</w:t>
      </w:r>
      <w:r w:rsidR="00D10CA3" w:rsidRPr="00894305">
        <w:t>ätt</w:t>
      </w:r>
      <w:r w:rsidR="00894AB7" w:rsidRPr="00894305">
        <w:t xml:space="preserve"> och</w:t>
      </w:r>
      <w:r w:rsidR="00D45125" w:rsidRPr="00894305">
        <w:t xml:space="preserve"> att främja ungas mobilitet genom </w:t>
      </w:r>
      <w:r w:rsidR="00DB30DB" w:rsidRPr="00894305">
        <w:t>existerande</w:t>
      </w:r>
      <w:r w:rsidR="00D45125" w:rsidRPr="00894305">
        <w:t xml:space="preserve"> </w:t>
      </w:r>
      <w:r w:rsidR="00E06F3A" w:rsidRPr="00894305">
        <w:t>instrument såsom EURES</w:t>
      </w:r>
      <w:r w:rsidR="00D45125" w:rsidRPr="00894305">
        <w:t xml:space="preserve"> oc</w:t>
      </w:r>
      <w:r w:rsidR="00D10CA3" w:rsidRPr="00894305">
        <w:t>h nya pilotprojekt</w:t>
      </w:r>
      <w:r w:rsidR="00D45125" w:rsidRPr="00894305">
        <w:t>.</w:t>
      </w:r>
      <w:r w:rsidR="00537C1E" w:rsidRPr="00894305">
        <w:t xml:space="preserve"> Kommissionen aviserar vidare att de under 2008 kommer att presentera ett förslag ti</w:t>
      </w:r>
      <w:r w:rsidR="00BD3938" w:rsidRPr="00894305">
        <w:t xml:space="preserve">ll en charter för </w:t>
      </w:r>
      <w:r w:rsidR="00B34B8B" w:rsidRPr="00894305">
        <w:t>praktiktjänstgöring</w:t>
      </w:r>
      <w:r w:rsidR="00537C1E" w:rsidRPr="00894305">
        <w:t>.</w:t>
      </w:r>
    </w:p>
    <w:p w:rsidR="00D45125" w:rsidRPr="00894305" w:rsidRDefault="00D45125" w:rsidP="00016C71"/>
    <w:p w:rsidR="00D22299" w:rsidRPr="00894305" w:rsidRDefault="003D2051" w:rsidP="00016C71">
      <w:r w:rsidRPr="00894305">
        <w:t>Medlemsstaterna uppmanas att på ett mer systematiskt sätt angripa problematiken inom ramen för sitt arbete med Lissabonstrategin, inklusive arbetet med den europeiska ungdomspakten</w:t>
      </w:r>
      <w:r w:rsidR="00981654" w:rsidRPr="00894305">
        <w:t xml:space="preserve"> och med s.k. ”flexicuritystrategier”</w:t>
      </w:r>
      <w:r w:rsidRPr="00894305">
        <w:t>.</w:t>
      </w:r>
      <w:r w:rsidR="00981654" w:rsidRPr="00894305">
        <w:t xml:space="preserve"> </w:t>
      </w:r>
      <w:r w:rsidR="005A4862" w:rsidRPr="00894305">
        <w:t xml:space="preserve"> </w:t>
      </w:r>
      <w:r w:rsidR="00BA4A23" w:rsidRPr="00894305">
        <w:t>Att främja ungas entreprenörskap</w:t>
      </w:r>
      <w:r w:rsidR="00A73A96" w:rsidRPr="00894305">
        <w:t xml:space="preserve"> bedöms också som viktigt</w:t>
      </w:r>
      <w:r w:rsidR="00D45125" w:rsidRPr="00894305">
        <w:t>.</w:t>
      </w:r>
      <w:r w:rsidR="00537C1E" w:rsidRPr="00894305">
        <w:t xml:space="preserve"> Medlemsstaterna uppmuntras vidare att använda EU-medel för att främja ungas övergång från utbildning till sysselsättning.</w:t>
      </w:r>
    </w:p>
    <w:p w:rsidR="00055FBF" w:rsidRPr="00894305" w:rsidRDefault="00055FBF" w:rsidP="00016C71"/>
    <w:p w:rsidR="00324700" w:rsidRPr="00894305" w:rsidRDefault="00632623" w:rsidP="00016C71">
      <w:r w:rsidRPr="00894305">
        <w:t xml:space="preserve">- </w:t>
      </w:r>
      <w:r w:rsidR="00324700" w:rsidRPr="00894305">
        <w:t xml:space="preserve">Social </w:t>
      </w:r>
      <w:r w:rsidR="00DB30DB" w:rsidRPr="00894305">
        <w:t>inkludering (</w:t>
      </w:r>
      <w:r w:rsidR="003C230F" w:rsidRPr="00894305">
        <w:t>inklusive frågor om jämställdhet och hälsa)</w:t>
      </w:r>
    </w:p>
    <w:p w:rsidR="00721190" w:rsidRPr="00894305" w:rsidRDefault="00721190" w:rsidP="00016C71"/>
    <w:p w:rsidR="00721190" w:rsidRPr="00894305" w:rsidRDefault="00A7789D" w:rsidP="00016C71">
      <w:r w:rsidRPr="00894305">
        <w:t xml:space="preserve">Kommissionen tar också i meddelandet upp vikten av social inkludering </w:t>
      </w:r>
      <w:r w:rsidR="008C1F0B" w:rsidRPr="00894305">
        <w:t>och</w:t>
      </w:r>
      <w:r w:rsidRPr="00894305">
        <w:t xml:space="preserve"> att skapa lika möjligheter för alla unga att utveckla och uppnå sin potential</w:t>
      </w:r>
      <w:r w:rsidR="008C1F0B" w:rsidRPr="00894305">
        <w:t xml:space="preserve"> och att delta i samhällslivet</w:t>
      </w:r>
      <w:r w:rsidRPr="00894305">
        <w:t>. Problem som lyfts fram är en hög andel barn u</w:t>
      </w:r>
      <w:r w:rsidR="009D4DE8" w:rsidRPr="00894305">
        <w:t xml:space="preserve">nder 18 år som påverkas av barnfattigdom </w:t>
      </w:r>
      <w:r w:rsidRPr="00894305">
        <w:t xml:space="preserve"> </w:t>
      </w:r>
      <w:r w:rsidR="00886518" w:rsidRPr="00894305">
        <w:t>(</w:t>
      </w:r>
      <w:r w:rsidR="00DB30DB" w:rsidRPr="00894305">
        <w:t>19 %</w:t>
      </w:r>
      <w:r w:rsidR="006203B9" w:rsidRPr="00894305">
        <w:t xml:space="preserve">), </w:t>
      </w:r>
      <w:r w:rsidRPr="00894305">
        <w:t xml:space="preserve"> riskerna kring överföring av fattigdom mellan generationer, exkludering och diskriminering av unga med utländsk bakgrund</w:t>
      </w:r>
      <w:r w:rsidR="00886518" w:rsidRPr="00894305">
        <w:t xml:space="preserve"> och </w:t>
      </w:r>
      <w:r w:rsidRPr="00894305">
        <w:t xml:space="preserve">med funktionshinder </w:t>
      </w:r>
      <w:r w:rsidR="00886518" w:rsidRPr="00894305">
        <w:t>i exempelvis utbildningsväsendet</w:t>
      </w:r>
      <w:r w:rsidR="009D4DE8" w:rsidRPr="00894305">
        <w:t xml:space="preserve"> och på arbetsmarknaden.</w:t>
      </w:r>
      <w:r w:rsidR="00886518" w:rsidRPr="00894305">
        <w:t xml:space="preserve"> </w:t>
      </w:r>
      <w:r w:rsidR="009D4DE8" w:rsidRPr="00894305">
        <w:t>Ett annat problemområdet rör ojämställdhet</w:t>
      </w:r>
      <w:r w:rsidRPr="00894305">
        <w:t xml:space="preserve"> mellan </w:t>
      </w:r>
      <w:r w:rsidR="00886518" w:rsidRPr="00894305">
        <w:t xml:space="preserve">unga </w:t>
      </w:r>
      <w:r w:rsidRPr="00894305">
        <w:t>kvinnor och män</w:t>
      </w:r>
      <w:r w:rsidR="009D4DE8" w:rsidRPr="00894305">
        <w:t xml:space="preserve"> </w:t>
      </w:r>
      <w:r w:rsidR="00886518" w:rsidRPr="00894305">
        <w:t xml:space="preserve"> i form av exempelvis oskäliga löneskillnader, könsster</w:t>
      </w:r>
      <w:r w:rsidR="00C142FC" w:rsidRPr="00894305">
        <w:t>e</w:t>
      </w:r>
      <w:r w:rsidR="00886518" w:rsidRPr="00894305">
        <w:t>otyper och problem med en överrepresenta</w:t>
      </w:r>
      <w:r w:rsidR="009C3D97" w:rsidRPr="00894305">
        <w:t>t</w:t>
      </w:r>
      <w:r w:rsidR="00886518" w:rsidRPr="00894305">
        <w:t>ion av unga män som lämna</w:t>
      </w:r>
      <w:r w:rsidR="006203B9" w:rsidRPr="00894305">
        <w:t>r</w:t>
      </w:r>
      <w:r w:rsidR="00886518" w:rsidRPr="00894305">
        <w:t xml:space="preserve"> skolan i förtid</w:t>
      </w:r>
      <w:r w:rsidRPr="00894305">
        <w:t>.</w:t>
      </w:r>
      <w:r w:rsidR="006203B9" w:rsidRPr="00894305">
        <w:t xml:space="preserve"> God hälsa tas </w:t>
      </w:r>
      <w:r w:rsidR="00C02B10" w:rsidRPr="00894305">
        <w:t xml:space="preserve">upp som en förutsättning för att bygga humankapital och främja deltagande. </w:t>
      </w:r>
      <w:r w:rsidR="000530ED" w:rsidRPr="00894305">
        <w:t>Därför ser kommissionen med oro på att e</w:t>
      </w:r>
      <w:r w:rsidR="009C3D97" w:rsidRPr="00894305">
        <w:t>n relativt hög och dessutom ökande andel av ungdomarna i EU lider a</w:t>
      </w:r>
      <w:r w:rsidR="007659DD" w:rsidRPr="00894305">
        <w:t>v olika typer av hälsoproblem. Exempelvis lider e</w:t>
      </w:r>
      <w:r w:rsidR="009C3D97" w:rsidRPr="00894305">
        <w:t xml:space="preserve">tt av fem barn av övervikt eller fetma och </w:t>
      </w:r>
      <w:r w:rsidR="00DB30DB" w:rsidRPr="00894305">
        <w:t>10 %</w:t>
      </w:r>
      <w:r w:rsidR="009C3D97" w:rsidRPr="00894305">
        <w:t xml:space="preserve"> av dödsfallen bland unga kvinnor och </w:t>
      </w:r>
      <w:r w:rsidR="00DB30DB" w:rsidRPr="00894305">
        <w:t>25 %</w:t>
      </w:r>
      <w:r w:rsidR="009C3D97" w:rsidRPr="00894305">
        <w:t xml:space="preserve"> av dödsfallen bland unga män är alkoholre</w:t>
      </w:r>
      <w:r w:rsidR="009D4DE8" w:rsidRPr="00894305">
        <w:t xml:space="preserve">laterade. </w:t>
      </w:r>
    </w:p>
    <w:p w:rsidR="00F95FFF" w:rsidRPr="00894305" w:rsidRDefault="00F95FFF" w:rsidP="00016C71"/>
    <w:p w:rsidR="00632623" w:rsidRPr="00894305" w:rsidRDefault="00EC7D59" w:rsidP="00016C71">
      <w:r w:rsidRPr="00894305">
        <w:t xml:space="preserve">Unga är en av de främsta målgrupperna för EU:s </w:t>
      </w:r>
      <w:r w:rsidR="00021509" w:rsidRPr="00894305">
        <w:t>hälso</w:t>
      </w:r>
      <w:r w:rsidR="00E17553" w:rsidRPr="00894305">
        <w:t>arbete</w:t>
      </w:r>
      <w:r w:rsidRPr="00894305">
        <w:t xml:space="preserve">. </w:t>
      </w:r>
      <w:r w:rsidR="00D77D3E" w:rsidRPr="00894305">
        <w:t>Kommissioner</w:t>
      </w:r>
      <w:r w:rsidR="001913C1" w:rsidRPr="00894305">
        <w:t xml:space="preserve"> föreslår</w:t>
      </w:r>
      <w:r w:rsidR="000530ED" w:rsidRPr="00894305">
        <w:t xml:space="preserve"> </w:t>
      </w:r>
      <w:r w:rsidR="001913C1" w:rsidRPr="00894305">
        <w:t xml:space="preserve">att </w:t>
      </w:r>
      <w:r w:rsidR="00D77D3E" w:rsidRPr="00894305">
        <w:t xml:space="preserve">medlemsstaterna </w:t>
      </w:r>
      <w:r w:rsidR="001913C1" w:rsidRPr="00894305">
        <w:t xml:space="preserve">ska </w:t>
      </w:r>
      <w:r w:rsidR="00D77D3E" w:rsidRPr="00894305">
        <w:t>stärka sitt arbete mot barnfattigdom och att stödja ungdomsorganisationer och yrkesgrupper som arbetar med unga så att de kan arbeta med hälsofrågor. Kommissionen aviserar vidare att de under 2007 kommer att utarbeta en ny hälsostrategi, vilken kommer att stödja målgruppsanp</w:t>
      </w:r>
      <w:r w:rsidR="000530ED" w:rsidRPr="00894305">
        <w:t xml:space="preserve">assade åtgärder för unga. Vidare anges att kommissionen </w:t>
      </w:r>
      <w:r w:rsidR="00D77D3E" w:rsidRPr="00894305">
        <w:t>stödjer aktiviteter för att eliminera könsstereotyper genom j</w:t>
      </w:r>
      <w:r w:rsidR="000530ED" w:rsidRPr="00894305">
        <w:t>ämställdhetsintegrering</w:t>
      </w:r>
      <w:r w:rsidR="00D77D3E" w:rsidRPr="00894305">
        <w:t xml:space="preserve"> och genom särskilda åtgärder inom EU:s utbildnings- och kulturprogram. </w:t>
      </w:r>
    </w:p>
    <w:p w:rsidR="00632623" w:rsidRPr="00894305" w:rsidRDefault="00632623" w:rsidP="00016C71"/>
    <w:p w:rsidR="00324700" w:rsidRPr="00894305" w:rsidRDefault="00267DBF" w:rsidP="00016C71">
      <w:r w:rsidRPr="00894305">
        <w:t xml:space="preserve">- </w:t>
      </w:r>
      <w:r w:rsidR="00405D30" w:rsidRPr="00894305">
        <w:t xml:space="preserve">Aktivt </w:t>
      </w:r>
      <w:r w:rsidRPr="00894305">
        <w:t xml:space="preserve"> medborgarskap</w:t>
      </w:r>
    </w:p>
    <w:p w:rsidR="006E774B" w:rsidRPr="00894305" w:rsidRDefault="006E774B" w:rsidP="00016C71"/>
    <w:p w:rsidR="00267DBF" w:rsidRPr="00894305" w:rsidRDefault="00267DBF" w:rsidP="00016C71">
      <w:r w:rsidRPr="00894305">
        <w:t>Kommissionen pekar på ungas deltagande i de demokratiska processerna och en kontinuerlig dialog mellan unga och beslutsfattare som avgörande för välfungerande demokratier och</w:t>
      </w:r>
      <w:r w:rsidR="00D978C9" w:rsidRPr="00894305">
        <w:t xml:space="preserve"> för en hållbar ungdomspolitik. </w:t>
      </w:r>
      <w:r w:rsidR="003A69D7" w:rsidRPr="00894305">
        <w:t>Kommissionen och medlemsstaterna arbetar redan aktivt med övergripande mål om att främja ungas deltagande och ungas volontäraktiviteter/</w:t>
      </w:r>
      <w:r w:rsidR="00D84620" w:rsidRPr="00894305">
        <w:t xml:space="preserve"> </w:t>
      </w:r>
      <w:r w:rsidR="003A69D7" w:rsidRPr="00894305">
        <w:t xml:space="preserve">frivilligarbete och en strukturerad dialog med unga har etablerats. </w:t>
      </w:r>
      <w:r w:rsidR="00D84620" w:rsidRPr="00894305">
        <w:t xml:space="preserve">Ungas medverkan i kulturella aktiviteter framhålls </w:t>
      </w:r>
      <w:r w:rsidR="002715D0" w:rsidRPr="00894305">
        <w:t>av kommissionen</w:t>
      </w:r>
      <w:r w:rsidR="00D84620" w:rsidRPr="00894305">
        <w:t xml:space="preserve"> som en möjlighet för unga att ge </w:t>
      </w:r>
      <w:r w:rsidR="00D978C9" w:rsidRPr="00894305">
        <w:t>uttryck för sin kreativitet</w:t>
      </w:r>
      <w:r w:rsidR="00FA6BB9" w:rsidRPr="00894305">
        <w:t xml:space="preserve"> och</w:t>
      </w:r>
      <w:r w:rsidR="00D978C9" w:rsidRPr="00894305">
        <w:t xml:space="preserve"> att vara aktiva medborgare</w:t>
      </w:r>
      <w:r w:rsidR="00FA6BB9" w:rsidRPr="00894305">
        <w:t>.</w:t>
      </w:r>
    </w:p>
    <w:p w:rsidR="00773745" w:rsidRPr="00894305" w:rsidRDefault="00773745" w:rsidP="00016C71"/>
    <w:p w:rsidR="00773745" w:rsidRPr="00894305" w:rsidRDefault="00773745" w:rsidP="00016C71">
      <w:r w:rsidRPr="00894305">
        <w:t xml:space="preserve">Kommissionen </w:t>
      </w:r>
      <w:r w:rsidR="000339BD" w:rsidRPr="00894305">
        <w:t xml:space="preserve">uppmanar </w:t>
      </w:r>
      <w:r w:rsidRPr="00894305">
        <w:t>medlemsstaterna att på olika sätt fortsätta och stärka sitt arbete med de gemensamma målen om att främja un</w:t>
      </w:r>
      <w:r w:rsidR="00FA6BB9" w:rsidRPr="00894305">
        <w:t>gas deltagande,</w:t>
      </w:r>
      <w:r w:rsidRPr="00894305">
        <w:t xml:space="preserve"> volontäraktiviteter</w:t>
      </w:r>
      <w:r w:rsidR="008D7AAA" w:rsidRPr="00894305">
        <w:t>,</w:t>
      </w:r>
      <w:r w:rsidRPr="00894305">
        <w:t xml:space="preserve"> samt bättre information till unga. Vidare inbjuds medlemsstaterna att ge unga en roll i genomförandet av det europeiska året för interkulturell dialog. Det aviseras också att kommissionen</w:t>
      </w:r>
      <w:r w:rsidR="0034799D" w:rsidRPr="00894305">
        <w:t xml:space="preserve"> i samarbete med medlemsstaterna</w:t>
      </w:r>
      <w:r w:rsidRPr="00894305">
        <w:t xml:space="preserve"> ska studera ungas tillgång till kultur.</w:t>
      </w:r>
      <w:r w:rsidR="009935BD" w:rsidRPr="00894305">
        <w:t xml:space="preserve"> När det gäller ungas volontäraktiviteter </w:t>
      </w:r>
      <w:r w:rsidR="008D7AAA" w:rsidRPr="00894305">
        <w:t>avser kommissionen</w:t>
      </w:r>
      <w:r w:rsidR="009935BD" w:rsidRPr="00894305">
        <w:t xml:space="preserve"> att undersöka behovet av ett nytt initiativ för att främja ungas volontäraktiviteter. </w:t>
      </w:r>
      <w:r w:rsidR="003A6013" w:rsidRPr="00894305">
        <w:t>EU:s institutioner och EU:s ungdomar inbjuds också att stärka sitt partnerskap genom antagande av en gemensam deklaration under 2007. Slutligen nämner kommissionen att de (enligt önskemål från ungdomsministrarna) kommer att presentera en rapport om ungdomars situation i EU vart tredje år.</w:t>
      </w:r>
    </w:p>
    <w:p w:rsidR="006D4AA5" w:rsidRPr="00894305" w:rsidRDefault="006D4AA5">
      <w:pPr>
        <w:pStyle w:val="Rubrik2"/>
      </w:pPr>
      <w:r w:rsidRPr="00894305">
        <w:t>Gällande svenska regler och förslagets effekt på dessa</w:t>
      </w:r>
    </w:p>
    <w:p w:rsidR="006D4AA5" w:rsidRPr="00894305" w:rsidRDefault="0049308C">
      <w:r w:rsidRPr="00894305">
        <w:t>Inga direkta konsekvenser för svensk lagstiftning förutses.</w:t>
      </w:r>
    </w:p>
    <w:p w:rsidR="006D4AA5" w:rsidRPr="00894305" w:rsidRDefault="006D4AA5">
      <w:pPr>
        <w:pStyle w:val="Rubrik2"/>
      </w:pPr>
      <w:r w:rsidRPr="00894305">
        <w:t>Budgetära konsekvenser</w:t>
      </w:r>
    </w:p>
    <w:p w:rsidR="006D4AA5" w:rsidRPr="00894305" w:rsidRDefault="00511A6C">
      <w:r w:rsidRPr="00894305">
        <w:t>Meddelandet innebär inga direkta budgetära konsekvenser.</w:t>
      </w:r>
    </w:p>
    <w:p w:rsidR="006D4AA5" w:rsidRPr="00894305" w:rsidRDefault="006D4AA5">
      <w:pPr>
        <w:pStyle w:val="Rubrik1"/>
      </w:pPr>
      <w:r w:rsidRPr="00894305">
        <w:t>Ståndpunkter</w:t>
      </w:r>
    </w:p>
    <w:p w:rsidR="006D4AA5" w:rsidRPr="00894305" w:rsidRDefault="006D4AA5">
      <w:pPr>
        <w:pStyle w:val="Rubrik2"/>
      </w:pPr>
      <w:r w:rsidRPr="00894305">
        <w:t>Svensk ståndpunkt</w:t>
      </w:r>
    </w:p>
    <w:p w:rsidR="006D4AA5" w:rsidRPr="00894305" w:rsidRDefault="00070444">
      <w:r w:rsidRPr="00894305">
        <w:t xml:space="preserve">Regeringen </w:t>
      </w:r>
      <w:r w:rsidR="003D50A4" w:rsidRPr="00894305">
        <w:t>ställer</w:t>
      </w:r>
      <w:r w:rsidR="00524798" w:rsidRPr="00894305">
        <w:t xml:space="preserve"> sig bakom den generella inriktningen i</w:t>
      </w:r>
      <w:r w:rsidRPr="00894305">
        <w:t xml:space="preserve"> kommissionens meddelande. Det är positivt att kommissionen upp</w:t>
      </w:r>
      <w:r w:rsidR="00721190" w:rsidRPr="00894305">
        <w:t xml:space="preserve">märksammar ungas levnadsvillkor, och meddelandet berör frågor av stor vikt för unga. Det är särskilt positivt att meddelandet tagits fram och presenteras på detta sammanhållna och tvärsektoriella sätt. Ett tvärsektoriellt arbetssätt är helt i linje med den svenska ungdomspolitiken. </w:t>
      </w:r>
    </w:p>
    <w:p w:rsidR="00721190" w:rsidRPr="00894305" w:rsidRDefault="00721190" w:rsidP="00016C71"/>
    <w:p w:rsidR="00721190" w:rsidRPr="00894305" w:rsidRDefault="0029206B" w:rsidP="00016C71">
      <w:r w:rsidRPr="00894305">
        <w:t>Att främja ungas deltagande är ett övergripande mål för såväl det ungdomspolitiska samarbetet inom EU som för den nationella ungdomspolitiken. Förslaget om ett stärkt partnerskap med unga välkomnas mot bakgrund av detta. Regeringen har dock vissa frågetecken kring en gemensam deklaration mellan EU:s institutioner och</w:t>
      </w:r>
      <w:r w:rsidR="009F7E85" w:rsidRPr="00894305">
        <w:t xml:space="preserve"> unga (bl. a. kring beslutsformen och vilka som skulle</w:t>
      </w:r>
      <w:r w:rsidRPr="00894305">
        <w:t xml:space="preserve"> represen</w:t>
      </w:r>
      <w:r w:rsidR="009F7E85" w:rsidRPr="00894305">
        <w:t>tera EU:s ungdomar</w:t>
      </w:r>
      <w:r w:rsidRPr="00894305">
        <w:t>).</w:t>
      </w:r>
    </w:p>
    <w:p w:rsidR="00F713A0" w:rsidRPr="00894305" w:rsidRDefault="00F713A0" w:rsidP="00016C71"/>
    <w:p w:rsidR="00F713A0" w:rsidRPr="00894305" w:rsidRDefault="00F713A0" w:rsidP="00016C71">
      <w:r w:rsidRPr="00894305">
        <w:t>Regeringen ser det som positivt att kommissionen i meddelandet understryker att huvudansvaret för ungdomspolitiken även fortsättningsvis ska ligga på medlemsstaterna.</w:t>
      </w:r>
    </w:p>
    <w:p w:rsidR="00EE5404" w:rsidRPr="00894305" w:rsidRDefault="00EE5404" w:rsidP="00016C71"/>
    <w:p w:rsidR="00721190" w:rsidRPr="00894305" w:rsidRDefault="00EE5404" w:rsidP="00016C71">
      <w:r w:rsidRPr="00894305">
        <w:t>Regeringen menar att såväl icke-diskrimineringsperspektivet</w:t>
      </w:r>
      <w:r w:rsidR="00296D2C" w:rsidRPr="00894305">
        <w:t>,</w:t>
      </w:r>
      <w:r w:rsidRPr="00894305">
        <w:t xml:space="preserve"> som jämställdhetsperspektivet hade kunnat förtydligas och stärkas </w:t>
      </w:r>
      <w:r w:rsidR="006B5B15" w:rsidRPr="00894305">
        <w:t>i meddelandet.</w:t>
      </w:r>
    </w:p>
    <w:p w:rsidR="006D4AA5" w:rsidRPr="00894305" w:rsidRDefault="006D4AA5">
      <w:pPr>
        <w:pStyle w:val="Rubrik2"/>
      </w:pPr>
      <w:r w:rsidRPr="00894305">
        <w:t>Medlemsstaternas ståndpunkter</w:t>
      </w:r>
    </w:p>
    <w:p w:rsidR="006D4AA5" w:rsidRPr="00894305" w:rsidRDefault="001B190F">
      <w:r w:rsidRPr="00894305">
        <w:t xml:space="preserve">Övriga medlemsstater har också välkomnat meddelandet och inte minst dess tvärsektoriella karaktär. </w:t>
      </w:r>
      <w:r w:rsidR="00021509" w:rsidRPr="00894305">
        <w:t>Flera medlemsstater</w:t>
      </w:r>
      <w:r w:rsidR="004E1118" w:rsidRPr="00894305">
        <w:t xml:space="preserve"> har önskat ett förtydligande av vad en gemensam deklaration att antas av unga och EU:s institutioner innebär i praktiken.</w:t>
      </w:r>
    </w:p>
    <w:p w:rsidR="006D4AA5" w:rsidRPr="00894305" w:rsidRDefault="006D4AA5">
      <w:pPr>
        <w:pStyle w:val="Rubrik2"/>
      </w:pPr>
      <w:r w:rsidRPr="00894305">
        <w:t>Institutionernas ståndpunkter</w:t>
      </w:r>
    </w:p>
    <w:p w:rsidR="007A4DC5" w:rsidRPr="00894305" w:rsidRDefault="007A4DC5" w:rsidP="00016C71"/>
    <w:p w:rsidR="007A4DC5" w:rsidRPr="00894305" w:rsidRDefault="007A4DC5" w:rsidP="00016C71">
      <w:r w:rsidRPr="00894305">
        <w:t>Institutionernas ståndpunkter är ännu inte kända.</w:t>
      </w:r>
    </w:p>
    <w:p w:rsidR="006D4AA5" w:rsidRPr="00894305" w:rsidRDefault="006D4AA5">
      <w:pPr>
        <w:pStyle w:val="Rubrik2"/>
      </w:pPr>
      <w:r w:rsidRPr="00894305">
        <w:t>Remissinstansernas ståndpunkter</w:t>
      </w:r>
    </w:p>
    <w:p w:rsidR="006D4AA5" w:rsidRPr="00894305" w:rsidRDefault="007A4DC5">
      <w:r w:rsidRPr="00894305">
        <w:t>Meddelandet har inte gått på remiss.</w:t>
      </w:r>
    </w:p>
    <w:p w:rsidR="006D4AA5" w:rsidRPr="00894305" w:rsidRDefault="006D4AA5">
      <w:pPr>
        <w:pStyle w:val="Rubrik1"/>
      </w:pPr>
      <w:r w:rsidRPr="00894305">
        <w:t>Övrigt</w:t>
      </w:r>
    </w:p>
    <w:p w:rsidR="006D4AA5" w:rsidRPr="00894305" w:rsidRDefault="006D4AA5">
      <w:pPr>
        <w:pStyle w:val="Rubrik2"/>
      </w:pPr>
      <w:r w:rsidRPr="00894305">
        <w:t>Fortsatt behandling av ärendet</w:t>
      </w:r>
    </w:p>
    <w:p w:rsidR="006D4AA5" w:rsidRPr="00894305" w:rsidRDefault="009838F7">
      <w:r w:rsidRPr="00894305">
        <w:t xml:space="preserve">Meddelandet behandlas under hösten 2007 i huvudsak i rådsarbetsgruppen för ungdomsfrågor, men har också tagits upp i Utbildningskommittén, rådsarbetsgruppen för sociala frågor och i EMCO. Det </w:t>
      </w:r>
      <w:r w:rsidR="00DB30DB" w:rsidRPr="00894305">
        <w:t>portugisiska</w:t>
      </w:r>
      <w:r w:rsidRPr="00894305">
        <w:t xml:space="preserve"> ordförandeskapet i EU har presenterat ett utkast </w:t>
      </w:r>
      <w:r w:rsidR="00DB30DB" w:rsidRPr="00894305">
        <w:t>till rådsslutsatser</w:t>
      </w:r>
      <w:r w:rsidRPr="00894305">
        <w:t xml:space="preserve"> baserade på meddelandet, vilka kommer att tas upp för beslut i rådet (utbildning, ungdom, kultur) den 15-16 november 2007.</w:t>
      </w:r>
      <w:r w:rsidR="00AB1364" w:rsidRPr="00894305">
        <w:t xml:space="preserve"> Ordförandeskapet har också presenterat ett utkast till rådsresolution som mer specifikt följer upp den del av meddelandet som berör ungas volontäraktivteter. Detta utkast diskuteras också i rådsarbetsgruppen för ungdomsfrågor under hösten och kommer även detta att tas upp för beslut vid det ovan nämnda rådsmötet.</w:t>
      </w:r>
    </w:p>
    <w:p w:rsidR="006D4AA5" w:rsidRPr="00894305" w:rsidRDefault="006D4AA5">
      <w:pPr>
        <w:pStyle w:val="Rubrik2"/>
      </w:pPr>
      <w:r w:rsidRPr="00894305">
        <w:t>Rättslig grund och beslutsförfarande</w:t>
      </w:r>
    </w:p>
    <w:p w:rsidR="006D4AA5" w:rsidRPr="00894305" w:rsidRDefault="00DD729D">
      <w:r w:rsidRPr="00894305">
        <w:t xml:space="preserve">Det ungdomspolitiska samarbetet styrs av artikel 149 i EG-fördraget och beslut om rådsslutsatser </w:t>
      </w:r>
      <w:r w:rsidR="00306348" w:rsidRPr="00894305">
        <w:t xml:space="preserve">och rådsresolutioner </w:t>
      </w:r>
      <w:r w:rsidRPr="00894305">
        <w:t xml:space="preserve">kräver enhällighet. </w:t>
      </w:r>
    </w:p>
    <w:p w:rsidR="008D3D96" w:rsidRPr="00894305" w:rsidRDefault="008D3D96" w:rsidP="00016C71"/>
    <w:p w:rsidR="006D4AA5" w:rsidRPr="00894305" w:rsidRDefault="006D4AA5">
      <w:pPr>
        <w:pStyle w:val="Rubrik2"/>
      </w:pPr>
      <w:r w:rsidRPr="00894305">
        <w:t>Fackuttryck/termer</w:t>
      </w:r>
    </w:p>
    <w:p w:rsidR="008D3D96" w:rsidRPr="00894305" w:rsidRDefault="008D3D96" w:rsidP="008D3D96"/>
    <w:tbl>
      <w:tblPr>
        <w:tblStyle w:val="Tabellrutnt"/>
        <w:tblW w:w="0" w:type="auto"/>
        <w:tblLook w:val="01E0" w:firstRow="1" w:lastRow="1" w:firstColumn="1" w:lastColumn="1" w:noHBand="0" w:noVBand="0"/>
      </w:tblPr>
      <w:tblGrid>
        <w:gridCol w:w="2948"/>
        <w:gridCol w:w="2938"/>
      </w:tblGrid>
      <w:tr w:rsidR="008D3D96" w:rsidRPr="00894305" w:rsidTr="008D3D96">
        <w:tc>
          <w:tcPr>
            <w:tcW w:w="3018" w:type="dxa"/>
          </w:tcPr>
          <w:p w:rsidR="008D3D96" w:rsidRPr="00894305" w:rsidRDefault="008D3D96">
            <w:r w:rsidRPr="00894305">
              <w:t>European Youth Forum</w:t>
            </w:r>
          </w:p>
        </w:tc>
        <w:tc>
          <w:tcPr>
            <w:tcW w:w="3018" w:type="dxa"/>
          </w:tcPr>
          <w:p w:rsidR="008D3D96" w:rsidRPr="00894305" w:rsidRDefault="008D3D96">
            <w:r w:rsidRPr="00894305">
              <w:t>Paraplyorganisation för europeiska ungdomsorganisationer</w:t>
            </w:r>
          </w:p>
        </w:tc>
      </w:tr>
      <w:tr w:rsidR="008D3D96" w:rsidRPr="00894305" w:rsidTr="008D3D96">
        <w:tc>
          <w:tcPr>
            <w:tcW w:w="3018" w:type="dxa"/>
          </w:tcPr>
          <w:p w:rsidR="008D3D96" w:rsidRPr="00894305" w:rsidRDefault="008D3D96">
            <w:r w:rsidRPr="00894305">
              <w:t>Nationella reformprogram</w:t>
            </w:r>
          </w:p>
        </w:tc>
        <w:tc>
          <w:tcPr>
            <w:tcW w:w="3018" w:type="dxa"/>
          </w:tcPr>
          <w:p w:rsidR="008D3D96" w:rsidRPr="00894305" w:rsidRDefault="008D3D96">
            <w:r w:rsidRPr="00894305">
              <w:t>De handlingsprogram som upprättas i varje medlemsstat för genomförandet av Lissabonstrategin och so</w:t>
            </w:r>
            <w:r w:rsidR="00BE0F17" w:rsidRPr="00894305">
              <w:t>m åtföljs av årlig rapportering</w:t>
            </w:r>
          </w:p>
        </w:tc>
      </w:tr>
      <w:tr w:rsidR="008D3D96" w:rsidRPr="00894305" w:rsidTr="008D3D96">
        <w:tc>
          <w:tcPr>
            <w:tcW w:w="3018" w:type="dxa"/>
          </w:tcPr>
          <w:p w:rsidR="008D3D96" w:rsidRPr="00894305" w:rsidRDefault="008D3D96">
            <w:r w:rsidRPr="00894305">
              <w:t>European Qualifications Framework</w:t>
            </w:r>
          </w:p>
        </w:tc>
        <w:tc>
          <w:tcPr>
            <w:tcW w:w="3018" w:type="dxa"/>
          </w:tcPr>
          <w:p w:rsidR="008D3D96" w:rsidRPr="00894305" w:rsidRDefault="008D3D96">
            <w:r w:rsidRPr="00894305">
              <w:t>Ett ramverk för att tillhandahålla ett gemensamt sätt att beskriva kunskaper och kvalifikationer med syfte att hjälpa medlemsstater, arbetsgivare och individer att jämföra kvalifikationer mellan EU:s olika utbildningssystem</w:t>
            </w:r>
          </w:p>
        </w:tc>
      </w:tr>
      <w:tr w:rsidR="008D3D96" w:rsidRPr="00894305" w:rsidTr="008D3D96">
        <w:tc>
          <w:tcPr>
            <w:tcW w:w="3018" w:type="dxa"/>
          </w:tcPr>
          <w:p w:rsidR="008D3D96" w:rsidRPr="00894305" w:rsidRDefault="008D3D96">
            <w:r w:rsidRPr="00894305">
              <w:t>Europass</w:t>
            </w:r>
          </w:p>
        </w:tc>
        <w:tc>
          <w:tcPr>
            <w:tcW w:w="3018" w:type="dxa"/>
          </w:tcPr>
          <w:p w:rsidR="008D3D96" w:rsidRPr="00894305" w:rsidRDefault="008D3D96">
            <w:r w:rsidRPr="00894305">
              <w:t>Genom Europass kan meriter och kvalifikationer beskrivas på samma sätt och värderas lika i hela EU. Europass består av fem dokument som syftar till att hjälpa studerande och arbetstagare att göra sina färdigheter och kompetenser tydliga och lätta att förstå inom Europa</w:t>
            </w:r>
          </w:p>
        </w:tc>
      </w:tr>
      <w:tr w:rsidR="008D3D96" w:rsidRPr="00894305" w:rsidTr="008D3D96">
        <w:tc>
          <w:tcPr>
            <w:tcW w:w="3018" w:type="dxa"/>
          </w:tcPr>
          <w:p w:rsidR="008D3D96" w:rsidRPr="00894305" w:rsidRDefault="008D3D96">
            <w:r w:rsidRPr="00894305">
              <w:t>Flexicurity</w:t>
            </w:r>
          </w:p>
        </w:tc>
        <w:tc>
          <w:tcPr>
            <w:tcW w:w="3018" w:type="dxa"/>
          </w:tcPr>
          <w:p w:rsidR="008D3D96" w:rsidRPr="00894305" w:rsidRDefault="008D3D96">
            <w:r w:rsidRPr="00894305">
              <w:t xml:space="preserve">En politik/strategi för att på ett medvetet sätt </w:t>
            </w:r>
            <w:r w:rsidR="002E7E43" w:rsidRPr="00894305">
              <w:t xml:space="preserve">både </w:t>
            </w:r>
            <w:r w:rsidRPr="00894305">
              <w:t>öka flexibiliteten på arbetsmarknaden och  säkerheten vad gäller anställningar och inkomst</w:t>
            </w:r>
          </w:p>
        </w:tc>
      </w:tr>
      <w:tr w:rsidR="008D3D96" w:rsidRPr="00894305" w:rsidTr="008D3D96">
        <w:tc>
          <w:tcPr>
            <w:tcW w:w="3018" w:type="dxa"/>
          </w:tcPr>
          <w:p w:rsidR="008D3D96" w:rsidRPr="00894305" w:rsidRDefault="00BB3546">
            <w:r w:rsidRPr="00894305">
              <w:t>E</w:t>
            </w:r>
            <w:r w:rsidR="00E06F3A" w:rsidRPr="00894305">
              <w:t>URES</w:t>
            </w:r>
          </w:p>
        </w:tc>
        <w:tc>
          <w:tcPr>
            <w:tcW w:w="3018" w:type="dxa"/>
          </w:tcPr>
          <w:p w:rsidR="008D3D96" w:rsidRPr="00894305" w:rsidRDefault="00BB3546">
            <w:r w:rsidRPr="00894305">
              <w:t>Den europeiska portalen för rörlighet i arbetslivet</w:t>
            </w:r>
          </w:p>
        </w:tc>
      </w:tr>
    </w:tbl>
    <w:p w:rsidR="008D3D96" w:rsidRPr="00894305" w:rsidRDefault="008D3D96"/>
    <w:p w:rsidR="008D3D96" w:rsidRPr="00894305" w:rsidRDefault="008D3D96"/>
    <w:p w:rsidR="00A554E3" w:rsidRPr="00894305" w:rsidRDefault="00A554E3" w:rsidP="00016C71"/>
    <w:p w:rsidR="00A554E3" w:rsidRPr="00894305" w:rsidRDefault="00A554E3" w:rsidP="00016C71"/>
    <w:sectPr w:rsidR="00A554E3" w:rsidRPr="0089430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0511" w:rsidRPr="00894305" w:rsidRDefault="00FC0511">
      <w:r w:rsidRPr="00894305">
        <w:separator/>
      </w:r>
    </w:p>
  </w:endnote>
  <w:endnote w:type="continuationSeparator" w:id="0">
    <w:p w:rsidR="00FC0511" w:rsidRPr="00894305" w:rsidRDefault="00FC0511">
      <w:r w:rsidRPr="008943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EA9" w:rsidRPr="00894305" w:rsidRDefault="00971EA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EA9" w:rsidRPr="00894305" w:rsidRDefault="00FC0511">
    <w:pPr>
      <w:pStyle w:val="SidfotH"/>
      <w:framePr w:wrap="around"/>
    </w:pPr>
    <w:r w:rsidRPr="00894305">
      <w:t>2</w:t>
    </w:r>
  </w:p>
  <w:p w:rsidR="00971EA9" w:rsidRPr="00894305" w:rsidRDefault="00971EA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EA9" w:rsidRPr="00894305" w:rsidRDefault="00FC0511">
    <w:pPr>
      <w:pStyle w:val="SidfotH"/>
      <w:framePr w:wrap="around"/>
    </w:pPr>
    <w:r w:rsidRPr="00894305">
      <w:t>1</w:t>
    </w:r>
  </w:p>
  <w:p w:rsidR="00971EA9" w:rsidRPr="00894305" w:rsidRDefault="00971E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0511" w:rsidRPr="00894305" w:rsidRDefault="00FC0511">
      <w:r w:rsidRPr="00894305">
        <w:separator/>
      </w:r>
    </w:p>
  </w:footnote>
  <w:footnote w:type="continuationSeparator" w:id="0">
    <w:p w:rsidR="00FC0511" w:rsidRPr="00894305" w:rsidRDefault="00FC0511">
      <w:r w:rsidRPr="008943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EA9" w:rsidRPr="00894305" w:rsidRDefault="00971EA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EA9" w:rsidRPr="00894305" w:rsidRDefault="00971EA9">
    <w:pPr>
      <w:pStyle w:val="Kantrubrik"/>
      <w:framePr w:h="1157" w:hRule="exact" w:wrap="around" w:y="738"/>
    </w:pPr>
    <w:r w:rsidRPr="00894305">
      <w:t>2007/08:FPM10</w:t>
    </w:r>
  </w:p>
  <w:p w:rsidR="00971EA9" w:rsidRPr="00894305" w:rsidRDefault="00971EA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EA9" w:rsidRPr="00894305" w:rsidRDefault="00894305">
    <w:pPr>
      <w:pStyle w:val="Sidhuvud"/>
    </w:pPr>
    <w:r w:rsidRPr="0089430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119076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1EA9" w:rsidRDefault="00971EA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39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71EA9" w:rsidRDefault="00971EA9">
                    <w:pPr>
                      <w:pStyle w:val="Logo"/>
                    </w:pPr>
                    <w:r>
                      <w:object w:dxaOrig="840" w:dyaOrig="1545">
                        <v:shape id="_x0000_i1025" type="#_x0000_t75" style="width:42pt;height:77.15pt" filled="t">
                          <v:imagedata r:id="rId1" o:title=""/>
                        </v:shape>
                        <o:OLEObject Type="Embed" ProgID="Word.Picture.8" ShapeID="_x0000_i1025" DrawAspect="Content" ObjectID="_182749539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D820C1F"/>
    <w:multiLevelType w:val="singleLevel"/>
    <w:tmpl w:val="7896AADE"/>
    <w:name w:val="Tiret 3"/>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C7324A7"/>
    <w:multiLevelType w:val="hybridMultilevel"/>
    <w:tmpl w:val="0D06E8E8"/>
    <w:lvl w:ilvl="0" w:tplc="041D0001">
      <w:start w:val="1"/>
      <w:numFmt w:val="bullet"/>
      <w:lvlText w:val=""/>
      <w:lvlJc w:val="left"/>
      <w:pPr>
        <w:tabs>
          <w:tab w:val="num" w:pos="720"/>
        </w:tabs>
        <w:ind w:left="720" w:hanging="360"/>
      </w:pPr>
      <w:rPr>
        <w:rFonts w:ascii="Symbol" w:hAnsi="Symbol" w:hint="default"/>
      </w:rPr>
    </w:lvl>
    <w:lvl w:ilvl="1" w:tplc="AE0C8474">
      <w:numFmt w:val="bullet"/>
      <w:lvlText w:val="-"/>
      <w:lvlJc w:val="left"/>
      <w:pPr>
        <w:tabs>
          <w:tab w:val="num" w:pos="1440"/>
        </w:tabs>
        <w:ind w:left="1440" w:hanging="360"/>
      </w:pPr>
      <w:rPr>
        <w:rFonts w:ascii="Times New Roman" w:eastAsia="Times New Roman" w:hAnsi="Times New Roman"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09158467">
    <w:abstractNumId w:val="6"/>
  </w:num>
  <w:num w:numId="2" w16cid:durableId="594243288">
    <w:abstractNumId w:val="2"/>
  </w:num>
  <w:num w:numId="3" w16cid:durableId="397480840">
    <w:abstractNumId w:val="4"/>
  </w:num>
  <w:num w:numId="4" w16cid:durableId="122432992">
    <w:abstractNumId w:val="5"/>
  </w:num>
  <w:num w:numId="5" w16cid:durableId="478111502">
    <w:abstractNumId w:val="7"/>
  </w:num>
  <w:num w:numId="6" w16cid:durableId="1285385592">
    <w:abstractNumId w:val="0"/>
  </w:num>
  <w:num w:numId="7" w16cid:durableId="1808670514">
    <w:abstractNumId w:val="3"/>
  </w:num>
  <w:num w:numId="8" w16cid:durableId="1721318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0-17"/>
    <w:docVar w:name="Ar" w:val="2007/08"/>
    <w:docVar w:name="Dep" w:val="Integrations- och jämställdhetsdepartementet"/>
    <w:docVar w:name="DepWeb" w:val="Integrations- och jämställdhetsdepartementet"/>
    <w:docVar w:name="GDB1" w:val="KOM(2007) 498 slutlig"/>
    <w:docVar w:name="GDB10" w:val=" "/>
    <w:docVar w:name="GDB11" w:val=" "/>
    <w:docVar w:name="GDB12" w:val=" "/>
    <w:docVar w:name="GDB13" w:val=" "/>
    <w:docVar w:name="GDB2" w:val="SEK(2007) 1084"/>
    <w:docVar w:name="GDB3" w:val="SEK(2007) 1093"/>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om att främja unga människors fulla deltagande i utbildning, arbetsliv och samhälle_x000d__x000a_"/>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498 slutlig, SEK(2007) 1084, SEK(2007) 1093"/>
    <w:docVar w:name="Nr" w:val="10"/>
    <w:docVar w:name="RD_APPVERSION" w:val="3.00"/>
    <w:docVar w:name="Rub" w:val="Meddelande om att främja ungas deltagande"/>
    <w:docVar w:name="UppDat" w:val="2007-10-17"/>
    <w:docVar w:name="Utsk" w:val="Kulturutskottet"/>
  </w:docVars>
  <w:rsids>
    <w:rsidRoot w:val="00894305"/>
    <w:rsid w:val="00004BB2"/>
    <w:rsid w:val="0000509A"/>
    <w:rsid w:val="00015534"/>
    <w:rsid w:val="00016C71"/>
    <w:rsid w:val="00021509"/>
    <w:rsid w:val="000246EE"/>
    <w:rsid w:val="000339BD"/>
    <w:rsid w:val="0004351A"/>
    <w:rsid w:val="000453FD"/>
    <w:rsid w:val="000530ED"/>
    <w:rsid w:val="00054859"/>
    <w:rsid w:val="00055FBF"/>
    <w:rsid w:val="00070444"/>
    <w:rsid w:val="0007339F"/>
    <w:rsid w:val="00076B31"/>
    <w:rsid w:val="000B0A38"/>
    <w:rsid w:val="000B2686"/>
    <w:rsid w:val="000C2C90"/>
    <w:rsid w:val="000D79E9"/>
    <w:rsid w:val="000E11BF"/>
    <w:rsid w:val="001036E1"/>
    <w:rsid w:val="00115E6A"/>
    <w:rsid w:val="00117FB7"/>
    <w:rsid w:val="001209EB"/>
    <w:rsid w:val="00141422"/>
    <w:rsid w:val="001451B3"/>
    <w:rsid w:val="00154DCE"/>
    <w:rsid w:val="001558CF"/>
    <w:rsid w:val="00157693"/>
    <w:rsid w:val="00177E56"/>
    <w:rsid w:val="001913C1"/>
    <w:rsid w:val="00197758"/>
    <w:rsid w:val="001A03E4"/>
    <w:rsid w:val="001A3245"/>
    <w:rsid w:val="001B0678"/>
    <w:rsid w:val="001B190F"/>
    <w:rsid w:val="001D013C"/>
    <w:rsid w:val="001F2E2B"/>
    <w:rsid w:val="00200F36"/>
    <w:rsid w:val="002113B9"/>
    <w:rsid w:val="002118AB"/>
    <w:rsid w:val="00267DBF"/>
    <w:rsid w:val="002715D0"/>
    <w:rsid w:val="00282387"/>
    <w:rsid w:val="0028322A"/>
    <w:rsid w:val="00284961"/>
    <w:rsid w:val="002858E2"/>
    <w:rsid w:val="002915E6"/>
    <w:rsid w:val="00292055"/>
    <w:rsid w:val="0029206B"/>
    <w:rsid w:val="00296D2C"/>
    <w:rsid w:val="002E0A9E"/>
    <w:rsid w:val="002E7E43"/>
    <w:rsid w:val="002F2B94"/>
    <w:rsid w:val="002F7E60"/>
    <w:rsid w:val="0030585B"/>
    <w:rsid w:val="00306348"/>
    <w:rsid w:val="00324700"/>
    <w:rsid w:val="00324AC1"/>
    <w:rsid w:val="00334A72"/>
    <w:rsid w:val="0034799D"/>
    <w:rsid w:val="003550F7"/>
    <w:rsid w:val="00361CDA"/>
    <w:rsid w:val="003A1D2F"/>
    <w:rsid w:val="003A390B"/>
    <w:rsid w:val="003A6013"/>
    <w:rsid w:val="003A69D7"/>
    <w:rsid w:val="003B2AE8"/>
    <w:rsid w:val="003B4090"/>
    <w:rsid w:val="003C230F"/>
    <w:rsid w:val="003D2051"/>
    <w:rsid w:val="003D2560"/>
    <w:rsid w:val="003D50A4"/>
    <w:rsid w:val="00402FCD"/>
    <w:rsid w:val="00405D30"/>
    <w:rsid w:val="00417F85"/>
    <w:rsid w:val="004422C3"/>
    <w:rsid w:val="00446D6F"/>
    <w:rsid w:val="00457D07"/>
    <w:rsid w:val="00464434"/>
    <w:rsid w:val="00467F47"/>
    <w:rsid w:val="00486EC9"/>
    <w:rsid w:val="0049308C"/>
    <w:rsid w:val="004A25AF"/>
    <w:rsid w:val="004B5ECB"/>
    <w:rsid w:val="004B7481"/>
    <w:rsid w:val="004C7CAD"/>
    <w:rsid w:val="004E00ED"/>
    <w:rsid w:val="004E1118"/>
    <w:rsid w:val="00504575"/>
    <w:rsid w:val="00511A6C"/>
    <w:rsid w:val="00515B50"/>
    <w:rsid w:val="00516155"/>
    <w:rsid w:val="00524798"/>
    <w:rsid w:val="00526423"/>
    <w:rsid w:val="00533DD0"/>
    <w:rsid w:val="00537C1E"/>
    <w:rsid w:val="0055519A"/>
    <w:rsid w:val="00563D3A"/>
    <w:rsid w:val="005873E1"/>
    <w:rsid w:val="005A4862"/>
    <w:rsid w:val="005B0883"/>
    <w:rsid w:val="005C0F09"/>
    <w:rsid w:val="005C44D9"/>
    <w:rsid w:val="005E4E1B"/>
    <w:rsid w:val="005F4659"/>
    <w:rsid w:val="00604912"/>
    <w:rsid w:val="006203B9"/>
    <w:rsid w:val="00632623"/>
    <w:rsid w:val="0064642B"/>
    <w:rsid w:val="00651CD2"/>
    <w:rsid w:val="006622FA"/>
    <w:rsid w:val="00662E67"/>
    <w:rsid w:val="00676BF0"/>
    <w:rsid w:val="0067723D"/>
    <w:rsid w:val="00697199"/>
    <w:rsid w:val="006A2197"/>
    <w:rsid w:val="006A34A1"/>
    <w:rsid w:val="006A4D25"/>
    <w:rsid w:val="006B5B15"/>
    <w:rsid w:val="006C70AE"/>
    <w:rsid w:val="006D0F59"/>
    <w:rsid w:val="006D4AA5"/>
    <w:rsid w:val="006E774B"/>
    <w:rsid w:val="006F01ED"/>
    <w:rsid w:val="00701E4F"/>
    <w:rsid w:val="00707FC5"/>
    <w:rsid w:val="00712016"/>
    <w:rsid w:val="00721190"/>
    <w:rsid w:val="00735BC7"/>
    <w:rsid w:val="00755E97"/>
    <w:rsid w:val="00764D2A"/>
    <w:rsid w:val="007659DD"/>
    <w:rsid w:val="00773745"/>
    <w:rsid w:val="00784012"/>
    <w:rsid w:val="00784188"/>
    <w:rsid w:val="00797A08"/>
    <w:rsid w:val="007A45C1"/>
    <w:rsid w:val="007A4DC5"/>
    <w:rsid w:val="007B7877"/>
    <w:rsid w:val="00807DF8"/>
    <w:rsid w:val="00823478"/>
    <w:rsid w:val="008242F0"/>
    <w:rsid w:val="00831ECD"/>
    <w:rsid w:val="00886518"/>
    <w:rsid w:val="00894305"/>
    <w:rsid w:val="00894AB7"/>
    <w:rsid w:val="00897A9E"/>
    <w:rsid w:val="008A1823"/>
    <w:rsid w:val="008C1F0B"/>
    <w:rsid w:val="008C708D"/>
    <w:rsid w:val="008D3D96"/>
    <w:rsid w:val="008D4D5D"/>
    <w:rsid w:val="008D7AAA"/>
    <w:rsid w:val="00901825"/>
    <w:rsid w:val="00907563"/>
    <w:rsid w:val="00910F96"/>
    <w:rsid w:val="00916240"/>
    <w:rsid w:val="009301B0"/>
    <w:rsid w:val="00953315"/>
    <w:rsid w:val="0095345C"/>
    <w:rsid w:val="00966207"/>
    <w:rsid w:val="00971EA9"/>
    <w:rsid w:val="00981654"/>
    <w:rsid w:val="009838F7"/>
    <w:rsid w:val="00985259"/>
    <w:rsid w:val="0099247C"/>
    <w:rsid w:val="009926A1"/>
    <w:rsid w:val="009935BD"/>
    <w:rsid w:val="009A2641"/>
    <w:rsid w:val="009C3D97"/>
    <w:rsid w:val="009C7E14"/>
    <w:rsid w:val="009D3AE4"/>
    <w:rsid w:val="009D4DE8"/>
    <w:rsid w:val="009E6DA4"/>
    <w:rsid w:val="009F196A"/>
    <w:rsid w:val="009F7E85"/>
    <w:rsid w:val="00A17B54"/>
    <w:rsid w:val="00A554E3"/>
    <w:rsid w:val="00A73A96"/>
    <w:rsid w:val="00A7789D"/>
    <w:rsid w:val="00A875D3"/>
    <w:rsid w:val="00A94270"/>
    <w:rsid w:val="00AB1364"/>
    <w:rsid w:val="00AD0042"/>
    <w:rsid w:val="00AD54C0"/>
    <w:rsid w:val="00AE4ED6"/>
    <w:rsid w:val="00AF1BD2"/>
    <w:rsid w:val="00AF3B40"/>
    <w:rsid w:val="00B12454"/>
    <w:rsid w:val="00B17C00"/>
    <w:rsid w:val="00B2717C"/>
    <w:rsid w:val="00B34B8B"/>
    <w:rsid w:val="00B52B67"/>
    <w:rsid w:val="00B80578"/>
    <w:rsid w:val="00B8462A"/>
    <w:rsid w:val="00B910F1"/>
    <w:rsid w:val="00BA4A23"/>
    <w:rsid w:val="00BB3546"/>
    <w:rsid w:val="00BD1D00"/>
    <w:rsid w:val="00BD3938"/>
    <w:rsid w:val="00BE0F17"/>
    <w:rsid w:val="00BF712A"/>
    <w:rsid w:val="00C02636"/>
    <w:rsid w:val="00C02B10"/>
    <w:rsid w:val="00C142FC"/>
    <w:rsid w:val="00C22616"/>
    <w:rsid w:val="00C50C9A"/>
    <w:rsid w:val="00C62862"/>
    <w:rsid w:val="00C643C5"/>
    <w:rsid w:val="00C875FC"/>
    <w:rsid w:val="00CB5D9F"/>
    <w:rsid w:val="00CC3A2F"/>
    <w:rsid w:val="00CE4C8C"/>
    <w:rsid w:val="00CF0180"/>
    <w:rsid w:val="00CF0BDE"/>
    <w:rsid w:val="00D07935"/>
    <w:rsid w:val="00D10CA3"/>
    <w:rsid w:val="00D22299"/>
    <w:rsid w:val="00D333AD"/>
    <w:rsid w:val="00D45125"/>
    <w:rsid w:val="00D50816"/>
    <w:rsid w:val="00D51B2B"/>
    <w:rsid w:val="00D5542C"/>
    <w:rsid w:val="00D57F02"/>
    <w:rsid w:val="00D77320"/>
    <w:rsid w:val="00D77D3E"/>
    <w:rsid w:val="00D84620"/>
    <w:rsid w:val="00D84F7C"/>
    <w:rsid w:val="00D85F99"/>
    <w:rsid w:val="00D978C9"/>
    <w:rsid w:val="00DA0ECB"/>
    <w:rsid w:val="00DB30DB"/>
    <w:rsid w:val="00DB62E8"/>
    <w:rsid w:val="00DD22B9"/>
    <w:rsid w:val="00DD729D"/>
    <w:rsid w:val="00DF0178"/>
    <w:rsid w:val="00DF467C"/>
    <w:rsid w:val="00E01576"/>
    <w:rsid w:val="00E04494"/>
    <w:rsid w:val="00E047CF"/>
    <w:rsid w:val="00E06F3A"/>
    <w:rsid w:val="00E17553"/>
    <w:rsid w:val="00E20E6D"/>
    <w:rsid w:val="00E51E3C"/>
    <w:rsid w:val="00E57D1C"/>
    <w:rsid w:val="00E62056"/>
    <w:rsid w:val="00E62D70"/>
    <w:rsid w:val="00E7499E"/>
    <w:rsid w:val="00E95AF0"/>
    <w:rsid w:val="00E97EDA"/>
    <w:rsid w:val="00EA7DD5"/>
    <w:rsid w:val="00EB09A1"/>
    <w:rsid w:val="00EC52ED"/>
    <w:rsid w:val="00EC7D59"/>
    <w:rsid w:val="00ED7A17"/>
    <w:rsid w:val="00ED7E08"/>
    <w:rsid w:val="00EE5404"/>
    <w:rsid w:val="00EE5913"/>
    <w:rsid w:val="00F07506"/>
    <w:rsid w:val="00F131A6"/>
    <w:rsid w:val="00F50FEA"/>
    <w:rsid w:val="00F64CDF"/>
    <w:rsid w:val="00F713A0"/>
    <w:rsid w:val="00F84DC7"/>
    <w:rsid w:val="00F9574E"/>
    <w:rsid w:val="00F95FFF"/>
    <w:rsid w:val="00FA114E"/>
    <w:rsid w:val="00FA6BB9"/>
    <w:rsid w:val="00FC0511"/>
    <w:rsid w:val="00FC556A"/>
    <w:rsid w:val="00FD0240"/>
    <w:rsid w:val="00FD4C7A"/>
    <w:rsid w:val="00FE47B3"/>
    <w:rsid w:val="00FF7A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356256-3EAC-4FC4-9404-78F77699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paragraph" w:customStyle="1" w:styleId="RKnormal">
    <w:name w:val="RKnormal"/>
    <w:basedOn w:val="Normal"/>
    <w:rsid w:val="00284961"/>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ListDash">
    <w:name w:val="List Dash"/>
    <w:basedOn w:val="Normal"/>
    <w:rsid w:val="004B5ECB"/>
    <w:pPr>
      <w:numPr>
        <w:numId w:val="8"/>
      </w:numPr>
      <w:spacing w:before="120" w:after="120" w:line="240" w:lineRule="auto"/>
    </w:pPr>
    <w:rPr>
      <w:sz w:val="24"/>
      <w:szCs w:val="24"/>
      <w:lang w:val="en-GB" w:eastAsia="de-DE"/>
    </w:rPr>
  </w:style>
  <w:style w:type="table" w:styleId="Tabellrutnt">
    <w:name w:val="Table Grid"/>
    <w:basedOn w:val="Normaltabell"/>
    <w:rsid w:val="008D3D96"/>
    <w:pPr>
      <w:spacing w:before="122" w:line="245"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liminairetitre">
    <w:name w:val="Préliminaire titre"/>
    <w:basedOn w:val="Normal"/>
    <w:next w:val="Normal"/>
    <w:rsid w:val="000E11BF"/>
    <w:pPr>
      <w:spacing w:before="360" w:after="360" w:line="240" w:lineRule="auto"/>
      <w:jc w:val="center"/>
    </w:pPr>
    <w:rPr>
      <w:b/>
      <w:sz w:val="24"/>
      <w:szCs w:val="24"/>
      <w:lang w:eastAsia="de-DE"/>
    </w:rPr>
  </w:style>
  <w:style w:type="paragraph" w:customStyle="1" w:styleId="Prliminairetype">
    <w:name w:val="Préliminaire type"/>
    <w:basedOn w:val="Normal"/>
    <w:next w:val="Normal"/>
    <w:rsid w:val="000E11BF"/>
    <w:pPr>
      <w:spacing w:before="360" w:line="240" w:lineRule="auto"/>
      <w:jc w:val="center"/>
    </w:pPr>
    <w:rPr>
      <w:b/>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1920</Words>
  <Characters>12116</Characters>
  <Application>Microsoft Office Word</Application>
  <DocSecurity>4</DocSecurity>
  <Lines>281</Lines>
  <Paragraphs>86</Paragraphs>
  <ScaleCrop>false</ScaleCrop>
  <HeadingPairs>
    <vt:vector size="2" baseType="variant">
      <vt:variant>
        <vt:lpstr>Rubrik</vt:lpstr>
      </vt:variant>
      <vt:variant>
        <vt:i4>1</vt:i4>
      </vt:variant>
    </vt:vector>
  </HeadingPairs>
  <TitlesOfParts>
    <vt:vector size="1" baseType="lpstr">
      <vt:lpstr>FPM_200708__10</vt:lpstr>
    </vt:vector>
  </TitlesOfParts>
  <Company>RD-DTSL</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FPM_200708__10</dc:title>
  <dc:subject>FPM_200708__10</dc:subject>
  <dc:creator>Riksdagen</dc:creator>
  <cp:keywords>Riksdagen</cp:keywords>
  <dc:description>KP2004-version.  Ändringarna påverkar enbart användningen inom Riksdagen. 050429 nya departement DTSL.</dc:description>
  <cp:lastModifiedBy>Lars Brink</cp:lastModifiedBy>
  <cp:revision>2</cp:revision>
  <cp:lastPrinted>2007-10-17T09:49:00Z</cp:lastPrinted>
  <dcterms:created xsi:type="dcterms:W3CDTF">2025-12-17T11:53:00Z</dcterms:created>
  <dcterms:modified xsi:type="dcterms:W3CDTF">2025-12-17T11:53:00Z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vt:lpwstr>
  </property>
  <property fmtid="{D5CDD505-2E9C-101B-9397-08002B2CF9AE}" pid="4" name="GDB1">
    <vt:lpwstr>KOM(2007) 498 slutlig</vt:lpwstr>
  </property>
  <property fmtid="{D5CDD505-2E9C-101B-9397-08002B2CF9AE}" pid="5" name="GDT1">
    <vt:lpwstr> </vt:lpwstr>
  </property>
  <property fmtid="{D5CDD505-2E9C-101B-9397-08002B2CF9AE}" pid="6" name="Dep">
    <vt:lpwstr>Integrations- och jämställdhetsdepartementet</vt:lpwstr>
  </property>
  <property fmtid="{D5CDD505-2E9C-101B-9397-08002B2CF9AE}" pid="7" name="Rub">
    <vt:lpwstr>Meddelande om att främja ungas deltagande</vt:lpwstr>
  </property>
  <property fmtid="{D5CDD505-2E9C-101B-9397-08002B2CF9AE}" pid="8" name="UppDat">
    <vt:lpwstr>2007-10-17</vt:lpwstr>
  </property>
  <property fmtid="{D5CDD505-2E9C-101B-9397-08002B2CF9AE}" pid="9" name="AnkDat">
    <vt:lpwstr>2007-10-17</vt:lpwstr>
  </property>
  <property fmtid="{D5CDD505-2E9C-101B-9397-08002B2CF9AE}" pid="10" name="Utsk">
    <vt:lpwstr>Kulturutskottet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SEK(2007) 1084</vt:lpwstr>
  </property>
  <property fmtid="{D5CDD505-2E9C-101B-9397-08002B2CF9AE}" pid="15" name="GDB3">
    <vt:lpwstr>SEK(2007) 1093</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JA</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20;0;0;437</vt:lpwstr>
  </property>
  <property fmtid="{D5CDD505-2E9C-101B-9397-08002B2CF9AE}" pid="41" name="Sprak">
    <vt:lpwstr>Svenska</vt:lpwstr>
  </property>
  <property fmtid="{D5CDD505-2E9C-101B-9397-08002B2CF9AE}" pid="42" name="DokID">
    <vt:i4>80</vt:i4>
  </property>
</Properties>
</file>