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271FD" w:rsidTr="000257D4">
        <w:tblPrEx>
          <w:tblCellMar>
            <w:top w:w="0" w:type="dxa"/>
            <w:bottom w:w="0" w:type="dxa"/>
          </w:tblCellMar>
        </w:tblPrEx>
        <w:tc>
          <w:tcPr>
            <w:tcW w:w="2268" w:type="dxa"/>
          </w:tcPr>
          <w:p w:rsidR="006E4E11" w:rsidRPr="006271F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271FD" w:rsidRDefault="006E4E11" w:rsidP="007242A3">
            <w:pPr>
              <w:framePr w:w="5035" w:h="1644" w:wrap="notBeside" w:vAnchor="page" w:hAnchor="page" w:x="6573" w:y="721"/>
              <w:rPr>
                <w:rFonts w:ascii="TradeGothic" w:hAnsi="TradeGothic"/>
                <w:i/>
                <w:sz w:val="18"/>
              </w:rPr>
            </w:pPr>
          </w:p>
        </w:tc>
      </w:tr>
      <w:tr w:rsidR="000257D4" w:rsidRPr="006271FD" w:rsidTr="000257D4">
        <w:tblPrEx>
          <w:tblCellMar>
            <w:top w:w="0" w:type="dxa"/>
            <w:bottom w:w="0" w:type="dxa"/>
          </w:tblCellMar>
        </w:tblPrEx>
        <w:tc>
          <w:tcPr>
            <w:tcW w:w="5267" w:type="dxa"/>
            <w:gridSpan w:val="3"/>
          </w:tcPr>
          <w:p w:rsidR="000257D4" w:rsidRPr="006271FD" w:rsidRDefault="000257D4" w:rsidP="007242A3">
            <w:pPr>
              <w:framePr w:w="5035" w:h="1644" w:wrap="notBeside" w:vAnchor="page" w:hAnchor="page" w:x="6573" w:y="721"/>
              <w:rPr>
                <w:rFonts w:ascii="TradeGothic" w:hAnsi="TradeGothic"/>
                <w:b/>
                <w:sz w:val="22"/>
              </w:rPr>
            </w:pPr>
            <w:r w:rsidRPr="006271FD">
              <w:rPr>
                <w:rFonts w:ascii="TradeGothic" w:hAnsi="TradeGothic"/>
                <w:b/>
                <w:sz w:val="22"/>
              </w:rPr>
              <w:t>Kommenterad dagordning</w:t>
            </w:r>
          </w:p>
        </w:tc>
      </w:tr>
      <w:tr w:rsidR="006E4E11" w:rsidRPr="006271FD" w:rsidTr="000257D4">
        <w:tblPrEx>
          <w:tblCellMar>
            <w:top w:w="0" w:type="dxa"/>
            <w:bottom w:w="0" w:type="dxa"/>
          </w:tblCellMar>
        </w:tblPrEx>
        <w:tc>
          <w:tcPr>
            <w:tcW w:w="3402" w:type="dxa"/>
            <w:gridSpan w:val="2"/>
          </w:tcPr>
          <w:p w:rsidR="006E4E11" w:rsidRPr="006271FD" w:rsidRDefault="000257D4" w:rsidP="007242A3">
            <w:pPr>
              <w:framePr w:w="5035" w:h="1644" w:wrap="notBeside" w:vAnchor="page" w:hAnchor="page" w:x="6573" w:y="721"/>
              <w:rPr>
                <w:rFonts w:ascii="TradeGothic" w:hAnsi="TradeGothic"/>
                <w:b/>
                <w:sz w:val="22"/>
              </w:rPr>
            </w:pPr>
            <w:r w:rsidRPr="006271FD">
              <w:rPr>
                <w:rFonts w:ascii="TradeGothic" w:hAnsi="TradeGothic"/>
                <w:b/>
                <w:sz w:val="22"/>
              </w:rPr>
              <w:t>rådet</w:t>
            </w:r>
          </w:p>
        </w:tc>
        <w:tc>
          <w:tcPr>
            <w:tcW w:w="1865" w:type="dxa"/>
          </w:tcPr>
          <w:p w:rsidR="006E4E11" w:rsidRPr="006271FD" w:rsidRDefault="006E4E11" w:rsidP="007242A3">
            <w:pPr>
              <w:framePr w:w="5035" w:h="1644" w:wrap="notBeside" w:vAnchor="page" w:hAnchor="page" w:x="6573" w:y="721"/>
            </w:pPr>
          </w:p>
        </w:tc>
      </w:tr>
      <w:tr w:rsidR="006E4E11" w:rsidRPr="006271FD" w:rsidTr="000257D4">
        <w:tblPrEx>
          <w:tblCellMar>
            <w:top w:w="0" w:type="dxa"/>
            <w:bottom w:w="0" w:type="dxa"/>
          </w:tblCellMar>
        </w:tblPrEx>
        <w:tc>
          <w:tcPr>
            <w:tcW w:w="2268" w:type="dxa"/>
          </w:tcPr>
          <w:p w:rsidR="006E4E11" w:rsidRPr="006271FD" w:rsidRDefault="000257D4" w:rsidP="007242A3">
            <w:pPr>
              <w:framePr w:w="5035" w:h="1644" w:wrap="notBeside" w:vAnchor="page" w:hAnchor="page" w:x="6573" w:y="721"/>
            </w:pPr>
            <w:r w:rsidRPr="006271FD">
              <w:t>2008-06-05</w:t>
            </w:r>
          </w:p>
        </w:tc>
        <w:tc>
          <w:tcPr>
            <w:tcW w:w="2999" w:type="dxa"/>
            <w:gridSpan w:val="2"/>
          </w:tcPr>
          <w:p w:rsidR="006E4E11" w:rsidRPr="006271FD" w:rsidRDefault="006E4E11" w:rsidP="007242A3">
            <w:pPr>
              <w:framePr w:w="5035" w:h="1644" w:wrap="notBeside" w:vAnchor="page" w:hAnchor="page" w:x="6573" w:y="721"/>
            </w:pPr>
          </w:p>
        </w:tc>
      </w:tr>
      <w:tr w:rsidR="006E4E11" w:rsidRPr="006271FD" w:rsidTr="000257D4">
        <w:tblPrEx>
          <w:tblCellMar>
            <w:top w:w="0" w:type="dxa"/>
            <w:bottom w:w="0" w:type="dxa"/>
          </w:tblCellMar>
        </w:tblPrEx>
        <w:tc>
          <w:tcPr>
            <w:tcW w:w="2268" w:type="dxa"/>
          </w:tcPr>
          <w:p w:rsidR="006E4E11" w:rsidRPr="006271FD" w:rsidRDefault="006E4E11" w:rsidP="007242A3">
            <w:pPr>
              <w:framePr w:w="5035" w:h="1644" w:wrap="notBeside" w:vAnchor="page" w:hAnchor="page" w:x="6573" w:y="721"/>
            </w:pPr>
          </w:p>
        </w:tc>
        <w:tc>
          <w:tcPr>
            <w:tcW w:w="2999" w:type="dxa"/>
            <w:gridSpan w:val="2"/>
          </w:tcPr>
          <w:p w:rsidR="006E4E11" w:rsidRPr="006271F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271FD">
        <w:tblPrEx>
          <w:tblCellMar>
            <w:top w:w="0" w:type="dxa"/>
            <w:bottom w:w="0" w:type="dxa"/>
          </w:tblCellMar>
        </w:tblPrEx>
        <w:trPr>
          <w:trHeight w:val="284"/>
        </w:trPr>
        <w:tc>
          <w:tcPr>
            <w:tcW w:w="4911" w:type="dxa"/>
          </w:tcPr>
          <w:p w:rsidR="006E4E11" w:rsidRPr="006271FD" w:rsidRDefault="000257D4">
            <w:pPr>
              <w:pStyle w:val="Avsndare"/>
              <w:framePr w:h="2483" w:wrap="notBeside" w:x="1504"/>
              <w:rPr>
                <w:b/>
                <w:i w:val="0"/>
                <w:sz w:val="22"/>
              </w:rPr>
            </w:pPr>
            <w:r w:rsidRPr="006271FD">
              <w:rPr>
                <w:b/>
                <w:i w:val="0"/>
                <w:sz w:val="22"/>
              </w:rPr>
              <w:t>Statsrådsberedningen</w:t>
            </w:r>
          </w:p>
        </w:tc>
      </w:tr>
      <w:tr w:rsidR="006E4E11" w:rsidRPr="006271FD">
        <w:tblPrEx>
          <w:tblCellMar>
            <w:top w:w="0" w:type="dxa"/>
            <w:bottom w:w="0" w:type="dxa"/>
          </w:tblCellMar>
        </w:tblPrEx>
        <w:trPr>
          <w:trHeight w:val="284"/>
        </w:trPr>
        <w:tc>
          <w:tcPr>
            <w:tcW w:w="4911" w:type="dxa"/>
          </w:tcPr>
          <w:p w:rsidR="006E4E11" w:rsidRPr="006271FD" w:rsidRDefault="006E4E11">
            <w:pPr>
              <w:pStyle w:val="Avsndare"/>
              <w:framePr w:h="2483" w:wrap="notBeside" w:x="1504"/>
              <w:rPr>
                <w:bCs/>
                <w:iCs/>
              </w:rPr>
            </w:pPr>
          </w:p>
        </w:tc>
      </w:tr>
      <w:tr w:rsidR="006E4E11" w:rsidRPr="006271FD">
        <w:tblPrEx>
          <w:tblCellMar>
            <w:top w:w="0" w:type="dxa"/>
            <w:bottom w:w="0" w:type="dxa"/>
          </w:tblCellMar>
        </w:tblPrEx>
        <w:trPr>
          <w:trHeight w:val="284"/>
        </w:trPr>
        <w:tc>
          <w:tcPr>
            <w:tcW w:w="4911" w:type="dxa"/>
          </w:tcPr>
          <w:p w:rsidR="006E4E11" w:rsidRPr="006271FD" w:rsidRDefault="000257D4">
            <w:pPr>
              <w:pStyle w:val="Avsndare"/>
              <w:framePr w:h="2483" w:wrap="notBeside" w:x="1504"/>
              <w:rPr>
                <w:bCs/>
                <w:iCs/>
              </w:rPr>
            </w:pPr>
            <w:r w:rsidRPr="006271FD">
              <w:rPr>
                <w:bCs/>
                <w:iCs/>
              </w:rPr>
              <w:t>EU-kansliet</w:t>
            </w:r>
          </w:p>
        </w:tc>
      </w:tr>
      <w:tr w:rsidR="006E4E11" w:rsidRPr="006271FD">
        <w:tblPrEx>
          <w:tblCellMar>
            <w:top w:w="0" w:type="dxa"/>
            <w:bottom w:w="0" w:type="dxa"/>
          </w:tblCellMar>
        </w:tblPrEx>
        <w:trPr>
          <w:trHeight w:val="284"/>
        </w:trPr>
        <w:tc>
          <w:tcPr>
            <w:tcW w:w="4911" w:type="dxa"/>
          </w:tcPr>
          <w:p w:rsidR="006E4E11" w:rsidRPr="006271FD" w:rsidRDefault="006E4E11">
            <w:pPr>
              <w:pStyle w:val="Avsndare"/>
              <w:framePr w:h="2483" w:wrap="notBeside" w:x="1504"/>
              <w:rPr>
                <w:bCs/>
                <w:iCs/>
              </w:rPr>
            </w:pPr>
          </w:p>
        </w:tc>
      </w:tr>
      <w:tr w:rsidR="006E4E11" w:rsidRPr="006271FD">
        <w:tblPrEx>
          <w:tblCellMar>
            <w:top w:w="0" w:type="dxa"/>
            <w:bottom w:w="0" w:type="dxa"/>
          </w:tblCellMar>
        </w:tblPrEx>
        <w:trPr>
          <w:trHeight w:val="284"/>
        </w:trPr>
        <w:tc>
          <w:tcPr>
            <w:tcW w:w="4911" w:type="dxa"/>
          </w:tcPr>
          <w:p w:rsidR="006E4E11" w:rsidRPr="006271FD" w:rsidRDefault="006E4E11">
            <w:pPr>
              <w:pStyle w:val="Avsndare"/>
              <w:framePr w:h="2483" w:wrap="notBeside" w:x="1504"/>
              <w:rPr>
                <w:bCs/>
                <w:iCs/>
              </w:rPr>
            </w:pPr>
          </w:p>
        </w:tc>
      </w:tr>
      <w:tr w:rsidR="006E4E11" w:rsidRPr="006271FD">
        <w:tblPrEx>
          <w:tblCellMar>
            <w:top w:w="0" w:type="dxa"/>
            <w:bottom w:w="0" w:type="dxa"/>
          </w:tblCellMar>
        </w:tblPrEx>
        <w:trPr>
          <w:trHeight w:val="284"/>
        </w:trPr>
        <w:tc>
          <w:tcPr>
            <w:tcW w:w="4911" w:type="dxa"/>
          </w:tcPr>
          <w:p w:rsidR="006E4E11" w:rsidRPr="006271FD" w:rsidRDefault="006E4E11">
            <w:pPr>
              <w:pStyle w:val="Avsndare"/>
              <w:framePr w:h="2483" w:wrap="notBeside" w:x="1504"/>
              <w:rPr>
                <w:bCs/>
                <w:iCs/>
              </w:rPr>
            </w:pPr>
          </w:p>
        </w:tc>
      </w:tr>
      <w:tr w:rsidR="006E4E11" w:rsidRPr="006271FD">
        <w:tblPrEx>
          <w:tblCellMar>
            <w:top w:w="0" w:type="dxa"/>
            <w:bottom w:w="0" w:type="dxa"/>
          </w:tblCellMar>
        </w:tblPrEx>
        <w:trPr>
          <w:trHeight w:val="284"/>
        </w:trPr>
        <w:tc>
          <w:tcPr>
            <w:tcW w:w="4911" w:type="dxa"/>
          </w:tcPr>
          <w:p w:rsidR="006E4E11" w:rsidRPr="006271FD" w:rsidRDefault="006E4E11">
            <w:pPr>
              <w:pStyle w:val="Avsndare"/>
              <w:framePr w:h="2483" w:wrap="notBeside" w:x="1504"/>
              <w:rPr>
                <w:bCs/>
                <w:iCs/>
              </w:rPr>
            </w:pPr>
          </w:p>
        </w:tc>
      </w:tr>
      <w:tr w:rsidR="006E4E11" w:rsidRPr="006271FD">
        <w:tblPrEx>
          <w:tblCellMar>
            <w:top w:w="0" w:type="dxa"/>
            <w:bottom w:w="0" w:type="dxa"/>
          </w:tblCellMar>
        </w:tblPrEx>
        <w:trPr>
          <w:trHeight w:val="284"/>
        </w:trPr>
        <w:tc>
          <w:tcPr>
            <w:tcW w:w="4911" w:type="dxa"/>
          </w:tcPr>
          <w:p w:rsidR="006E4E11" w:rsidRPr="006271FD" w:rsidRDefault="006E4E11">
            <w:pPr>
              <w:pStyle w:val="Avsndare"/>
              <w:framePr w:h="2483" w:wrap="notBeside" w:x="1504"/>
              <w:rPr>
                <w:bCs/>
                <w:iCs/>
              </w:rPr>
            </w:pPr>
          </w:p>
        </w:tc>
      </w:tr>
      <w:tr w:rsidR="006E4E11" w:rsidRPr="006271FD">
        <w:tblPrEx>
          <w:tblCellMar>
            <w:top w:w="0" w:type="dxa"/>
            <w:bottom w:w="0" w:type="dxa"/>
          </w:tblCellMar>
        </w:tblPrEx>
        <w:trPr>
          <w:trHeight w:val="284"/>
        </w:trPr>
        <w:tc>
          <w:tcPr>
            <w:tcW w:w="4911" w:type="dxa"/>
          </w:tcPr>
          <w:p w:rsidR="006E4E11" w:rsidRPr="006271FD" w:rsidRDefault="006E4E11">
            <w:pPr>
              <w:pStyle w:val="Avsndare"/>
              <w:framePr w:h="2483" w:wrap="notBeside" w:x="1504"/>
              <w:rPr>
                <w:bCs/>
                <w:iCs/>
              </w:rPr>
            </w:pPr>
          </w:p>
        </w:tc>
      </w:tr>
    </w:tbl>
    <w:p w:rsidR="006E4E11" w:rsidRPr="006271FD" w:rsidRDefault="006E4E11">
      <w:pPr>
        <w:framePr w:w="4400" w:h="2523" w:wrap="notBeside" w:vAnchor="page" w:hAnchor="page" w:x="6453" w:y="2445"/>
        <w:ind w:left="142"/>
        <w:rPr>
          <w:b/>
        </w:rPr>
      </w:pPr>
    </w:p>
    <w:p w:rsidR="000257D4" w:rsidRPr="006271FD" w:rsidRDefault="000257D4">
      <w:pPr>
        <w:pStyle w:val="RKrubrik"/>
        <w:pBdr>
          <w:bottom w:val="single" w:sz="6" w:space="1" w:color="auto"/>
        </w:pBdr>
      </w:pPr>
      <w:bookmarkStart w:id="0" w:name="bRubrik"/>
      <w:bookmarkEnd w:id="0"/>
      <w:r w:rsidRPr="006271FD">
        <w:t>Rådets möte i Allmänna rådet den 16 juni 2008</w:t>
      </w:r>
    </w:p>
    <w:p w:rsidR="000257D4" w:rsidRPr="006271FD" w:rsidRDefault="000257D4">
      <w:pPr>
        <w:pStyle w:val="RKrubrik"/>
      </w:pPr>
      <w:r w:rsidRPr="006271FD">
        <w:t>Kommenterad dagordning</w:t>
      </w:r>
    </w:p>
    <w:p w:rsidR="000257D4" w:rsidRPr="006271FD" w:rsidRDefault="000257D4">
      <w:pPr>
        <w:pStyle w:val="RKnormal"/>
      </w:pPr>
    </w:p>
    <w:p w:rsidR="000257D4" w:rsidRPr="006271FD" w:rsidRDefault="000257D4">
      <w:pPr>
        <w:pStyle w:val="RKrubrik"/>
      </w:pPr>
      <w:r w:rsidRPr="006271FD">
        <w:t>1.</w:t>
      </w:r>
      <w:r w:rsidRPr="006271FD">
        <w:tab/>
        <w:t>Godkännande av dagordningen</w:t>
      </w:r>
    </w:p>
    <w:p w:rsidR="000257D4" w:rsidRPr="006271FD" w:rsidRDefault="000257D4">
      <w:pPr>
        <w:pStyle w:val="RKnormal"/>
      </w:pPr>
    </w:p>
    <w:p w:rsidR="000257D4" w:rsidRPr="006271FD" w:rsidRDefault="000257D4" w:rsidP="000257D4">
      <w:pPr>
        <w:pStyle w:val="RKrubrik"/>
      </w:pPr>
      <w:r w:rsidRPr="006271FD">
        <w:t>2.</w:t>
      </w:r>
      <w:r w:rsidRPr="006271FD">
        <w:tab/>
        <w:t>Godkännande av A-punktslistan</w:t>
      </w:r>
    </w:p>
    <w:p w:rsidR="000257D4" w:rsidRPr="006271FD" w:rsidRDefault="000257D4">
      <w:pPr>
        <w:pStyle w:val="RKnormal"/>
      </w:pPr>
    </w:p>
    <w:p w:rsidR="000257D4" w:rsidRPr="006271FD" w:rsidRDefault="000257D4" w:rsidP="000257D4">
      <w:pPr>
        <w:tabs>
          <w:tab w:val="left" w:pos="1134"/>
        </w:tabs>
        <w:rPr>
          <w:rFonts w:ascii="Garamond" w:hAnsi="Garamond"/>
          <w:b/>
          <w:szCs w:val="24"/>
        </w:rPr>
      </w:pPr>
      <w:r w:rsidRPr="006271FD">
        <w:rPr>
          <w:rStyle w:val="RKrubrikChar"/>
        </w:rPr>
        <w:t>3</w:t>
      </w:r>
      <w:r w:rsidRPr="006271FD">
        <w:t>.</w:t>
      </w:r>
      <w:r w:rsidRPr="006271FD">
        <w:tab/>
      </w:r>
      <w:r w:rsidRPr="006271FD">
        <w:rPr>
          <w:rStyle w:val="RKrubrikChar"/>
        </w:rPr>
        <w:t xml:space="preserve">Resolutioner, synpunkter och beslut antagna av </w:t>
      </w:r>
      <w:r w:rsidRPr="006271FD">
        <w:rPr>
          <w:rStyle w:val="RKrubrikChar"/>
        </w:rPr>
        <w:tab/>
      </w:r>
      <w:r w:rsidRPr="006271FD">
        <w:rPr>
          <w:rStyle w:val="RKrubrikChar"/>
        </w:rPr>
        <w:tab/>
      </w:r>
      <w:r w:rsidRPr="006271FD">
        <w:rPr>
          <w:rStyle w:val="RKrubrikChar"/>
        </w:rPr>
        <w:tab/>
        <w:t>Europaparlamentet.</w:t>
      </w:r>
      <w:r w:rsidRPr="006271FD">
        <w:rPr>
          <w:rFonts w:ascii="Garamond" w:hAnsi="Garamond"/>
          <w:b/>
          <w:szCs w:val="24"/>
        </w:rPr>
        <w:t xml:space="preserve">  </w:t>
      </w:r>
    </w:p>
    <w:p w:rsidR="000257D4" w:rsidRPr="006271FD" w:rsidRDefault="000257D4" w:rsidP="000257D4">
      <w:pPr>
        <w:rPr>
          <w:rFonts w:ascii="Garamond" w:hAnsi="Garamond" w:cs="Garamond"/>
          <w:color w:val="000000"/>
          <w:szCs w:val="24"/>
          <w:lang w:eastAsia="sv-SE"/>
        </w:rPr>
      </w:pPr>
    </w:p>
    <w:p w:rsidR="000257D4" w:rsidRPr="006271FD" w:rsidRDefault="000257D4" w:rsidP="000257D4">
      <w:pPr>
        <w:rPr>
          <w:rFonts w:ascii="Garamond" w:hAnsi="Garamond" w:cs="Garamond"/>
          <w:color w:val="000000"/>
          <w:szCs w:val="24"/>
          <w:lang w:eastAsia="sv-SE"/>
        </w:rPr>
      </w:pPr>
      <w:r w:rsidRPr="006271FD">
        <w:rPr>
          <w:lang w:eastAsia="sv-SE"/>
        </w:rPr>
        <w:t>Dagordningspunkten är en standardpunkt för anmälan av beslut m.m. från Europaparlamentets sessioner. Punkten avser sammanträdes</w:t>
      </w:r>
      <w:r w:rsidR="00BD765A" w:rsidRPr="006271FD">
        <w:rPr>
          <w:lang w:eastAsia="sv-SE"/>
        </w:rPr>
        <w:t>-</w:t>
      </w:r>
      <w:r w:rsidRPr="006271FD">
        <w:rPr>
          <w:lang w:eastAsia="sv-SE"/>
        </w:rPr>
        <w:t xml:space="preserve">perioderna 11-13 mars och 19-22 maj och 4-5 juni 2008. </w:t>
      </w:r>
      <w:r w:rsidRPr="006271FD">
        <w:t>PM bifogas.</w:t>
      </w:r>
      <w:r w:rsidR="000C515B" w:rsidRPr="006271FD">
        <w:t xml:space="preserve"> Ingen diskussion förutses vid rådsmötet.</w:t>
      </w:r>
    </w:p>
    <w:p w:rsidR="000257D4" w:rsidRPr="006271FD" w:rsidRDefault="000257D4">
      <w:pPr>
        <w:pStyle w:val="RKnormal"/>
      </w:pPr>
    </w:p>
    <w:p w:rsidR="000257D4" w:rsidRPr="006271FD" w:rsidRDefault="000257D4">
      <w:pPr>
        <w:pStyle w:val="RKrubrik"/>
      </w:pPr>
      <w:r w:rsidRPr="006271FD">
        <w:t>4.</w:t>
      </w:r>
      <w:r w:rsidRPr="006271FD">
        <w:tab/>
        <w:t>Förberedelser för Europeiska rådets möte den 19-20 juni</w:t>
      </w:r>
    </w:p>
    <w:p w:rsidR="00C932C7" w:rsidRPr="006271FD" w:rsidRDefault="00C932C7" w:rsidP="00C932C7">
      <w:pPr>
        <w:ind w:left="1134"/>
        <w:rPr>
          <w:rFonts w:ascii="Garamond" w:hAnsi="Garamond"/>
          <w:bCs/>
          <w:i/>
        </w:rPr>
      </w:pPr>
      <w:r w:rsidRPr="006271FD">
        <w:rPr>
          <w:rFonts w:ascii="Garamond" w:hAnsi="Garamond"/>
          <w:bCs/>
          <w:i/>
        </w:rPr>
        <w:t>Beslutspunkt</w:t>
      </w:r>
    </w:p>
    <w:p w:rsidR="00C932C7" w:rsidRPr="006271FD" w:rsidRDefault="00C932C7" w:rsidP="00C932C7">
      <w:pPr>
        <w:spacing w:line="240" w:lineRule="atLeast"/>
        <w:ind w:left="1440"/>
        <w:rPr>
          <w:i/>
          <w:iCs/>
          <w:color w:val="000000"/>
          <w:szCs w:val="24"/>
        </w:rPr>
      </w:pPr>
    </w:p>
    <w:p w:rsidR="00C932C7" w:rsidRPr="006271FD" w:rsidRDefault="00C932C7" w:rsidP="00C932C7">
      <w:pPr>
        <w:overflowPunct/>
        <w:spacing w:line="240" w:lineRule="atLeast"/>
        <w:textAlignment w:val="auto"/>
        <w:rPr>
          <w:color w:val="000000"/>
          <w:szCs w:val="24"/>
          <w:lang w:eastAsia="sv-SE"/>
        </w:rPr>
      </w:pPr>
      <w:r w:rsidRPr="006271FD">
        <w:rPr>
          <w:color w:val="000000"/>
          <w:szCs w:val="24"/>
          <w:lang w:eastAsia="sv-SE"/>
        </w:rPr>
        <w:t>Allmänna rådet kommer att fastställa preliminära slutsatser inför Europeiska rådets möte den 19-20 juni.</w:t>
      </w:r>
    </w:p>
    <w:p w:rsidR="00C932C7" w:rsidRPr="006271FD" w:rsidRDefault="00C932C7" w:rsidP="00C932C7">
      <w:pPr>
        <w:ind w:left="1440"/>
        <w:rPr>
          <w:color w:val="000000"/>
          <w:szCs w:val="24"/>
          <w:lang w:eastAsia="sv-SE"/>
        </w:rPr>
      </w:pPr>
    </w:p>
    <w:p w:rsidR="00C932C7" w:rsidRPr="006271FD" w:rsidRDefault="00C932C7" w:rsidP="00C932C7">
      <w:pPr>
        <w:rPr>
          <w:color w:val="000000"/>
          <w:szCs w:val="24"/>
          <w:lang w:eastAsia="sv-SE"/>
        </w:rPr>
      </w:pPr>
      <w:r w:rsidRPr="006271FD">
        <w:rPr>
          <w:color w:val="000000"/>
          <w:szCs w:val="24"/>
          <w:lang w:eastAsia="sv-SE"/>
        </w:rPr>
        <w:t>Slutsatsutkastet innehåller sex rubriker:</w:t>
      </w:r>
    </w:p>
    <w:p w:rsidR="00C932C7" w:rsidRPr="006271FD" w:rsidRDefault="00C932C7" w:rsidP="00C932C7">
      <w:pPr>
        <w:ind w:left="1440"/>
        <w:rPr>
          <w:color w:val="000000"/>
          <w:szCs w:val="24"/>
          <w:lang w:eastAsia="sv-SE"/>
        </w:rPr>
      </w:pPr>
    </w:p>
    <w:p w:rsidR="00C932C7" w:rsidRPr="006271FD" w:rsidRDefault="00C932C7" w:rsidP="00C932C7">
      <w:pPr>
        <w:rPr>
          <w:color w:val="000000"/>
          <w:szCs w:val="24"/>
          <w:lang w:eastAsia="sv-SE"/>
        </w:rPr>
      </w:pPr>
      <w:r w:rsidRPr="006271FD">
        <w:rPr>
          <w:color w:val="000000"/>
          <w:szCs w:val="24"/>
          <w:lang w:eastAsia="sv-SE"/>
        </w:rPr>
        <w:t>1) Lissabonfördraget</w:t>
      </w:r>
    </w:p>
    <w:p w:rsidR="00C932C7" w:rsidRPr="006271FD" w:rsidRDefault="00C932C7" w:rsidP="00C932C7">
      <w:pPr>
        <w:rPr>
          <w:color w:val="000000"/>
          <w:szCs w:val="24"/>
          <w:lang w:eastAsia="sv-SE"/>
        </w:rPr>
      </w:pPr>
      <w:r w:rsidRPr="006271FD">
        <w:rPr>
          <w:color w:val="000000"/>
          <w:szCs w:val="24"/>
          <w:lang w:eastAsia="sv-SE"/>
        </w:rPr>
        <w:t>2) Frihet, säkerhet och rättvisa</w:t>
      </w:r>
    </w:p>
    <w:p w:rsidR="00C932C7" w:rsidRPr="006271FD" w:rsidRDefault="00C932C7" w:rsidP="00C932C7">
      <w:pPr>
        <w:rPr>
          <w:szCs w:val="24"/>
        </w:rPr>
      </w:pPr>
      <w:r w:rsidRPr="006271FD">
        <w:rPr>
          <w:color w:val="000000"/>
          <w:szCs w:val="24"/>
          <w:lang w:eastAsia="sv-SE"/>
        </w:rPr>
        <w:t xml:space="preserve">3) Högre livsmedels- och oljepriser: policyimplikationer </w:t>
      </w:r>
    </w:p>
    <w:p w:rsidR="00C932C7" w:rsidRPr="006271FD" w:rsidRDefault="00C932C7" w:rsidP="00C932C7">
      <w:pPr>
        <w:rPr>
          <w:szCs w:val="24"/>
        </w:rPr>
      </w:pPr>
      <w:r w:rsidRPr="006271FD">
        <w:rPr>
          <w:szCs w:val="24"/>
        </w:rPr>
        <w:lastRenderedPageBreak/>
        <w:t>4) Ekonomiska, sociala och miljöfrågor</w:t>
      </w:r>
    </w:p>
    <w:p w:rsidR="00C932C7" w:rsidRPr="006271FD" w:rsidRDefault="00C932C7" w:rsidP="00C932C7">
      <w:pPr>
        <w:rPr>
          <w:szCs w:val="24"/>
        </w:rPr>
      </w:pPr>
      <w:r w:rsidRPr="006271FD">
        <w:rPr>
          <w:szCs w:val="24"/>
        </w:rPr>
        <w:t>5) Västra Balkan</w:t>
      </w:r>
    </w:p>
    <w:p w:rsidR="00C932C7" w:rsidRPr="006271FD" w:rsidRDefault="00C932C7" w:rsidP="00C932C7">
      <w:pPr>
        <w:rPr>
          <w:szCs w:val="24"/>
        </w:rPr>
      </w:pPr>
      <w:r w:rsidRPr="006271FD">
        <w:rPr>
          <w:szCs w:val="24"/>
        </w:rPr>
        <w:t>6) Yttre förbindelser</w:t>
      </w:r>
    </w:p>
    <w:p w:rsidR="00C932C7" w:rsidRPr="006271FD" w:rsidRDefault="00C932C7" w:rsidP="00C932C7">
      <w:pPr>
        <w:ind w:left="1440"/>
        <w:rPr>
          <w:b/>
          <w:szCs w:val="24"/>
        </w:rPr>
      </w:pPr>
    </w:p>
    <w:p w:rsidR="00C932C7" w:rsidRPr="006271FD" w:rsidRDefault="00C932C7" w:rsidP="00C932C7">
      <w:pPr>
        <w:rPr>
          <w:b/>
          <w:szCs w:val="24"/>
        </w:rPr>
      </w:pPr>
      <w:r w:rsidRPr="006271FD">
        <w:rPr>
          <w:b/>
          <w:szCs w:val="24"/>
        </w:rPr>
        <w:t>1) Lissabonfördraget</w:t>
      </w:r>
    </w:p>
    <w:p w:rsidR="00C932C7" w:rsidRPr="006271FD" w:rsidRDefault="00C932C7" w:rsidP="00C932C7">
      <w:pPr>
        <w:rPr>
          <w:szCs w:val="24"/>
        </w:rPr>
      </w:pPr>
      <w:r w:rsidRPr="006271FD">
        <w:rPr>
          <w:szCs w:val="24"/>
        </w:rPr>
        <w:t xml:space="preserve">Ingen slutsatstext har ännu presenterats. </w:t>
      </w:r>
    </w:p>
    <w:p w:rsidR="00C932C7" w:rsidRPr="006271FD" w:rsidRDefault="00C932C7" w:rsidP="00C932C7">
      <w:pPr>
        <w:ind w:left="1440"/>
        <w:rPr>
          <w:b/>
          <w:szCs w:val="24"/>
        </w:rPr>
      </w:pPr>
    </w:p>
    <w:p w:rsidR="00C932C7" w:rsidRPr="006271FD" w:rsidRDefault="00C932C7" w:rsidP="00C932C7">
      <w:pPr>
        <w:rPr>
          <w:b/>
          <w:szCs w:val="24"/>
        </w:rPr>
      </w:pPr>
      <w:r w:rsidRPr="006271FD">
        <w:rPr>
          <w:b/>
          <w:szCs w:val="24"/>
        </w:rPr>
        <w:t>2) Frihet, säkerhet och rättvisa</w:t>
      </w:r>
    </w:p>
    <w:p w:rsidR="00C932C7" w:rsidRPr="006271FD" w:rsidRDefault="00C932C7" w:rsidP="00C932C7">
      <w:pPr>
        <w:rPr>
          <w:szCs w:val="24"/>
        </w:rPr>
      </w:pPr>
      <w:r w:rsidRPr="006271FD">
        <w:rPr>
          <w:szCs w:val="24"/>
        </w:rPr>
        <w:t xml:space="preserve">Europeiska rådet betonar vikten av förnyade politiska ansträngningar för att fortsätta att utveckla den gemensamma europeiska migrationspolitiken och betonar kopplingen mellan migration och sysselsättning.  Europeiska rådet understryker vikten av samarbete med tredje land och att utveckla EU:s globala ansats för migration. Pilotprojekten ”Mobility partnership” mellan EU och  Moldavien och Cap Verde välkomnas liksom att EU ska inledadialog med Senegal och Georgien för att upprätta pilot-partnerskap för rörlighet även med dessa länder. </w:t>
      </w:r>
    </w:p>
    <w:p w:rsidR="00C932C7" w:rsidRPr="006271FD" w:rsidRDefault="00C932C7" w:rsidP="00C932C7">
      <w:pPr>
        <w:rPr>
          <w:szCs w:val="24"/>
        </w:rPr>
      </w:pPr>
    </w:p>
    <w:p w:rsidR="00C932C7" w:rsidRPr="006271FD" w:rsidRDefault="00C932C7" w:rsidP="00C932C7">
      <w:pPr>
        <w:rPr>
          <w:szCs w:val="24"/>
        </w:rPr>
      </w:pPr>
      <w:r w:rsidRPr="006271FD">
        <w:rPr>
          <w:szCs w:val="24"/>
        </w:rPr>
        <w:t>Europeiska rådet föreslås vidare uppmana kommissionen att så snart som möjligt lägga förslag för att ytterligare motverka radikalisering och rekrytering för terrorism. Eurojust och Europol behöver få starkare roller i kampen mot den gränsöverskridande organiserade brottsligheten, Europeiska rådet föreslås därför uppmana rådet att så snart som möjligt anta utkastet till rådsbeslut om inrättandet av Eurojust.</w:t>
      </w:r>
    </w:p>
    <w:p w:rsidR="00C932C7" w:rsidRPr="006271FD" w:rsidRDefault="00C932C7" w:rsidP="00C932C7">
      <w:pPr>
        <w:ind w:left="1440"/>
        <w:rPr>
          <w:szCs w:val="24"/>
        </w:rPr>
      </w:pPr>
    </w:p>
    <w:p w:rsidR="00C932C7" w:rsidRPr="006271FD" w:rsidRDefault="00C932C7" w:rsidP="00C932C7">
      <w:pPr>
        <w:rPr>
          <w:b/>
          <w:szCs w:val="24"/>
        </w:rPr>
      </w:pPr>
      <w:r w:rsidRPr="006271FD">
        <w:rPr>
          <w:b/>
          <w:szCs w:val="24"/>
        </w:rPr>
        <w:t>3) Högre livsmedels- och oljepriser: Policyimplikationer</w:t>
      </w:r>
    </w:p>
    <w:p w:rsidR="00C932C7" w:rsidRPr="006271FD" w:rsidRDefault="00C932C7" w:rsidP="00C932C7">
      <w:pPr>
        <w:rPr>
          <w:szCs w:val="24"/>
        </w:rPr>
      </w:pPr>
      <w:r w:rsidRPr="006271FD">
        <w:rPr>
          <w:szCs w:val="24"/>
        </w:rPr>
        <w:t>De ökade livsmedelspriserna har många orsaker och drabbar framför allt de utvecklingsländer som är nettoimportörer av livsmedel. Europeiska rådet föreslås välkomna kommissionens meddelande om de ökade livsmedelspriserna. Europeiska rådet föreslås även komma överens om ett antal kort- och långsiktiga åtgärder, bl.a. genom att liberalisera handeln med livsmedelsprodukter och ge utvecklingsländerna ett generöst tillträde till EU:s jordbruksmarknad; att prismekanismen får verka fullt ut och att den så kallade Manchesteröverrenskommelsen följs; att kompensatoriska åtgärder används med försiktighet; genom ”aid for trade”; genom fortsatt gradvis förändring av den gemensamma jordbrukspolitiken; samt genom att tillse hållbar utveckling av andra generationens biodrivmedel och genom att utveckla jordbruksproduktionens energi- och produktionseffektivitet. Eftersom de stigande livsmedelspriserna är ett globalt fenomen föreslås Europeiska rådet vidare betona vikten av internationell samordning och dialog.</w:t>
      </w:r>
    </w:p>
    <w:p w:rsidR="00C932C7" w:rsidRPr="006271FD" w:rsidRDefault="00C932C7" w:rsidP="00C932C7">
      <w:pPr>
        <w:ind w:left="1440"/>
        <w:rPr>
          <w:szCs w:val="24"/>
        </w:rPr>
      </w:pPr>
    </w:p>
    <w:p w:rsidR="00C932C7" w:rsidRPr="006271FD" w:rsidRDefault="00C932C7" w:rsidP="00C932C7">
      <w:pPr>
        <w:ind w:left="1440"/>
        <w:rPr>
          <w:b/>
          <w:szCs w:val="24"/>
        </w:rPr>
      </w:pPr>
    </w:p>
    <w:p w:rsidR="00C932C7" w:rsidRPr="006271FD" w:rsidRDefault="00C932C7" w:rsidP="00C932C7">
      <w:pPr>
        <w:rPr>
          <w:b/>
          <w:szCs w:val="24"/>
        </w:rPr>
      </w:pPr>
    </w:p>
    <w:p w:rsidR="00C932C7" w:rsidRPr="006271FD" w:rsidRDefault="00C932C7" w:rsidP="00C932C7">
      <w:pPr>
        <w:rPr>
          <w:b/>
          <w:szCs w:val="24"/>
        </w:rPr>
      </w:pPr>
    </w:p>
    <w:p w:rsidR="00C932C7" w:rsidRPr="006271FD" w:rsidRDefault="00C932C7" w:rsidP="00C932C7">
      <w:pPr>
        <w:rPr>
          <w:b/>
          <w:szCs w:val="24"/>
        </w:rPr>
      </w:pPr>
    </w:p>
    <w:p w:rsidR="00C932C7" w:rsidRPr="006271FD" w:rsidRDefault="00C932C7" w:rsidP="00C932C7">
      <w:pPr>
        <w:rPr>
          <w:b/>
          <w:szCs w:val="24"/>
        </w:rPr>
      </w:pPr>
      <w:r w:rsidRPr="006271FD">
        <w:rPr>
          <w:b/>
          <w:szCs w:val="24"/>
        </w:rPr>
        <w:t>4) Sociala, ekonomiska och miljöfrågor</w:t>
      </w:r>
    </w:p>
    <w:p w:rsidR="00C932C7" w:rsidRPr="006271FD" w:rsidRDefault="00C932C7" w:rsidP="00C932C7">
      <w:pPr>
        <w:rPr>
          <w:szCs w:val="24"/>
        </w:rPr>
      </w:pPr>
      <w:r w:rsidRPr="006271FD">
        <w:rPr>
          <w:szCs w:val="24"/>
        </w:rPr>
        <w:t>Europeiska rådet föreslås välkomna kommissionens förslag att Slovakien kan anta euron den första januari 2009. Under denna rubrik är ytterligare texter att vänta, främst i fråga om energi/klimat samt den inre marknaden för energi.</w:t>
      </w:r>
    </w:p>
    <w:p w:rsidR="00C932C7" w:rsidRPr="006271FD" w:rsidRDefault="00C932C7" w:rsidP="00C932C7">
      <w:pPr>
        <w:ind w:left="1440"/>
        <w:rPr>
          <w:szCs w:val="24"/>
        </w:rPr>
      </w:pPr>
    </w:p>
    <w:p w:rsidR="00C932C7" w:rsidRPr="006271FD" w:rsidRDefault="00C932C7" w:rsidP="00C932C7">
      <w:pPr>
        <w:rPr>
          <w:b/>
          <w:szCs w:val="24"/>
        </w:rPr>
      </w:pPr>
      <w:r w:rsidRPr="006271FD">
        <w:rPr>
          <w:b/>
          <w:szCs w:val="24"/>
        </w:rPr>
        <w:t xml:space="preserve">5) Västra Balkan </w:t>
      </w:r>
    </w:p>
    <w:p w:rsidR="00C932C7" w:rsidRPr="006271FD" w:rsidRDefault="00C932C7" w:rsidP="00C932C7">
      <w:pPr>
        <w:rPr>
          <w:szCs w:val="24"/>
        </w:rPr>
      </w:pPr>
      <w:r w:rsidRPr="006271FD">
        <w:rPr>
          <w:szCs w:val="24"/>
        </w:rPr>
        <w:t>Europeiska rådet bekräftar i starkare ordalag än tidigare västra Balkans EU-perspektiv. Målsättningen är att hela regionen ska flyttas upp till kandidatlandstatus så snart de har mött kraven som ställts av EU. Slutsatserna behandlar också de särskilda åtgärder som föreslagits, t.ex. inom viseringsområdet, för att underbygga ländernas medlemskapsperspektiv. En stor fråga vid Europeiska rådet förväntas bli den eventuella uppgörelsen  mellan FN och EU om hur FN ska kunna lämna över huvudansvaret för den internationella närvaron i Kosovo. Denna fråga är nu föremål för omfattande diskussioner mellan EU och Belgrad, FN och EU, FN och Pristina samt bland de permanenta medlemmarna i FN:s säkerhetsråd.</w:t>
      </w:r>
    </w:p>
    <w:p w:rsidR="00C932C7" w:rsidRPr="006271FD" w:rsidRDefault="00C932C7" w:rsidP="00C932C7">
      <w:pPr>
        <w:ind w:left="1440"/>
        <w:rPr>
          <w:b/>
          <w:szCs w:val="24"/>
        </w:rPr>
      </w:pPr>
    </w:p>
    <w:p w:rsidR="00C932C7" w:rsidRPr="006271FD" w:rsidRDefault="00C932C7" w:rsidP="00C932C7">
      <w:pPr>
        <w:rPr>
          <w:b/>
          <w:szCs w:val="24"/>
        </w:rPr>
      </w:pPr>
      <w:r w:rsidRPr="006271FD">
        <w:rPr>
          <w:b/>
          <w:szCs w:val="24"/>
        </w:rPr>
        <w:t>6) Yttre förbindelser</w:t>
      </w:r>
    </w:p>
    <w:p w:rsidR="00C932C7" w:rsidRPr="006271FD" w:rsidRDefault="00C932C7" w:rsidP="00C932C7">
      <w:pPr>
        <w:overflowPunct/>
        <w:textAlignment w:val="auto"/>
        <w:rPr>
          <w:rFonts w:cs="OrigGarmnd BT"/>
          <w:color w:val="000000"/>
          <w:szCs w:val="24"/>
          <w:lang w:eastAsia="sv-SE"/>
        </w:rPr>
      </w:pPr>
      <w:r w:rsidRPr="006271FD">
        <w:rPr>
          <w:rFonts w:cs="OrigGarmnd BT"/>
          <w:color w:val="000000"/>
          <w:szCs w:val="24"/>
          <w:lang w:eastAsia="sv-SE"/>
        </w:rPr>
        <w:t>Slutsatserna under rubriken yttre förbindelser fokuserar i dagsläget på millenniemålen, inklusive att återbekräfta volymmålen för bistånd (att EU ska nå 0.7% till 2015). Även texter om den europeiska grannskapspolitiken kommer att infogas. Vad gäller millenniemålen föreslås Europeiska rådet slå fast att 2008 ska utgöra vändpunkten för att ytterligare öka engagemanget för att minska fattigdomen i världen. EU kommer fortsatt spela en nyckelroll som världens största biståndsgivare. Europeiska rådet föreslås bekräfta att EU ska fortsätta arbeta för ökad biståndseffektivitet, bland annat genom större ägarskap hos mottagarländerna, och för ökad samstämmighet för utveckling inom politikområden som påverkar utvecklingsländerna.</w:t>
      </w:r>
    </w:p>
    <w:p w:rsidR="00C932C7" w:rsidRPr="006271FD" w:rsidRDefault="00C932C7" w:rsidP="00C932C7">
      <w:pPr>
        <w:ind w:left="1440"/>
        <w:rPr>
          <w:b/>
          <w:szCs w:val="24"/>
        </w:rPr>
      </w:pPr>
    </w:p>
    <w:p w:rsidR="00C932C7" w:rsidRPr="006271FD" w:rsidRDefault="00C932C7" w:rsidP="00C932C7">
      <w:pPr>
        <w:rPr>
          <w:b/>
          <w:szCs w:val="24"/>
        </w:rPr>
      </w:pPr>
      <w:r w:rsidRPr="006271FD">
        <w:rPr>
          <w:b/>
          <w:szCs w:val="24"/>
        </w:rPr>
        <w:t>Regeringens ståndpunkt</w:t>
      </w:r>
    </w:p>
    <w:p w:rsidR="00C932C7" w:rsidRPr="006271FD" w:rsidRDefault="00C932C7" w:rsidP="00C932C7">
      <w:pPr>
        <w:rPr>
          <w:szCs w:val="24"/>
        </w:rPr>
      </w:pPr>
      <w:r w:rsidRPr="006271FD">
        <w:rPr>
          <w:szCs w:val="24"/>
        </w:rPr>
        <w:t>Regeringen välkomnar fokus på behovet att fortsätta att utveckla den gemensamma europeiska migrationspolitiken och att kopplingarna mellan migration och sysselsättning görs på ett tydligt sätt. Regeringen stödjer den globala ansatsen för migration och att migrationssamarbetet intensifieras med tredje land. I detta sammanhang är det positivt att pilot-partnerskapet för rörlighet med Moldavien lyfts fram (där Sverige deltar aktivt) och att nya samtal ska inledas med Georgien och Senegal.</w:t>
      </w:r>
    </w:p>
    <w:p w:rsidR="00C932C7" w:rsidRPr="006271FD" w:rsidRDefault="00C932C7" w:rsidP="00C932C7">
      <w:pPr>
        <w:rPr>
          <w:szCs w:val="24"/>
        </w:rPr>
      </w:pPr>
    </w:p>
    <w:p w:rsidR="00C932C7" w:rsidRPr="006271FD" w:rsidRDefault="00C932C7" w:rsidP="00C932C7">
      <w:pPr>
        <w:rPr>
          <w:szCs w:val="24"/>
        </w:rPr>
      </w:pPr>
      <w:r w:rsidRPr="006271FD">
        <w:rPr>
          <w:szCs w:val="24"/>
        </w:rPr>
        <w:t>Regeringen välkomnar även att frågan om stigande livsmedelspriser behandlas. Här finns en stark handelspolitisk komponent: priserna har delvis ökat som ett resultat av en illa fungerande världsmarknad för jordbruksvaror. Nya bekymmersamma exportrestriktioner har införts. Det är därför viktigt med en tydlig röst för frihandel i denna situation. För att förbättra framtidsutsikterna för jordbrukssektorn i utvecklingsländer bör de marknadsstörande elementen i form av tullar och jordbrukssubventioner sänkas. I detta avseende kan således ett snabbt och lyckat avslut på Doharundan spela en viktig roll. I fråga om livsmedelspriserna är det dessutom viktigt att understryka betydelsen av att prismekanismen får verka fullt ut, samt att man håller sig till den så kallade Manchesteröverrenskommelsen. Dessutom bör det framhävas att kompensatoriska åtgärder i EU-länderna används med försiktighet.</w:t>
      </w:r>
    </w:p>
    <w:p w:rsidR="00C932C7" w:rsidRPr="006271FD" w:rsidRDefault="00C932C7" w:rsidP="00C932C7">
      <w:pPr>
        <w:ind w:left="1440"/>
        <w:rPr>
          <w:szCs w:val="24"/>
        </w:rPr>
      </w:pPr>
    </w:p>
    <w:p w:rsidR="00C932C7" w:rsidRPr="006271FD" w:rsidRDefault="00C932C7" w:rsidP="00C932C7">
      <w:pPr>
        <w:overflowPunct/>
        <w:textAlignment w:val="auto"/>
        <w:rPr>
          <w:rFonts w:cs="OrigGarmnd BT"/>
          <w:color w:val="0000FF"/>
          <w:szCs w:val="24"/>
          <w:lang w:eastAsia="sv-SE"/>
        </w:rPr>
      </w:pPr>
      <w:r w:rsidRPr="006271FD">
        <w:rPr>
          <w:szCs w:val="24"/>
        </w:rPr>
        <w:t xml:space="preserve">Vad gäller Västra Balkan stödjer regeringen starkt de starkare skrivningar som föreslagits om västra Balkans EU-perspektiv. </w:t>
      </w:r>
    </w:p>
    <w:p w:rsidR="00C932C7" w:rsidRPr="006271FD" w:rsidRDefault="00C932C7" w:rsidP="00C932C7">
      <w:pPr>
        <w:rPr>
          <w:color w:val="FF0000"/>
          <w:szCs w:val="24"/>
        </w:rPr>
      </w:pPr>
    </w:p>
    <w:p w:rsidR="00C932C7" w:rsidRPr="006271FD" w:rsidRDefault="00C932C7" w:rsidP="00C932C7">
      <w:pPr>
        <w:overflowPunct/>
        <w:textAlignment w:val="auto"/>
        <w:rPr>
          <w:rFonts w:cs="OrigGarmnd BT"/>
          <w:color w:val="000000"/>
          <w:szCs w:val="24"/>
          <w:lang w:eastAsia="sv-SE"/>
        </w:rPr>
      </w:pPr>
      <w:r w:rsidRPr="006271FD">
        <w:rPr>
          <w:rFonts w:cs="OrigGarmnd BT"/>
          <w:color w:val="000000"/>
          <w:szCs w:val="24"/>
          <w:lang w:eastAsia="sv-SE"/>
        </w:rPr>
        <w:t>Det är även positivt att målen om biståndsvolymer och millenniemålen tas upp i slutsatsutkastet. Att uppnå dessa är en stor trovärdighetsfråga för hela givarsamfundet och för EU. Sverige välkomnar också att slutsatserna betonar effektivisering av biståndet genom ägarskap hos partnerländerna. Vad gäller den Agenda for Action som för närvarande förhandlas verkar Sverige för ett kort och koncist dokument som lyfter fram viktiga områden och som behåller fokus på att uppnående av Millenniemålen är ett delat ansvar mellan givare och mottagarländer.</w:t>
      </w:r>
    </w:p>
    <w:p w:rsidR="000257D4" w:rsidRPr="006271FD" w:rsidRDefault="000257D4" w:rsidP="000257D4">
      <w:pPr>
        <w:pStyle w:val="RKnormal"/>
      </w:pPr>
    </w:p>
    <w:p w:rsidR="000257D4" w:rsidRPr="006271FD" w:rsidRDefault="000C515B" w:rsidP="000C515B">
      <w:pPr>
        <w:pStyle w:val="RKrubrik"/>
      </w:pPr>
      <w:r w:rsidRPr="006271FD">
        <w:t>5.</w:t>
      </w:r>
      <w:r w:rsidRPr="006271FD">
        <w:tab/>
        <w:t xml:space="preserve">Rådets artonmånadersprogram för perioden juli 2008-december </w:t>
      </w:r>
      <w:r w:rsidRPr="006271FD">
        <w:tab/>
        <w:t>2009</w:t>
      </w:r>
    </w:p>
    <w:p w:rsidR="00C932C7" w:rsidRPr="006271FD" w:rsidRDefault="00C932C7" w:rsidP="00C932C7">
      <w:pPr>
        <w:ind w:left="1134"/>
        <w:rPr>
          <w:rFonts w:ascii="Garamond" w:hAnsi="Garamond"/>
          <w:bCs/>
          <w:i/>
        </w:rPr>
      </w:pPr>
      <w:r w:rsidRPr="006271FD">
        <w:rPr>
          <w:rFonts w:ascii="Garamond" w:hAnsi="Garamond"/>
          <w:bCs/>
          <w:i/>
        </w:rPr>
        <w:t>Beslutspunkt</w:t>
      </w:r>
    </w:p>
    <w:p w:rsidR="00C932C7" w:rsidRPr="006271FD" w:rsidRDefault="00C932C7" w:rsidP="00C932C7">
      <w:pPr>
        <w:pStyle w:val="RKnormal"/>
        <w:ind w:left="1134"/>
      </w:pPr>
      <w:r w:rsidRPr="006271FD">
        <w:tab/>
      </w:r>
    </w:p>
    <w:p w:rsidR="003D48F5" w:rsidRPr="006271FD" w:rsidRDefault="00BD765A" w:rsidP="000C515B">
      <w:pPr>
        <w:pStyle w:val="RKnormal"/>
      </w:pPr>
      <w:r w:rsidRPr="006271FD">
        <w:t>18-månadersprogrammet har</w:t>
      </w:r>
      <w:r w:rsidR="000C515B" w:rsidRPr="006271FD">
        <w:t xml:space="preserve"> tagits fram av trion Frankrike, Tjeckien och Sverige</w:t>
      </w:r>
      <w:r w:rsidRPr="006271FD">
        <w:t xml:space="preserve">, en konsultation om det strategiska ramverket har också ägt rum med den efterföljande trion som består av Spanien, Belgien och Ungern. </w:t>
      </w:r>
      <w:r w:rsidR="000C515B" w:rsidRPr="006271FD">
        <w:t xml:space="preserve"> </w:t>
      </w:r>
      <w:r w:rsidRPr="006271FD">
        <w:t>Vid rådsmötet ska programmet att presenteras av  EU-ministrarna i trioländerna. Därefter följer en öppen debatt</w:t>
      </w:r>
      <w:r w:rsidR="00C932C7" w:rsidRPr="006271FD">
        <w:t xml:space="preserve"> där övriga ministrar ges möjlighet att kommentera programmet.</w:t>
      </w:r>
    </w:p>
    <w:p w:rsidR="003D48F5" w:rsidRPr="006271FD" w:rsidRDefault="003D48F5" w:rsidP="000C515B">
      <w:pPr>
        <w:pStyle w:val="RKnormal"/>
      </w:pPr>
    </w:p>
    <w:p w:rsidR="003D48F5" w:rsidRPr="006271FD" w:rsidRDefault="003D48F5" w:rsidP="000C515B">
      <w:pPr>
        <w:pStyle w:val="RKnormal"/>
      </w:pPr>
    </w:p>
    <w:p w:rsidR="000257D4" w:rsidRPr="006271FD" w:rsidRDefault="000257D4">
      <w:pPr>
        <w:pStyle w:val="RKnormal"/>
      </w:pPr>
    </w:p>
    <w:p w:rsidR="006E4E11" w:rsidRPr="006271FD" w:rsidRDefault="006E4E11">
      <w:pPr>
        <w:pStyle w:val="RKrubrik"/>
        <w:spacing w:before="0" w:after="0"/>
      </w:pPr>
    </w:p>
    <w:p w:rsidR="006E4E11" w:rsidRPr="006271FD" w:rsidRDefault="006E4E11">
      <w:pPr>
        <w:pStyle w:val="RKnormal"/>
      </w:pPr>
    </w:p>
    <w:p w:rsidR="000257D4" w:rsidRPr="006271FD" w:rsidRDefault="000257D4">
      <w:pPr>
        <w:pStyle w:val="RKnormal"/>
      </w:pPr>
    </w:p>
    <w:sectPr w:rsidR="000257D4" w:rsidRPr="006271F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A86" w:rsidRPr="006271FD" w:rsidRDefault="00FC6A86">
      <w:r w:rsidRPr="006271FD">
        <w:separator/>
      </w:r>
    </w:p>
  </w:endnote>
  <w:endnote w:type="continuationSeparator" w:id="0">
    <w:p w:rsidR="00FC6A86" w:rsidRPr="006271FD" w:rsidRDefault="00FC6A86">
      <w:r w:rsidRPr="006271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A86" w:rsidRPr="006271FD" w:rsidRDefault="00FC6A86">
      <w:r w:rsidRPr="006271FD">
        <w:separator/>
      </w:r>
    </w:p>
  </w:footnote>
  <w:footnote w:type="continuationSeparator" w:id="0">
    <w:p w:rsidR="00FC6A86" w:rsidRPr="006271FD" w:rsidRDefault="00FC6A86">
      <w:r w:rsidRPr="006271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6271FD" w:rsidRDefault="00EC25F9">
    <w:pPr>
      <w:pStyle w:val="Sidhuvud"/>
      <w:framePr w:wrap="around" w:vAnchor="text" w:hAnchor="margin" w:xAlign="right" w:y="1"/>
      <w:rPr>
        <w:rStyle w:val="Sidnummer"/>
      </w:rPr>
    </w:pPr>
    <w:r w:rsidRPr="006271FD">
      <w:rPr>
        <w:rStyle w:val="Sidnummer"/>
      </w:rPr>
      <w:fldChar w:fldCharType="begin" w:fldLock="1"/>
    </w:r>
    <w:r w:rsidRPr="006271FD">
      <w:rPr>
        <w:rStyle w:val="Sidnummer"/>
      </w:rPr>
      <w:instrText xml:space="preserve">PAGE  </w:instrText>
    </w:r>
    <w:r w:rsidRPr="006271FD">
      <w:rPr>
        <w:rStyle w:val="Sidnummer"/>
      </w:rPr>
      <w:fldChar w:fldCharType="separate"/>
    </w:r>
    <w:r w:rsidR="00C932C7" w:rsidRPr="006271FD">
      <w:rPr>
        <w:rStyle w:val="Sidnummer"/>
      </w:rPr>
      <w:t>4</w:t>
    </w:r>
    <w:r w:rsidRPr="006271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6271FD">
      <w:tblPrEx>
        <w:tblCellMar>
          <w:top w:w="0" w:type="dxa"/>
          <w:bottom w:w="0" w:type="dxa"/>
        </w:tblCellMar>
      </w:tblPrEx>
      <w:trPr>
        <w:cantSplit/>
      </w:trPr>
      <w:tc>
        <w:tcPr>
          <w:tcW w:w="3119" w:type="dxa"/>
        </w:tcPr>
        <w:p w:rsidR="00EC25F9" w:rsidRPr="006271FD"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6271FD" w:rsidRDefault="00EC25F9">
          <w:pPr>
            <w:pStyle w:val="Sidhuvud"/>
            <w:ind w:right="360"/>
          </w:pPr>
        </w:p>
      </w:tc>
      <w:tc>
        <w:tcPr>
          <w:tcW w:w="1525" w:type="dxa"/>
        </w:tcPr>
        <w:p w:rsidR="00EC25F9" w:rsidRPr="006271FD" w:rsidRDefault="00EC25F9">
          <w:pPr>
            <w:pStyle w:val="Sidhuvud"/>
            <w:ind w:right="360"/>
          </w:pPr>
        </w:p>
      </w:tc>
    </w:tr>
  </w:tbl>
  <w:p w:rsidR="00EC25F9" w:rsidRPr="006271FD"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6271FD" w:rsidRDefault="00EC25F9">
    <w:pPr>
      <w:pStyle w:val="Sidhuvud"/>
      <w:framePr w:wrap="around" w:vAnchor="text" w:hAnchor="margin" w:xAlign="right" w:y="1"/>
      <w:rPr>
        <w:rStyle w:val="Sidnummer"/>
      </w:rPr>
    </w:pPr>
    <w:r w:rsidRPr="006271FD">
      <w:rPr>
        <w:rStyle w:val="Sidnummer"/>
      </w:rPr>
      <w:fldChar w:fldCharType="begin" w:fldLock="1"/>
    </w:r>
    <w:r w:rsidRPr="006271FD">
      <w:rPr>
        <w:rStyle w:val="Sidnummer"/>
      </w:rPr>
      <w:instrText xml:space="preserve">PAGE  </w:instrText>
    </w:r>
    <w:r w:rsidRPr="006271FD">
      <w:rPr>
        <w:rStyle w:val="Sidnummer"/>
      </w:rPr>
      <w:fldChar w:fldCharType="separate"/>
    </w:r>
    <w:r w:rsidR="00C932C7" w:rsidRPr="006271FD">
      <w:rPr>
        <w:rStyle w:val="Sidnummer"/>
      </w:rPr>
      <w:t>3</w:t>
    </w:r>
    <w:r w:rsidRPr="006271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6271FD">
      <w:tblPrEx>
        <w:tblCellMar>
          <w:top w:w="0" w:type="dxa"/>
          <w:bottom w:w="0" w:type="dxa"/>
        </w:tblCellMar>
      </w:tblPrEx>
      <w:trPr>
        <w:cantSplit/>
      </w:trPr>
      <w:tc>
        <w:tcPr>
          <w:tcW w:w="3119" w:type="dxa"/>
        </w:tcPr>
        <w:p w:rsidR="00EC25F9" w:rsidRPr="006271FD"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6271FD" w:rsidRDefault="00EC25F9">
          <w:pPr>
            <w:pStyle w:val="Sidhuvud"/>
            <w:ind w:right="360"/>
          </w:pPr>
        </w:p>
      </w:tc>
      <w:tc>
        <w:tcPr>
          <w:tcW w:w="1525" w:type="dxa"/>
        </w:tcPr>
        <w:p w:rsidR="00EC25F9" w:rsidRPr="006271FD" w:rsidRDefault="00EC25F9">
          <w:pPr>
            <w:pStyle w:val="Sidhuvud"/>
            <w:ind w:right="360"/>
          </w:pPr>
        </w:p>
      </w:tc>
    </w:tr>
  </w:tbl>
  <w:p w:rsidR="00EC25F9" w:rsidRPr="006271FD"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7D4" w:rsidRPr="006271FD" w:rsidRDefault="006271FD">
    <w:pPr>
      <w:framePr w:w="2948" w:h="1321" w:hRule="exact" w:wrap="notBeside" w:vAnchor="page" w:hAnchor="page" w:x="1362" w:y="653"/>
    </w:pPr>
    <w:r w:rsidRPr="006271F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C25F9" w:rsidRPr="006271FD" w:rsidRDefault="00EC25F9">
    <w:pPr>
      <w:pStyle w:val="RKrubrik"/>
      <w:keepNext w:val="0"/>
      <w:tabs>
        <w:tab w:val="clear" w:pos="1134"/>
        <w:tab w:val="clear" w:pos="2835"/>
      </w:tabs>
      <w:spacing w:before="0" w:after="0" w:line="320" w:lineRule="atLeast"/>
      <w:rPr>
        <w:bCs/>
      </w:rPr>
    </w:pPr>
  </w:p>
  <w:p w:rsidR="00EC25F9" w:rsidRPr="006271FD" w:rsidRDefault="00EC25F9">
    <w:pPr>
      <w:rPr>
        <w:rFonts w:ascii="TradeGothic" w:hAnsi="TradeGothic"/>
        <w:b/>
        <w:bCs/>
        <w:spacing w:val="12"/>
        <w:sz w:val="22"/>
      </w:rPr>
    </w:pPr>
  </w:p>
  <w:p w:rsidR="00EC25F9" w:rsidRPr="006271FD" w:rsidRDefault="00EC25F9">
    <w:pPr>
      <w:pStyle w:val="RKrubrik"/>
      <w:keepNext w:val="0"/>
      <w:tabs>
        <w:tab w:val="clear" w:pos="1134"/>
        <w:tab w:val="clear" w:pos="2835"/>
      </w:tabs>
      <w:spacing w:before="0" w:after="0" w:line="320" w:lineRule="atLeast"/>
      <w:rPr>
        <w:bCs/>
      </w:rPr>
    </w:pPr>
  </w:p>
  <w:p w:rsidR="00EC25F9" w:rsidRPr="006271FD"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tatsrådsberedningen"/>
    <w:docVar w:name="Regering" w:val="N"/>
  </w:docVars>
  <w:rsids>
    <w:rsidRoot w:val="000257D4"/>
    <w:rsid w:val="000257D4"/>
    <w:rsid w:val="000C515B"/>
    <w:rsid w:val="00150384"/>
    <w:rsid w:val="001805B7"/>
    <w:rsid w:val="003D48F5"/>
    <w:rsid w:val="004A328D"/>
    <w:rsid w:val="006271FD"/>
    <w:rsid w:val="006E4E11"/>
    <w:rsid w:val="007242A3"/>
    <w:rsid w:val="009C3A2F"/>
    <w:rsid w:val="00B9294F"/>
    <w:rsid w:val="00BD765A"/>
    <w:rsid w:val="00C932C7"/>
    <w:rsid w:val="00CF1B02"/>
    <w:rsid w:val="00EC25F9"/>
    <w:rsid w:val="00EC6612"/>
    <w:rsid w:val="00FC6A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AC03E-7907-42F6-ABFE-999C519E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257D4"/>
    <w:rPr>
      <w:rFonts w:ascii="OrigGarmnd BT" w:hAnsi="OrigGarmnd BT"/>
      <w:sz w:val="24"/>
      <w:lang w:val="sv-SE" w:eastAsia="en-US" w:bidi="ar-SA"/>
    </w:rPr>
  </w:style>
  <w:style w:type="character" w:customStyle="1" w:styleId="RKrubrikChar">
    <w:name w:val="RKrubrik Char"/>
    <w:basedOn w:val="RKnormalChar"/>
    <w:link w:val="RKrubrik"/>
    <w:rsid w:val="000257D4"/>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6408</Characters>
  <Application>Microsoft Office Word</Application>
  <DocSecurity>4</DocSecurity>
  <Lines>173</Lines>
  <Paragraphs>48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2025-12-17T13:07:00Z</dcterms:created>
  <dcterms:modified xsi:type="dcterms:W3CDTF">2025-12-17T13:07:00Z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ies>
</file>