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6E0235">
        <w:tblPrEx>
          <w:tblCellMar>
            <w:top w:w="0" w:type="dxa"/>
            <w:bottom w:w="0" w:type="dxa"/>
          </w:tblCellMar>
        </w:tblPrEx>
        <w:tc>
          <w:tcPr>
            <w:tcW w:w="2268" w:type="dxa"/>
          </w:tcPr>
          <w:p w:rsidR="00175CBD" w:rsidRPr="006E0235" w:rsidRDefault="00175CBD">
            <w:pPr>
              <w:framePr w:w="4400" w:h="1644" w:wrap="notBeside" w:vAnchor="page" w:hAnchor="page" w:x="6573" w:y="721"/>
              <w:rPr>
                <w:rFonts w:ascii="TradeGothic" w:hAnsi="TradeGothic"/>
                <w:i/>
                <w:sz w:val="18"/>
              </w:rPr>
            </w:pPr>
          </w:p>
        </w:tc>
        <w:tc>
          <w:tcPr>
            <w:tcW w:w="2347" w:type="dxa"/>
            <w:gridSpan w:val="2"/>
          </w:tcPr>
          <w:p w:rsidR="00175CBD" w:rsidRPr="006E0235" w:rsidRDefault="00BA4863" w:rsidP="00B65A16">
            <w:pPr>
              <w:framePr w:w="4400" w:h="1644" w:wrap="notBeside" w:vAnchor="page" w:hAnchor="page" w:x="6573" w:y="721"/>
              <w:jc w:val="right"/>
              <w:rPr>
                <w:rFonts w:ascii="TradeGothic" w:hAnsi="TradeGothic"/>
                <w:b/>
                <w:szCs w:val="24"/>
              </w:rPr>
            </w:pPr>
            <w:r w:rsidRPr="006E0235">
              <w:rPr>
                <w:rFonts w:ascii="TradeGothic" w:hAnsi="TradeGothic"/>
                <w:b/>
                <w:szCs w:val="24"/>
              </w:rPr>
              <w:t>Bilaga 2</w:t>
            </w:r>
          </w:p>
        </w:tc>
      </w:tr>
      <w:tr w:rsidR="00175CBD" w:rsidRPr="006E0235">
        <w:tblPrEx>
          <w:tblCellMar>
            <w:top w:w="0" w:type="dxa"/>
            <w:bottom w:w="0" w:type="dxa"/>
          </w:tblCellMar>
        </w:tblPrEx>
        <w:trPr>
          <w:cantSplit/>
        </w:trPr>
        <w:tc>
          <w:tcPr>
            <w:tcW w:w="4615" w:type="dxa"/>
            <w:gridSpan w:val="3"/>
          </w:tcPr>
          <w:p w:rsidR="00175CBD" w:rsidRPr="006E0235" w:rsidRDefault="00175CBD">
            <w:pPr>
              <w:framePr w:w="4400" w:h="1644" w:wrap="notBeside" w:vAnchor="page" w:hAnchor="page" w:x="6573" w:y="721"/>
              <w:rPr>
                <w:rFonts w:ascii="TradeGothic" w:hAnsi="TradeGothic"/>
                <w:b/>
                <w:sz w:val="22"/>
              </w:rPr>
            </w:pPr>
            <w:r w:rsidRPr="006E0235">
              <w:rPr>
                <w:rFonts w:ascii="TradeGothic" w:hAnsi="TradeGothic"/>
                <w:b/>
                <w:sz w:val="22"/>
              </w:rPr>
              <w:t>PM Till riksdagen</w:t>
            </w:r>
          </w:p>
        </w:tc>
      </w:tr>
      <w:tr w:rsidR="00175CBD" w:rsidRPr="006E0235">
        <w:tblPrEx>
          <w:tblCellMar>
            <w:top w:w="0" w:type="dxa"/>
            <w:bottom w:w="0" w:type="dxa"/>
          </w:tblCellMar>
        </w:tblPrEx>
        <w:tc>
          <w:tcPr>
            <w:tcW w:w="3402" w:type="dxa"/>
            <w:gridSpan w:val="2"/>
          </w:tcPr>
          <w:p w:rsidR="00175CBD" w:rsidRPr="006E0235" w:rsidRDefault="00175CBD">
            <w:pPr>
              <w:framePr w:w="4400" w:h="1644" w:wrap="notBeside" w:vAnchor="page" w:hAnchor="page" w:x="6573" w:y="721"/>
            </w:pPr>
          </w:p>
        </w:tc>
        <w:tc>
          <w:tcPr>
            <w:tcW w:w="1213" w:type="dxa"/>
          </w:tcPr>
          <w:p w:rsidR="00175CBD" w:rsidRPr="006E0235" w:rsidRDefault="00175CBD">
            <w:pPr>
              <w:framePr w:w="4400" w:h="1644" w:wrap="notBeside" w:vAnchor="page" w:hAnchor="page" w:x="6573" w:y="721"/>
            </w:pPr>
          </w:p>
        </w:tc>
      </w:tr>
      <w:tr w:rsidR="00175CBD" w:rsidRPr="006E0235">
        <w:tblPrEx>
          <w:tblCellMar>
            <w:top w:w="0" w:type="dxa"/>
            <w:bottom w:w="0" w:type="dxa"/>
          </w:tblCellMar>
        </w:tblPrEx>
        <w:tc>
          <w:tcPr>
            <w:tcW w:w="2268" w:type="dxa"/>
          </w:tcPr>
          <w:p w:rsidR="00175CBD" w:rsidRPr="006E0235" w:rsidRDefault="008F6DFB">
            <w:pPr>
              <w:framePr w:w="4400" w:h="1644" w:wrap="notBeside" w:vAnchor="page" w:hAnchor="page" w:x="6573" w:y="721"/>
            </w:pPr>
            <w:r w:rsidRPr="006E0235">
              <w:t>2011-02-2</w:t>
            </w:r>
            <w:r w:rsidR="003D0EF6" w:rsidRPr="006E0235">
              <w:t>6</w:t>
            </w:r>
          </w:p>
        </w:tc>
        <w:tc>
          <w:tcPr>
            <w:tcW w:w="2347" w:type="dxa"/>
            <w:gridSpan w:val="2"/>
          </w:tcPr>
          <w:p w:rsidR="00175CBD" w:rsidRPr="006E0235" w:rsidRDefault="00175CBD">
            <w:pPr>
              <w:framePr w:w="4400" w:h="1644" w:wrap="notBeside" w:vAnchor="page" w:hAnchor="page" w:x="6573" w:y="721"/>
            </w:pPr>
          </w:p>
        </w:tc>
      </w:tr>
      <w:tr w:rsidR="00175CBD" w:rsidRPr="006E0235">
        <w:tblPrEx>
          <w:tblCellMar>
            <w:top w:w="0" w:type="dxa"/>
            <w:bottom w:w="0" w:type="dxa"/>
          </w:tblCellMar>
        </w:tblPrEx>
        <w:tc>
          <w:tcPr>
            <w:tcW w:w="2268" w:type="dxa"/>
          </w:tcPr>
          <w:p w:rsidR="00175CBD" w:rsidRPr="006E0235" w:rsidRDefault="00175CBD">
            <w:pPr>
              <w:framePr w:w="4400" w:h="1644" w:wrap="notBeside" w:vAnchor="page" w:hAnchor="page" w:x="6573" w:y="721"/>
            </w:pPr>
          </w:p>
        </w:tc>
        <w:tc>
          <w:tcPr>
            <w:tcW w:w="2347" w:type="dxa"/>
            <w:gridSpan w:val="2"/>
          </w:tcPr>
          <w:p w:rsidR="00175CBD" w:rsidRPr="006E0235"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6E0235">
        <w:tblPrEx>
          <w:tblCellMar>
            <w:top w:w="0" w:type="dxa"/>
            <w:bottom w:w="0" w:type="dxa"/>
          </w:tblCellMar>
        </w:tblPrEx>
        <w:trPr>
          <w:trHeight w:val="284"/>
        </w:trPr>
        <w:tc>
          <w:tcPr>
            <w:tcW w:w="4911" w:type="dxa"/>
          </w:tcPr>
          <w:p w:rsidR="00175CBD" w:rsidRPr="006E0235" w:rsidRDefault="008F6DFB">
            <w:pPr>
              <w:pStyle w:val="Avsndare"/>
              <w:framePr w:h="2483" w:wrap="notBeside" w:x="1504"/>
              <w:rPr>
                <w:b/>
                <w:i w:val="0"/>
                <w:sz w:val="22"/>
              </w:rPr>
            </w:pPr>
            <w:r w:rsidRPr="006E0235">
              <w:rPr>
                <w:b/>
                <w:i w:val="0"/>
                <w:sz w:val="22"/>
              </w:rPr>
              <w:t>Närings</w:t>
            </w:r>
            <w:r w:rsidR="00175CBD" w:rsidRPr="006E0235">
              <w:rPr>
                <w:b/>
                <w:i w:val="0"/>
                <w:sz w:val="22"/>
              </w:rPr>
              <w:t>departementet</w:t>
            </w: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8F6DFB">
            <w:pPr>
              <w:pStyle w:val="Avsndare"/>
              <w:framePr w:h="2483" w:wrap="notBeside" w:x="1504"/>
              <w:rPr>
                <w:bCs/>
                <w:iCs/>
              </w:rPr>
            </w:pPr>
            <w:r w:rsidRPr="006E0235">
              <w:rPr>
                <w:bCs/>
                <w:iCs/>
              </w:rPr>
              <w:t>Enheten för forskning, innovation och näringsutveckling</w:t>
            </w:r>
          </w:p>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r w:rsidR="00175CBD" w:rsidRPr="006E0235">
        <w:tblPrEx>
          <w:tblCellMar>
            <w:top w:w="0" w:type="dxa"/>
            <w:bottom w:w="0" w:type="dxa"/>
          </w:tblCellMar>
        </w:tblPrEx>
        <w:trPr>
          <w:trHeight w:val="284"/>
        </w:trPr>
        <w:tc>
          <w:tcPr>
            <w:tcW w:w="4911" w:type="dxa"/>
          </w:tcPr>
          <w:p w:rsidR="00175CBD" w:rsidRPr="006E0235" w:rsidRDefault="00175CBD">
            <w:pPr>
              <w:pStyle w:val="Avsndare"/>
              <w:framePr w:h="2483" w:wrap="notBeside" w:x="1504"/>
              <w:rPr>
                <w:bCs/>
                <w:iCs/>
              </w:rPr>
            </w:pPr>
          </w:p>
        </w:tc>
      </w:tr>
    </w:tbl>
    <w:p w:rsidR="00175CBD" w:rsidRPr="006E0235" w:rsidRDefault="00175CBD">
      <w:pPr>
        <w:framePr w:w="4400" w:h="2523" w:wrap="notBeside" w:vAnchor="page" w:hAnchor="page" w:x="6453" w:y="2445"/>
        <w:ind w:left="142"/>
        <w:rPr>
          <w:b/>
        </w:rPr>
      </w:pPr>
    </w:p>
    <w:p w:rsidR="00175CBD" w:rsidRPr="006E0235" w:rsidRDefault="000C7054">
      <w:pPr>
        <w:pStyle w:val="RKrubrik"/>
        <w:pBdr>
          <w:bottom w:val="single" w:sz="6" w:space="1" w:color="auto"/>
        </w:pBdr>
      </w:pPr>
      <w:bookmarkStart w:id="0" w:name="bRubrik"/>
      <w:bookmarkEnd w:id="0"/>
      <w:r w:rsidRPr="006E0235">
        <w:t>Konkurrenskraftsrådet 9-10</w:t>
      </w:r>
      <w:r w:rsidR="00DC570C" w:rsidRPr="006E0235">
        <w:t xml:space="preserve"> mars 2011. DP 11. Råvaruinitiativet</w:t>
      </w:r>
    </w:p>
    <w:p w:rsidR="00175CBD" w:rsidRPr="006E0235" w:rsidRDefault="00175CBD">
      <w:pPr>
        <w:pStyle w:val="RKrubrik"/>
      </w:pPr>
      <w:r w:rsidRPr="006E0235">
        <w:t>Dokumentbeteckning</w:t>
      </w:r>
    </w:p>
    <w:p w:rsidR="00746D8D" w:rsidRPr="006E0235" w:rsidRDefault="00746D8D" w:rsidP="00746D8D">
      <w:pPr>
        <w:pStyle w:val="RKnormal"/>
      </w:pPr>
      <w:r w:rsidRPr="006E0235">
        <w:t>6815/11 (Senast kända)</w:t>
      </w:r>
    </w:p>
    <w:p w:rsidR="00746D8D" w:rsidRPr="006E0235" w:rsidRDefault="00746D8D" w:rsidP="00746D8D">
      <w:pPr>
        <w:pStyle w:val="RKnormal"/>
      </w:pPr>
      <w:r w:rsidRPr="006E0235">
        <w:t>Utkast rådsslutsatser om att möta utmaningarna på råvaru- och basproduktmarknaderna</w:t>
      </w:r>
    </w:p>
    <w:p w:rsidR="00746D8D" w:rsidRPr="006E0235"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6E0235" w:rsidTr="00175CBD">
        <w:tblPrEx>
          <w:tblCellMar>
            <w:top w:w="0" w:type="dxa"/>
            <w:left w:w="0" w:type="dxa"/>
            <w:bottom w:w="0" w:type="dxa"/>
            <w:right w:w="0" w:type="dxa"/>
          </w:tblCellMar>
        </w:tblPrEx>
        <w:trPr>
          <w:trHeight w:val="120"/>
        </w:trPr>
        <w:tc>
          <w:tcPr>
            <w:tcW w:w="6095" w:type="dxa"/>
          </w:tcPr>
          <w:p w:rsidR="008E4C4C" w:rsidRPr="006E0235" w:rsidRDefault="008E4C4C" w:rsidP="00F2609A">
            <w:pPr>
              <w:pStyle w:val="RKnormal"/>
            </w:pPr>
            <w:r w:rsidRPr="006E0235">
              <w:fldChar w:fldCharType="begin" w:fldLock="1"/>
            </w:r>
            <w:r w:rsidRPr="006E0235">
              <w:instrText xml:space="preserve"> DOCVARIABLE"GDB1", PreserveFormatting:=False \* MERGEFORMAT </w:instrText>
            </w:r>
            <w:r w:rsidRPr="006E0235">
              <w:fldChar w:fldCharType="separate"/>
            </w:r>
            <w:r w:rsidRPr="006E0235">
              <w:t>KOM(2011) 25 slutlig</w:t>
            </w:r>
            <w:r w:rsidRPr="006E0235">
              <w:fldChar w:fldCharType="end"/>
            </w:r>
          </w:p>
        </w:tc>
      </w:tr>
      <w:tr w:rsidR="008E4C4C" w:rsidRPr="006E0235" w:rsidTr="00175CBD">
        <w:tblPrEx>
          <w:tblCellMar>
            <w:top w:w="0" w:type="dxa"/>
            <w:left w:w="0" w:type="dxa"/>
            <w:bottom w:w="0" w:type="dxa"/>
            <w:right w:w="0" w:type="dxa"/>
          </w:tblCellMar>
        </w:tblPrEx>
        <w:trPr>
          <w:trHeight w:val="120"/>
        </w:trPr>
        <w:tc>
          <w:tcPr>
            <w:tcW w:w="6095" w:type="dxa"/>
          </w:tcPr>
          <w:p w:rsidR="008E4C4C" w:rsidRPr="006E0235" w:rsidRDefault="008E4C4C" w:rsidP="00F2609A">
            <w:pPr>
              <w:pStyle w:val="RKnormal"/>
            </w:pPr>
            <w:r w:rsidRPr="006E0235">
              <w:fldChar w:fldCharType="begin" w:fldLock="1"/>
            </w:r>
            <w:r w:rsidRPr="006E0235">
              <w:instrText xml:space="preserve"> DOCVARIABLE"GDT1", PreserveFormatting:=False \* MERGEFORMAT </w:instrText>
            </w:r>
            <w:r w:rsidRPr="006E0235">
              <w:fldChar w:fldCharType="separate"/>
            </w:r>
            <w:r w:rsidRPr="006E0235">
              <w:t>Meddelande från Europeiska kommissionen till Europaparlamentet, rådet, europeiska ekonomiska och sociala kommittén o</w:t>
            </w:r>
            <w:r w:rsidR="00335CBC" w:rsidRPr="006E0235">
              <w:t>ch Reg</w:t>
            </w:r>
            <w:r w:rsidRPr="006E0235">
              <w:t>ionkommit</w:t>
            </w:r>
            <w:r w:rsidR="00335CBC" w:rsidRPr="006E0235">
              <w:t>t</w:t>
            </w:r>
            <w:r w:rsidRPr="006E0235">
              <w:t>én: råvaror och marknader för basprodukter: att möta utmaningarna</w:t>
            </w:r>
            <w:r w:rsidRPr="006E0235">
              <w:fldChar w:fldCharType="end"/>
            </w:r>
          </w:p>
          <w:p w:rsidR="00DC570C" w:rsidRPr="006E0235" w:rsidRDefault="00DC570C" w:rsidP="00F2609A">
            <w:pPr>
              <w:pStyle w:val="RKnormal"/>
              <w:rPr>
                <w:i/>
              </w:rPr>
            </w:pPr>
          </w:p>
          <w:p w:rsidR="00746D8D" w:rsidRPr="006E0235" w:rsidRDefault="00746D8D" w:rsidP="00F2609A">
            <w:pPr>
              <w:pStyle w:val="RKnormal"/>
              <w:rPr>
                <w:i/>
              </w:rPr>
            </w:pPr>
            <w:r w:rsidRPr="006E0235">
              <w:rPr>
                <w:i/>
              </w:rPr>
              <w:t>- A</w:t>
            </w:r>
            <w:r w:rsidR="00DC570C" w:rsidRPr="006E0235">
              <w:rPr>
                <w:i/>
              </w:rPr>
              <w:t>ntagande av rådsslutsatser</w:t>
            </w:r>
          </w:p>
        </w:tc>
      </w:tr>
    </w:tbl>
    <w:p w:rsidR="00175CBD" w:rsidRPr="006E0235" w:rsidRDefault="00175CBD">
      <w:pPr>
        <w:pStyle w:val="RKrubrik"/>
      </w:pPr>
      <w:r w:rsidRPr="006E0235">
        <w:t>Sammanfattning</w:t>
      </w:r>
    </w:p>
    <w:p w:rsidR="00746D8D" w:rsidRPr="006E0235" w:rsidRDefault="00746D8D" w:rsidP="008E4C4C">
      <w:r w:rsidRPr="006E0235">
        <w:t>I februari 2011 presenterade kommissionen sitt meddelande om råvaror och marknader för basprodukter. På konkurrenskraftsrådet den 10-11 mars kommer medlemsstaterna att anta rådsslutsatser utifrån kommissionens meddelande.</w:t>
      </w:r>
    </w:p>
    <w:p w:rsidR="00746D8D" w:rsidRPr="006E0235" w:rsidRDefault="00746D8D" w:rsidP="008E4C4C"/>
    <w:p w:rsidR="008E4C4C" w:rsidRPr="006E0235" w:rsidRDefault="008E4C4C" w:rsidP="008E4C4C">
      <w:r w:rsidRPr="006E0235">
        <w:t>Kommissionen före</w:t>
      </w:r>
      <w:r w:rsidR="00335CBC" w:rsidRPr="006E0235">
        <w:t>slår i meddelandet en integrerad</w:t>
      </w:r>
      <w:r w:rsidRPr="006E0235">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6E0235" w:rsidRDefault="008E4C4C" w:rsidP="008E4C4C"/>
    <w:p w:rsidR="008E4C4C" w:rsidRPr="006E0235" w:rsidRDefault="008E4C4C" w:rsidP="008E4C4C">
      <w:r w:rsidRPr="006E0235">
        <w:t>• Energi (olja, elektricitet och gas)</w:t>
      </w:r>
    </w:p>
    <w:p w:rsidR="008E4C4C" w:rsidRPr="006E0235" w:rsidRDefault="008E4C4C" w:rsidP="008E4C4C">
      <w:r w:rsidRPr="006E0235">
        <w:t>• Jordbruksprodukter och livsmedelsförsörjning</w:t>
      </w:r>
    </w:p>
    <w:p w:rsidR="008E4C4C" w:rsidRPr="006E0235" w:rsidRDefault="008E4C4C" w:rsidP="008E4C4C">
      <w:r w:rsidRPr="006E0235">
        <w:lastRenderedPageBreak/>
        <w:t>•</w:t>
      </w:r>
      <w:r w:rsidR="00442F88" w:rsidRPr="006E0235">
        <w:t xml:space="preserve"> </w:t>
      </w:r>
      <w:r w:rsidRPr="006E0235">
        <w:t>Råvaror (metalliska mineraler, industrimineraler, byggmaterial, trä, naturgummi)</w:t>
      </w:r>
    </w:p>
    <w:p w:rsidR="008E4C4C" w:rsidRPr="006E0235" w:rsidRDefault="008E4C4C" w:rsidP="008E4C4C"/>
    <w:p w:rsidR="008E4C4C" w:rsidRPr="006E0235" w:rsidRDefault="00335CBC" w:rsidP="008E4C4C">
      <w:r w:rsidRPr="006E0235">
        <w:t>Första</w:t>
      </w:r>
      <w:r w:rsidR="008E4C4C" w:rsidRPr="006E0235">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6E0235" w:rsidRDefault="008E4C4C" w:rsidP="008E4C4C"/>
    <w:p w:rsidR="008E4C4C" w:rsidRPr="006E0235" w:rsidRDefault="00335CBC" w:rsidP="008E4C4C">
      <w:r w:rsidRPr="006E0235">
        <w:t>Den andra delen av meddelandet tar avstamp</w:t>
      </w:r>
      <w:r w:rsidR="008E4C4C" w:rsidRPr="006E0235">
        <w:t xml:space="preserve"> </w:t>
      </w:r>
      <w:r w:rsidRPr="006E0235">
        <w:t>i</w:t>
      </w:r>
      <w:r w:rsidR="008E4C4C" w:rsidRPr="006E0235">
        <w:t xml:space="preserve"> d</w:t>
      </w:r>
      <w:r w:rsidRPr="006E0235">
        <w:t>et</w:t>
      </w:r>
      <w:r w:rsidR="008E4C4C" w:rsidRPr="006E0235">
        <w:t xml:space="preserve"> integrerade europ</w:t>
      </w:r>
      <w:r w:rsidRPr="006E0235">
        <w:t>eiska råvaruinitiativ som presenterades</w:t>
      </w:r>
      <w:r w:rsidR="008E4C4C" w:rsidRPr="006E0235">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6E0235" w:rsidRDefault="008E4C4C" w:rsidP="008E4C4C"/>
    <w:p w:rsidR="008E4C4C" w:rsidRPr="006E0235" w:rsidRDefault="008E4C4C" w:rsidP="008E4C4C">
      <w:r w:rsidRPr="006E0235">
        <w:t>Råvaruinitiativet består av tre pelare:</w:t>
      </w:r>
    </w:p>
    <w:p w:rsidR="008E4C4C" w:rsidRPr="006E0235" w:rsidRDefault="008E4C4C" w:rsidP="008E4C4C">
      <w:r w:rsidRPr="006E0235">
        <w:t xml:space="preserve">• </w:t>
      </w:r>
      <w:r w:rsidR="006B7176" w:rsidRPr="006E0235">
        <w:t>Att säkra tillgång till råvaror från de globala marknaderna på rättvisa villkor</w:t>
      </w:r>
    </w:p>
    <w:p w:rsidR="008E4C4C" w:rsidRPr="006E0235" w:rsidRDefault="008E4C4C" w:rsidP="008E4C4C">
      <w:r w:rsidRPr="006E0235">
        <w:t>• Främja en hållbar försörjning av råvaror inom EU</w:t>
      </w:r>
    </w:p>
    <w:p w:rsidR="008E4C4C" w:rsidRPr="006E0235" w:rsidRDefault="008E4C4C" w:rsidP="008E4C4C">
      <w:r w:rsidRPr="006E0235">
        <w:t xml:space="preserve">• </w:t>
      </w:r>
      <w:r w:rsidR="006B7176" w:rsidRPr="006E0235">
        <w:t>Att främja resurseffektivitet och återvinning</w:t>
      </w:r>
    </w:p>
    <w:p w:rsidR="008E4C4C" w:rsidRPr="006E0235" w:rsidRDefault="008E4C4C" w:rsidP="008E4C4C">
      <w:pPr>
        <w:pStyle w:val="Normaltindrag"/>
      </w:pPr>
    </w:p>
    <w:p w:rsidR="00175CBD" w:rsidRPr="006E0235" w:rsidRDefault="008E4C4C">
      <w:pPr>
        <w:pStyle w:val="RKnormal"/>
      </w:pPr>
      <w:r w:rsidRPr="006E0235">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6E0235" w:rsidRDefault="00746D8D">
      <w:pPr>
        <w:pStyle w:val="RKnormal"/>
      </w:pPr>
    </w:p>
    <w:p w:rsidR="00746D8D" w:rsidRPr="006E0235" w:rsidRDefault="00746D8D">
      <w:pPr>
        <w:pStyle w:val="RKnormal"/>
      </w:pPr>
      <w:r w:rsidRPr="006E0235">
        <w:t>De rådsslutsatser som ordförandeskapet har lagt fram för antagande</w:t>
      </w:r>
      <w:r w:rsidR="00281B7A" w:rsidRPr="006E0235">
        <w:t xml:space="preserve"> är uppdelade </w:t>
      </w:r>
      <w:r w:rsidR="00A35DEE" w:rsidRPr="006E0235">
        <w:t xml:space="preserve">i </w:t>
      </w:r>
      <w:r w:rsidR="009A13AC" w:rsidRPr="006E0235">
        <w:t>fem</w:t>
      </w:r>
      <w:r w:rsidR="00A35DEE" w:rsidRPr="006E0235">
        <w:t xml:space="preserve"> avsnitt, där det första avsnittet </w:t>
      </w:r>
      <w:r w:rsidR="00C6593D" w:rsidRPr="006E0235">
        <w:t xml:space="preserve">(A) </w:t>
      </w:r>
      <w:r w:rsidR="00A35DEE" w:rsidRPr="006E0235">
        <w:t xml:space="preserve">behandlar </w:t>
      </w:r>
      <w:r w:rsidR="00B13491" w:rsidRPr="006E0235">
        <w:t xml:space="preserve">de </w:t>
      </w:r>
      <w:r w:rsidR="00A35DEE" w:rsidRPr="006E0235">
        <w:t>handel</w:t>
      </w:r>
      <w:r w:rsidR="00B13491" w:rsidRPr="006E0235">
        <w:t>srelaterade frågorna</w:t>
      </w:r>
      <w:r w:rsidR="009A13AC" w:rsidRPr="006E0235">
        <w:t>. De</w:t>
      </w:r>
      <w:r w:rsidR="00A35DEE" w:rsidRPr="006E0235">
        <w:t xml:space="preserve"> </w:t>
      </w:r>
      <w:r w:rsidR="009A13AC" w:rsidRPr="006E0235">
        <w:t xml:space="preserve">tre följande </w:t>
      </w:r>
      <w:r w:rsidR="00A35DEE" w:rsidRPr="006E0235">
        <w:t xml:space="preserve">avsnitten </w:t>
      </w:r>
      <w:r w:rsidR="00C6593D" w:rsidRPr="006E0235">
        <w:t xml:space="preserve">(B, C, D) </w:t>
      </w:r>
      <w:r w:rsidR="00A35DEE" w:rsidRPr="006E0235">
        <w:t>behandlar vart och ett av råvaruinitiativets tre pelare</w:t>
      </w:r>
      <w:r w:rsidR="00C6593D" w:rsidRPr="006E0235">
        <w:t>. Avsnitt B behandlar således säkerställandet av råvarutillgångarna från internationella marknader och tr</w:t>
      </w:r>
      <w:r w:rsidR="00B77FCE" w:rsidRPr="006E0235">
        <w:t>edje land. Här tas</w:t>
      </w:r>
      <w:r w:rsidR="00C6593D" w:rsidRPr="006E0235">
        <w:t xml:space="preserve"> råvarudiplomati</w:t>
      </w:r>
      <w:r w:rsidR="00B77FCE" w:rsidRPr="006E0235">
        <w:t>n</w:t>
      </w:r>
      <w:r w:rsidR="00C6593D" w:rsidRPr="006E0235">
        <w:t xml:space="preserve"> upp </w:t>
      </w:r>
      <w:r w:rsidR="00B77FCE" w:rsidRPr="006E0235">
        <w:t xml:space="preserve">(dialog, partnerskap och utvecklingspolicy) </w:t>
      </w:r>
      <w:r w:rsidR="00C6593D" w:rsidRPr="006E0235">
        <w:t>liksom behovet av att skapa samstämmighet mellan EU:s utvecklingspolitik och behovet av råvaror. Under avsnitt C behandlas frågorna</w:t>
      </w:r>
      <w:r w:rsidR="00D7360C" w:rsidRPr="006E0235">
        <w:t xml:space="preserve"> om en hållbar råvaruförsörjning från europeiska källor</w:t>
      </w:r>
      <w:r w:rsidR="009A13AC" w:rsidRPr="006E0235">
        <w:t xml:space="preserve"> genom förbättrad </w:t>
      </w:r>
      <w:r w:rsidR="00B77FCE" w:rsidRPr="006E0235">
        <w:t xml:space="preserve">koordination av utvinning och distribution av </w:t>
      </w:r>
      <w:r w:rsidR="009A13AC" w:rsidRPr="006E0235">
        <w:t>EU:s råvarutillgångar,</w:t>
      </w:r>
      <w:r w:rsidR="00D7360C" w:rsidRPr="006E0235">
        <w:t xml:space="preserve"> </w:t>
      </w:r>
      <w:r w:rsidR="00B77FCE" w:rsidRPr="006E0235">
        <w:t>främjande av forskning samt förbättrade transportsystem</w:t>
      </w:r>
      <w:r w:rsidR="009A13AC" w:rsidRPr="006E0235">
        <w:t>. Under avsnitt D behandlas främjande</w:t>
      </w:r>
      <w:r w:rsidR="00DA526C" w:rsidRPr="006E0235">
        <w:t>t</w:t>
      </w:r>
      <w:r w:rsidR="009A13AC" w:rsidRPr="006E0235">
        <w:t xml:space="preserve"> av resurseffektiv</w:t>
      </w:r>
      <w:r w:rsidR="007A6FBE" w:rsidRPr="006E0235">
        <w:t>itet och återvinning och övergången mot hållbara produktions- och förbrukningsmönster.</w:t>
      </w:r>
      <w:r w:rsidR="006A0E38" w:rsidRPr="006E0235">
        <w:t xml:space="preserve"> Det avslutande avsnittet E</w:t>
      </w:r>
      <w:r w:rsidR="0058024A" w:rsidRPr="006E0235">
        <w:t xml:space="preserve"> handlar om informationsinsatser för att medvetandegöra frågan</w:t>
      </w:r>
      <w:r w:rsidR="002B374C" w:rsidRPr="006E0235">
        <w:t xml:space="preserve"> om </w:t>
      </w:r>
      <w:r w:rsidR="006A0E38" w:rsidRPr="006E0235">
        <w:t>EU:s råvarubehov</w:t>
      </w:r>
      <w:r w:rsidR="002B374C" w:rsidRPr="006E0235">
        <w:t>.</w:t>
      </w:r>
    </w:p>
    <w:p w:rsidR="00175CBD" w:rsidRPr="006E0235" w:rsidRDefault="00175CBD">
      <w:pPr>
        <w:pStyle w:val="RKrubrik"/>
        <w:rPr>
          <w:u w:val="single"/>
        </w:rPr>
      </w:pPr>
      <w:r w:rsidRPr="006E0235">
        <w:rPr>
          <w:u w:val="single"/>
        </w:rPr>
        <w:t>I Förslaget</w:t>
      </w:r>
      <w:r w:rsidR="006B4B9C" w:rsidRPr="006E0235">
        <w:rPr>
          <w:u w:val="single"/>
        </w:rPr>
        <w:t xml:space="preserve"> – Kommissionens meddelande om råvaror och marknader för basprodukter</w:t>
      </w:r>
    </w:p>
    <w:p w:rsidR="002508EA" w:rsidRPr="006E0235" w:rsidRDefault="002508EA" w:rsidP="002508EA">
      <w:pPr>
        <w:pStyle w:val="RKnormal"/>
      </w:pPr>
      <w:r w:rsidRPr="006E0235">
        <w:t>Ett stort antal förslag presenteras inom meddelandets två delar (utvecklingen för marknaderna för basprodukter, och det europeiska råvaruinitiativet).</w:t>
      </w:r>
    </w:p>
    <w:p w:rsidR="00175CBD" w:rsidRPr="006E0235" w:rsidRDefault="00175CBD">
      <w:pPr>
        <w:pStyle w:val="RKrubrik"/>
      </w:pPr>
      <w:r w:rsidRPr="006E0235">
        <w:t>1. Innehåll</w:t>
      </w:r>
    </w:p>
    <w:p w:rsidR="001A4250" w:rsidRPr="006E0235" w:rsidRDefault="001A4250" w:rsidP="001A4250">
      <w:pPr>
        <w:rPr>
          <w:b/>
        </w:rPr>
      </w:pPr>
      <w:r w:rsidRPr="006E0235">
        <w:rPr>
          <w:b/>
        </w:rPr>
        <w:t>1) EU:s policy för utvecklingen på marknaderna för basprodukter</w:t>
      </w:r>
    </w:p>
    <w:p w:rsidR="001A4250" w:rsidRPr="006E0235" w:rsidRDefault="001A4250" w:rsidP="001A4250">
      <w:pPr>
        <w:pStyle w:val="Normaltindrag"/>
        <w:ind w:firstLine="0"/>
      </w:pPr>
      <w:r w:rsidRPr="006E0235">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6E0235" w:rsidRDefault="001A4250" w:rsidP="001A4250">
      <w:pPr>
        <w:pStyle w:val="Normaltindrag"/>
      </w:pPr>
    </w:p>
    <w:p w:rsidR="001A4250" w:rsidRPr="006E0235" w:rsidRDefault="001A4250" w:rsidP="001A4250">
      <w:pPr>
        <w:pStyle w:val="Normaltindrag"/>
        <w:rPr>
          <w:b/>
        </w:rPr>
      </w:pPr>
      <w:r w:rsidRPr="006E0235">
        <w:rPr>
          <w:b/>
        </w:rPr>
        <w:t>1:1) Energi (olja, elektricitet, gas)</w:t>
      </w:r>
    </w:p>
    <w:p w:rsidR="001A4250" w:rsidRPr="006E0235" w:rsidRDefault="001A4250" w:rsidP="001A4250">
      <w:pPr>
        <w:pStyle w:val="Normaltindrag"/>
        <w:numPr>
          <w:ilvl w:val="0"/>
          <w:numId w:val="4"/>
        </w:numPr>
      </w:pPr>
      <w:r w:rsidRPr="006E0235">
        <w:t>Europeiska byrån för samarbete mellan energitillsynsmyndigheter (ACER) kommer att ansvara för övervakningen för att avslöja eventuella fall av missbruk.</w:t>
      </w:r>
    </w:p>
    <w:p w:rsidR="001A4250" w:rsidRPr="006E0235" w:rsidRDefault="001A4250" w:rsidP="001A4250">
      <w:pPr>
        <w:pStyle w:val="Normaltindrag"/>
        <w:numPr>
          <w:ilvl w:val="0"/>
          <w:numId w:val="4"/>
        </w:numPr>
        <w:rPr>
          <w:b/>
        </w:rPr>
      </w:pPr>
      <w:r w:rsidRPr="006E0235">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6E0235" w:rsidRDefault="001A4250" w:rsidP="001A4250">
      <w:pPr>
        <w:pStyle w:val="Normaltindrag"/>
        <w:numPr>
          <w:ilvl w:val="0"/>
          <w:numId w:val="4"/>
        </w:numPr>
      </w:pPr>
      <w:r w:rsidRPr="006E0235">
        <w:t>Samarbetet mellan tillsynsmyndigheter för fysiska marknader (ACER) och för finansiella marknader (ESMA) kommer att stärkas.</w:t>
      </w:r>
    </w:p>
    <w:p w:rsidR="001A4250" w:rsidRPr="006E0235" w:rsidRDefault="001A4250" w:rsidP="001A4250">
      <w:pPr>
        <w:pStyle w:val="Normaltindrag"/>
        <w:ind w:left="170" w:firstLine="0"/>
        <w:rPr>
          <w:b/>
        </w:rPr>
      </w:pPr>
    </w:p>
    <w:p w:rsidR="001A4250" w:rsidRPr="006E0235" w:rsidRDefault="001A4250" w:rsidP="001A4250">
      <w:pPr>
        <w:pStyle w:val="Normaltindrag"/>
        <w:ind w:left="170" w:firstLine="0"/>
        <w:rPr>
          <w:b/>
        </w:rPr>
      </w:pPr>
      <w:r w:rsidRPr="006E0235">
        <w:rPr>
          <w:b/>
        </w:rPr>
        <w:t>1:2) Jordbruksprodukter och livsmedelsförsörjning</w:t>
      </w:r>
    </w:p>
    <w:p w:rsidR="001A4250" w:rsidRPr="006E0235" w:rsidRDefault="001A4250" w:rsidP="00A94688">
      <w:pPr>
        <w:pStyle w:val="Normaltindrag"/>
        <w:ind w:firstLine="0"/>
      </w:pPr>
      <w:r w:rsidRPr="006E0235">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6E0235" w:rsidRDefault="001A4250" w:rsidP="001A4250">
      <w:pPr>
        <w:pStyle w:val="Normaltindrag"/>
      </w:pPr>
    </w:p>
    <w:p w:rsidR="001A4250" w:rsidRPr="006E0235" w:rsidRDefault="001A4250" w:rsidP="001A4250">
      <w:pPr>
        <w:pStyle w:val="Normaltindrag"/>
        <w:numPr>
          <w:ilvl w:val="0"/>
          <w:numId w:val="5"/>
        </w:numPr>
      </w:pPr>
      <w:r w:rsidRPr="006E0235">
        <w:t>Medlemsstaterna översänder regelbundet en mängd uppgifter till kommissionen, vilka sedan offentliggörs på Internet  och diskuteras med rådgivande kommittéer där berörda aktörer är företrädda.</w:t>
      </w:r>
    </w:p>
    <w:p w:rsidR="001A4250" w:rsidRPr="006E0235" w:rsidRDefault="001A4250" w:rsidP="001A4250">
      <w:pPr>
        <w:pStyle w:val="Normaltindrag"/>
        <w:numPr>
          <w:ilvl w:val="0"/>
          <w:numId w:val="5"/>
        </w:numPr>
      </w:pPr>
      <w:r w:rsidRPr="006E0235">
        <w:t>Ett instrument för övervakning av livsmedelspriser har inrättats av kommissionens statistikkontor för att öka pristransparensen  och diskussioner pågår om hur detta instrument skulle kunna förbättras.</w:t>
      </w:r>
    </w:p>
    <w:p w:rsidR="001A4250" w:rsidRPr="006E0235" w:rsidRDefault="001A4250" w:rsidP="001A4250">
      <w:pPr>
        <w:pStyle w:val="Normaltindrag"/>
        <w:numPr>
          <w:ilvl w:val="0"/>
          <w:numId w:val="5"/>
        </w:numPr>
      </w:pPr>
      <w:r w:rsidRPr="006E0235">
        <w:t>Kommissionens avdelningar sammanställer och offentliggör regelbundet rapporter om utsikterna på medellång sikt på viktiga marknader för jordbruksråvaror .</w:t>
      </w:r>
    </w:p>
    <w:p w:rsidR="001A4250" w:rsidRPr="006E0235" w:rsidRDefault="001A4250" w:rsidP="001A4250">
      <w:pPr>
        <w:pStyle w:val="Normaltindrag"/>
      </w:pPr>
    </w:p>
    <w:p w:rsidR="001A4250" w:rsidRPr="006E0235" w:rsidRDefault="001A4250" w:rsidP="00000D03">
      <w:pPr>
        <w:pStyle w:val="Normaltindrag"/>
        <w:rPr>
          <w:b/>
          <w:bCs/>
        </w:rPr>
      </w:pPr>
      <w:r w:rsidRPr="006E0235">
        <w:rPr>
          <w:b/>
          <w:bCs/>
        </w:rPr>
        <w:t>1:3) Reglering av finansiella marknader</w:t>
      </w:r>
    </w:p>
    <w:p w:rsidR="001A4250" w:rsidRPr="006E0235" w:rsidRDefault="001A4250" w:rsidP="00A94688">
      <w:pPr>
        <w:pStyle w:val="Normaltindrag"/>
        <w:ind w:firstLine="0"/>
      </w:pPr>
      <w:r w:rsidRPr="006E0235">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6E0235" w:rsidRDefault="001A4250" w:rsidP="001A4250">
      <w:pPr>
        <w:pStyle w:val="Normaltindrag"/>
      </w:pPr>
    </w:p>
    <w:p w:rsidR="001A4250" w:rsidRPr="006E0235" w:rsidRDefault="001A4250" w:rsidP="001A4250">
      <w:pPr>
        <w:pStyle w:val="Normaltindrag"/>
        <w:numPr>
          <w:ilvl w:val="0"/>
          <w:numId w:val="2"/>
        </w:numPr>
      </w:pPr>
      <w:r w:rsidRPr="006E0235">
        <w:t>KOM har antagit ett förslag till förordning om handel med OTC-derivat, som ska minska systemrisken och förbättra tillsynsmyndigheternas insyn i alla derivat, inklusive råvaruderivat.</w:t>
      </w:r>
    </w:p>
    <w:p w:rsidR="001A4250" w:rsidRPr="006E0235" w:rsidRDefault="001A4250" w:rsidP="001A4250">
      <w:pPr>
        <w:pStyle w:val="Normaltindrag"/>
        <w:numPr>
          <w:ilvl w:val="0"/>
          <w:numId w:val="2"/>
        </w:numPr>
      </w:pPr>
      <w:r w:rsidRPr="006E0235">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6E0235" w:rsidRDefault="001A4250" w:rsidP="001A4250">
      <w:pPr>
        <w:pStyle w:val="Normaltindrag"/>
        <w:numPr>
          <w:ilvl w:val="0"/>
          <w:numId w:val="2"/>
        </w:numPr>
      </w:pPr>
      <w:r w:rsidRPr="006E0235">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6E0235" w:rsidRDefault="001A4250" w:rsidP="001A4250">
      <w:pPr>
        <w:pStyle w:val="Normaltindrag"/>
        <w:numPr>
          <w:ilvl w:val="0"/>
          <w:numId w:val="2"/>
        </w:numPr>
      </w:pPr>
      <w:r w:rsidRPr="006E0235">
        <w:t>Direktivet om förvaltare av alternativa investeringsfonder  kommer att öka insynen i dessa fonder för investerare och nationella tillsynsmyndigheter och ge en bättre insikt om hur dessa fonder påverkar marknaderna för råvaruderivat.</w:t>
      </w:r>
    </w:p>
    <w:p w:rsidR="001A4250" w:rsidRPr="006E0235" w:rsidRDefault="001A4250" w:rsidP="001A4250">
      <w:pPr>
        <w:pStyle w:val="Normaltindrag"/>
        <w:numPr>
          <w:ilvl w:val="0"/>
          <w:numId w:val="2"/>
        </w:numPr>
      </w:pPr>
      <w:r w:rsidRPr="006E0235">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6E0235" w:rsidRDefault="001A4250" w:rsidP="001A4250">
      <w:pPr>
        <w:pStyle w:val="Normaltindrag"/>
        <w:numPr>
          <w:ilvl w:val="0"/>
          <w:numId w:val="2"/>
        </w:numPr>
      </w:pPr>
      <w:r w:rsidRPr="006E0235">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6E0235" w:rsidRDefault="001A4250" w:rsidP="001A4250">
      <w:pPr>
        <w:pStyle w:val="Normaltindrag"/>
      </w:pPr>
    </w:p>
    <w:p w:rsidR="001A4250" w:rsidRPr="006E0235" w:rsidRDefault="001A4250" w:rsidP="001A4250">
      <w:pPr>
        <w:pStyle w:val="Normaltindrag"/>
        <w:ind w:left="142" w:firstLine="0"/>
        <w:rPr>
          <w:b/>
        </w:rPr>
      </w:pPr>
      <w:r w:rsidRPr="006E0235">
        <w:rPr>
          <w:b/>
        </w:rPr>
        <w:t>1:4) Samspelet mellan fysiska och finansiella marknader för basprodukter</w:t>
      </w:r>
    </w:p>
    <w:p w:rsidR="001A4250" w:rsidRPr="006E0235" w:rsidRDefault="001A4250" w:rsidP="00A94688">
      <w:pPr>
        <w:pStyle w:val="Normaltindrag"/>
        <w:ind w:firstLine="0"/>
      </w:pPr>
      <w:r w:rsidRPr="006E0235">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6E0235" w:rsidRDefault="001A4250" w:rsidP="001A4250">
      <w:pPr>
        <w:pStyle w:val="Normaltindrag"/>
        <w:ind w:left="142" w:firstLine="0"/>
        <w:rPr>
          <w:b/>
        </w:rPr>
      </w:pPr>
    </w:p>
    <w:p w:rsidR="001A4250" w:rsidRPr="006E0235" w:rsidRDefault="001A4250" w:rsidP="001A4250">
      <w:pPr>
        <w:pStyle w:val="Normaltindrag"/>
        <w:numPr>
          <w:ilvl w:val="0"/>
          <w:numId w:val="3"/>
        </w:numPr>
        <w:ind w:hanging="153"/>
        <w:rPr>
          <w:b/>
        </w:rPr>
      </w:pPr>
      <w:r w:rsidRPr="006E0235">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6E0235" w:rsidRDefault="001A4250" w:rsidP="001A4250">
      <w:pPr>
        <w:pStyle w:val="Normaltindrag"/>
        <w:numPr>
          <w:ilvl w:val="0"/>
          <w:numId w:val="3"/>
        </w:numPr>
        <w:ind w:hanging="153"/>
        <w:rPr>
          <w:b/>
        </w:rPr>
      </w:pPr>
      <w:r w:rsidRPr="006E0235">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6E0235" w:rsidRDefault="001A4250" w:rsidP="001A4250">
      <w:pPr>
        <w:pStyle w:val="Normaltindrag"/>
      </w:pPr>
    </w:p>
    <w:p w:rsidR="001A4250" w:rsidRPr="006E0235" w:rsidRDefault="001A4250" w:rsidP="001A4250">
      <w:pPr>
        <w:pStyle w:val="Normaltindrag"/>
        <w:ind w:firstLine="0"/>
        <w:rPr>
          <w:b/>
        </w:rPr>
      </w:pPr>
      <w:r w:rsidRPr="006E0235">
        <w:rPr>
          <w:b/>
        </w:rPr>
        <w:t>2) Det europeiska råvaruinitiativet:</w:t>
      </w:r>
    </w:p>
    <w:p w:rsidR="001A4250" w:rsidRPr="006E0235" w:rsidRDefault="001A4250" w:rsidP="00A94688">
      <w:pPr>
        <w:pStyle w:val="Normaltindrag"/>
        <w:ind w:firstLine="0"/>
      </w:pPr>
      <w:r w:rsidRPr="006E0235">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6E0235" w:rsidRDefault="001A4250" w:rsidP="001A4250">
      <w:pPr>
        <w:pStyle w:val="Normaltindrag"/>
      </w:pPr>
    </w:p>
    <w:p w:rsidR="001A4250" w:rsidRPr="006E0235" w:rsidRDefault="001A4250" w:rsidP="001A4250">
      <w:pPr>
        <w:pStyle w:val="Normaltindrag"/>
        <w:ind w:firstLine="0"/>
      </w:pPr>
      <w:r w:rsidRPr="006E0235">
        <w:t>Kommissionen åtar sig:</w:t>
      </w:r>
    </w:p>
    <w:p w:rsidR="001A4250" w:rsidRPr="006E0235"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6E0235">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6E0235" w:rsidRDefault="001A4250" w:rsidP="001A4250">
      <w:pPr>
        <w:pStyle w:val="Normaltindrag"/>
        <w:numPr>
          <w:ilvl w:val="0"/>
          <w:numId w:val="1"/>
        </w:numPr>
      </w:pPr>
      <w:r w:rsidRPr="006E0235">
        <w:t>Regelbundet och minst vart tredje år uppdatera förteckningen över råvaror av avgörande betydelse.</w:t>
      </w:r>
    </w:p>
    <w:p w:rsidR="001A4250" w:rsidRPr="006E0235" w:rsidRDefault="001A4250" w:rsidP="001A4250">
      <w:pPr>
        <w:pStyle w:val="Normaltindrag"/>
        <w:ind w:firstLine="0"/>
      </w:pPr>
    </w:p>
    <w:p w:rsidR="001A4250" w:rsidRPr="006E0235" w:rsidRDefault="001A4250" w:rsidP="001A4250">
      <w:pPr>
        <w:pStyle w:val="Normaltindrag"/>
        <w:ind w:firstLine="0"/>
      </w:pPr>
      <w:r w:rsidRPr="006E0235">
        <w:t xml:space="preserve">Inom </w:t>
      </w:r>
      <w:r w:rsidRPr="006E0235">
        <w:rPr>
          <w:b/>
        </w:rPr>
        <w:t>råvaruinitiativets första pelare</w:t>
      </w:r>
      <w:r w:rsidRPr="006E0235">
        <w:t xml:space="preserve"> som gäller att säkra tillgång till råvaror från de globala marknaderna på rättvisa villkor (handels- och utvecklingspolitik) föreslår kommissionen följande åtgärder:</w:t>
      </w:r>
    </w:p>
    <w:p w:rsidR="001A4250" w:rsidRPr="006E0235" w:rsidRDefault="001A4250" w:rsidP="001A4250">
      <w:pPr>
        <w:pStyle w:val="Normaltindrag"/>
        <w:ind w:firstLine="0"/>
      </w:pPr>
    </w:p>
    <w:p w:rsidR="001A4250" w:rsidRPr="006E0235" w:rsidRDefault="001A4250" w:rsidP="001A4250">
      <w:pPr>
        <w:pStyle w:val="Normaltindrag"/>
        <w:numPr>
          <w:ilvl w:val="0"/>
          <w:numId w:val="1"/>
        </w:numPr>
      </w:pPr>
      <w:r w:rsidRPr="006E0235">
        <w:t>Stärkt Europeiskt ekonomiskt och politiskt stöd till initiativet för öppenhet i utvinningsindustrin (Extractive Industries Transparency Initiative, EITI) och bistå utvecklingsländerna med genomförandet av initiativet.</w:t>
      </w:r>
    </w:p>
    <w:p w:rsidR="001A4250" w:rsidRPr="006E0235" w:rsidRDefault="001A4250" w:rsidP="001A4250">
      <w:pPr>
        <w:pStyle w:val="Normaltindrag"/>
        <w:numPr>
          <w:ilvl w:val="0"/>
          <w:numId w:val="1"/>
        </w:numPr>
      </w:pPr>
      <w:r w:rsidRPr="006E0235">
        <w:t>Utbyte av god praxis med internationella organisationer som Världsbanken, Internationella valutafonden och Afrikanska utvecklingsbanken.</w:t>
      </w:r>
    </w:p>
    <w:p w:rsidR="001A4250" w:rsidRPr="006E0235" w:rsidRDefault="001A4250" w:rsidP="001A4250">
      <w:pPr>
        <w:pStyle w:val="Normaltindrag"/>
        <w:numPr>
          <w:ilvl w:val="0"/>
          <w:numId w:val="1"/>
        </w:numPr>
      </w:pPr>
      <w:r w:rsidRPr="006E0235">
        <w:t>Söka vägar mot en ökad insyn i försörjningskedjan och, i samarbete med våra viktigaste handelspartner, ta itu med situationer där inkomsterna från utvinning används för att finansiera krig eller interna konflikter.</w:t>
      </w:r>
    </w:p>
    <w:p w:rsidR="001A4250" w:rsidRPr="006E0235" w:rsidRDefault="001A4250" w:rsidP="001A4250">
      <w:pPr>
        <w:pStyle w:val="Normaltindrag"/>
        <w:numPr>
          <w:ilvl w:val="0"/>
          <w:numId w:val="1"/>
        </w:numPr>
      </w:pPr>
      <w:r w:rsidRPr="006E0235">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6E0235" w:rsidRDefault="001A4250" w:rsidP="001A4250">
      <w:pPr>
        <w:pStyle w:val="Normaltindrag"/>
        <w:numPr>
          <w:ilvl w:val="0"/>
          <w:numId w:val="1"/>
        </w:numPr>
      </w:pPr>
      <w:r w:rsidRPr="006E0235">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6E0235" w:rsidRDefault="001A4250" w:rsidP="001A4250">
      <w:pPr>
        <w:pStyle w:val="Normaltindrag"/>
        <w:numPr>
          <w:ilvl w:val="0"/>
          <w:numId w:val="1"/>
        </w:numPr>
      </w:pPr>
      <w:r w:rsidRPr="006E0235">
        <w:t>Stödja OECD:s arbete för omvärldsbevakning och kontroll (ibland benämnt due diligence) i gruvsektorn.</w:t>
      </w:r>
    </w:p>
    <w:p w:rsidR="001A4250" w:rsidRPr="006E0235" w:rsidRDefault="001A4250" w:rsidP="001A4250">
      <w:pPr>
        <w:pStyle w:val="Normaltindrag"/>
        <w:numPr>
          <w:ilvl w:val="0"/>
          <w:numId w:val="1"/>
        </w:numPr>
      </w:pPr>
      <w:r w:rsidRPr="006E0235">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6E0235" w:rsidRDefault="001A4250" w:rsidP="001A4250">
      <w:pPr>
        <w:pStyle w:val="Normaltindrag"/>
        <w:numPr>
          <w:ilvl w:val="0"/>
          <w:numId w:val="1"/>
        </w:numPr>
      </w:pPr>
      <w:r w:rsidRPr="006E0235">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6E0235" w:rsidRDefault="001A4250" w:rsidP="001A4250">
      <w:pPr>
        <w:pStyle w:val="Normaltindrag"/>
        <w:numPr>
          <w:ilvl w:val="0"/>
          <w:numId w:val="1"/>
        </w:numPr>
      </w:pPr>
      <w:r w:rsidRPr="006E0235">
        <w:t>Bättre integrera råvarufrågor, t.ex. exportrestriktioner och investeringsaspekter, i de bilaterala, plurilaterala och multilaterala handelsförhandlingar som EU driver.</w:t>
      </w:r>
    </w:p>
    <w:p w:rsidR="001A4250" w:rsidRPr="006E0235" w:rsidRDefault="001A4250" w:rsidP="001A4250">
      <w:pPr>
        <w:pStyle w:val="Normaltindrag"/>
        <w:numPr>
          <w:ilvl w:val="0"/>
          <w:numId w:val="1"/>
        </w:numPr>
      </w:pPr>
      <w:r w:rsidRPr="006E0235">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6E0235" w:rsidRDefault="001A4250" w:rsidP="001A4250">
      <w:pPr>
        <w:pStyle w:val="Normaltindrag"/>
        <w:numPr>
          <w:ilvl w:val="0"/>
          <w:numId w:val="1"/>
        </w:numPr>
      </w:pPr>
      <w:r w:rsidRPr="006E0235">
        <w:t>Verka för att även icke-OECD-länder involveras i OECD:s arbete inom råvaruområdet, och överväga kompletterande arbetsmetoder på pluri- och multilateral nivå, t.ex. diskussioner kring bästa praxis.</w:t>
      </w:r>
    </w:p>
    <w:p w:rsidR="001A4250" w:rsidRPr="006E0235" w:rsidRDefault="001A4250" w:rsidP="001A4250">
      <w:pPr>
        <w:pStyle w:val="Normaltindrag"/>
        <w:numPr>
          <w:ilvl w:val="0"/>
          <w:numId w:val="1"/>
        </w:numPr>
      </w:pPr>
      <w:r w:rsidRPr="006E0235">
        <w:t>Använda redskap inom konkurrenslagstiftningen för att förebygga att tillgången till råvaror hämmas av konkurrensbegränsande avtal, företagskoncentrationer eller enskilda företags handlande.</w:t>
      </w:r>
    </w:p>
    <w:p w:rsidR="001A4250" w:rsidRPr="006E0235" w:rsidRDefault="001A4250" w:rsidP="001A4250">
      <w:pPr>
        <w:pStyle w:val="Normaltindrag"/>
        <w:numPr>
          <w:ilvl w:val="0"/>
          <w:numId w:val="1"/>
        </w:numPr>
      </w:pPr>
      <w:r w:rsidRPr="006E0235">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6E0235" w:rsidRDefault="001A4250" w:rsidP="001A4250">
      <w:pPr>
        <w:pStyle w:val="Normaltindrag"/>
        <w:ind w:firstLine="0"/>
      </w:pPr>
    </w:p>
    <w:p w:rsidR="001A4250" w:rsidRPr="006E0235" w:rsidRDefault="001A4250" w:rsidP="001A4250">
      <w:pPr>
        <w:pStyle w:val="Normaltindrag"/>
        <w:ind w:firstLine="0"/>
      </w:pPr>
      <w:r w:rsidRPr="006E0235">
        <w:t xml:space="preserve">Inom </w:t>
      </w:r>
      <w:r w:rsidRPr="006E0235">
        <w:rPr>
          <w:b/>
        </w:rPr>
        <w:t>råvaruinitiativets andra pelare</w:t>
      </w:r>
      <w:r w:rsidRPr="006E0235">
        <w:t xml:space="preserve"> som gäller främjandet av en hållbar försörjning av råvaror inom EU anser kommissionen särskilt att följande insatser behövs hos medlemsländerna:</w:t>
      </w:r>
    </w:p>
    <w:p w:rsidR="001A4250" w:rsidRPr="006E0235" w:rsidRDefault="001A4250" w:rsidP="001A4250">
      <w:pPr>
        <w:pStyle w:val="Normaltindrag"/>
        <w:ind w:firstLine="0"/>
      </w:pPr>
    </w:p>
    <w:p w:rsidR="001A4250" w:rsidRPr="006E0235" w:rsidRDefault="001A4250" w:rsidP="001A4250">
      <w:pPr>
        <w:pStyle w:val="Normaltindrag"/>
        <w:numPr>
          <w:ilvl w:val="0"/>
          <w:numId w:val="1"/>
        </w:numPr>
      </w:pPr>
      <w:r w:rsidRPr="006E0235">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6E0235" w:rsidRDefault="001A4250" w:rsidP="001A4250">
      <w:pPr>
        <w:pStyle w:val="Normaltindrag"/>
        <w:numPr>
          <w:ilvl w:val="0"/>
          <w:numId w:val="1"/>
        </w:numPr>
      </w:pPr>
      <w:r w:rsidRPr="006E0235">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6E0235" w:rsidRDefault="001A4250" w:rsidP="001A4250">
      <w:pPr>
        <w:pStyle w:val="Normaltindrag"/>
        <w:numPr>
          <w:ilvl w:val="0"/>
          <w:numId w:val="1"/>
        </w:numPr>
      </w:pPr>
      <w:r w:rsidRPr="006E0235">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6E0235" w:rsidRDefault="001A4250" w:rsidP="001A4250">
      <w:pPr>
        <w:pStyle w:val="Normaltindrag"/>
        <w:ind w:firstLine="0"/>
      </w:pPr>
    </w:p>
    <w:p w:rsidR="001A4250" w:rsidRPr="006E0235" w:rsidRDefault="001A4250" w:rsidP="001A4250">
      <w:pPr>
        <w:pStyle w:val="Normaltindrag"/>
        <w:ind w:firstLine="0"/>
      </w:pPr>
      <w:r w:rsidRPr="006E0235">
        <w:t>Kommissionen har för avsikt att:</w:t>
      </w:r>
    </w:p>
    <w:p w:rsidR="001A4250" w:rsidRPr="006E0235" w:rsidRDefault="001A4250" w:rsidP="001A4250">
      <w:pPr>
        <w:pStyle w:val="Normaltindrag"/>
        <w:ind w:firstLine="0"/>
      </w:pPr>
    </w:p>
    <w:p w:rsidR="001A4250" w:rsidRPr="006E0235" w:rsidRDefault="001A4250" w:rsidP="001A4250">
      <w:pPr>
        <w:pStyle w:val="Normaltindrag"/>
        <w:numPr>
          <w:ilvl w:val="0"/>
          <w:numId w:val="1"/>
        </w:numPr>
      </w:pPr>
      <w:r w:rsidRPr="006E0235">
        <w:t>stödja det arbete som bedrivs inom FN:s ekonomiska kommission för Europa när det gäller att standardisera rapporteringen om reserver och resurser på EU-nivå,</w:t>
      </w:r>
    </w:p>
    <w:p w:rsidR="001A4250" w:rsidRPr="006E0235" w:rsidRDefault="001A4250" w:rsidP="001A4250">
      <w:pPr>
        <w:pStyle w:val="Normaltindrag"/>
        <w:numPr>
          <w:ilvl w:val="0"/>
          <w:numId w:val="1"/>
        </w:numPr>
      </w:pPr>
      <w:r w:rsidRPr="006E0235">
        <w:t>göra en analys av tillgången på träråvara och returpapper, mot bakgrund av den potentiella efterfrågan både från den skogsbaserade industrin och sektorn för förnybar energi (biobränslen),</w:t>
      </w:r>
    </w:p>
    <w:p w:rsidR="001A4250" w:rsidRPr="006E0235" w:rsidRDefault="001A4250" w:rsidP="001A4250">
      <w:pPr>
        <w:pStyle w:val="Normaltindrag"/>
        <w:numPr>
          <w:ilvl w:val="0"/>
          <w:numId w:val="1"/>
        </w:numPr>
      </w:pPr>
      <w:r w:rsidRPr="006E0235">
        <w:t>fortsätta stödja inrättandet av sektorsvisa kompetensråd på europeisk nivå när berörda aktörer såsom arbetsmarknadens parter eller observationsorgan för respektive sektor tar initiativ till detta,</w:t>
      </w:r>
    </w:p>
    <w:p w:rsidR="001A4250" w:rsidRPr="006E0235" w:rsidRDefault="001A4250" w:rsidP="001A4250">
      <w:pPr>
        <w:pStyle w:val="Normaltindrag"/>
        <w:numPr>
          <w:ilvl w:val="0"/>
          <w:numId w:val="1"/>
        </w:numPr>
      </w:pPr>
      <w:r w:rsidRPr="006E0235">
        <w:t>främja forskning och utveckling kopplad till värdekedjan för råvaror, inklusive utvinning och bearbetning samt möjligheten att ersätta enskilda råvaror.</w:t>
      </w:r>
    </w:p>
    <w:p w:rsidR="001A4250" w:rsidRPr="006E0235" w:rsidRDefault="001A4250" w:rsidP="001A4250">
      <w:pPr>
        <w:pStyle w:val="Normaltindrag"/>
        <w:ind w:firstLine="0"/>
      </w:pPr>
    </w:p>
    <w:p w:rsidR="001A4250" w:rsidRPr="006E0235" w:rsidRDefault="001A4250" w:rsidP="001A4250">
      <w:pPr>
        <w:pStyle w:val="Normaltindrag"/>
        <w:ind w:firstLine="0"/>
      </w:pPr>
      <w:r w:rsidRPr="006E0235">
        <w:t xml:space="preserve">Inom </w:t>
      </w:r>
      <w:r w:rsidRPr="006E0235">
        <w:rPr>
          <w:b/>
        </w:rPr>
        <w:t>råvaruinitiativets tredje pelare</w:t>
      </w:r>
      <w:r w:rsidRPr="006E0235">
        <w:t xml:space="preserve"> som gäller främjandet av resurseffektivitet och återvinning bör enligt kommissionen följande åtgärder vidtas:</w:t>
      </w:r>
    </w:p>
    <w:p w:rsidR="001A4250" w:rsidRPr="006E0235" w:rsidRDefault="001A4250" w:rsidP="001A4250">
      <w:pPr>
        <w:pStyle w:val="Normaltindrag"/>
        <w:ind w:firstLine="0"/>
      </w:pPr>
    </w:p>
    <w:p w:rsidR="001A4250" w:rsidRPr="006E0235" w:rsidRDefault="001A4250" w:rsidP="001A4250">
      <w:pPr>
        <w:pStyle w:val="Normaltindrag"/>
        <w:numPr>
          <w:ilvl w:val="0"/>
          <w:numId w:val="1"/>
        </w:numPr>
      </w:pPr>
      <w:r w:rsidRPr="006E0235">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6E0235" w:rsidRDefault="001A4250" w:rsidP="001A4250">
      <w:pPr>
        <w:pStyle w:val="Normaltindrag"/>
        <w:numPr>
          <w:ilvl w:val="0"/>
          <w:numId w:val="1"/>
        </w:numPr>
      </w:pPr>
      <w:r w:rsidRPr="006E0235">
        <w:t>Stödja forskning och pilotåtgärder som gäller resurseffektivitet och stärka de ekonomiska incitamenten för pant- och återvinningssystem.</w:t>
      </w:r>
    </w:p>
    <w:p w:rsidR="001A4250" w:rsidRPr="006E0235" w:rsidRDefault="001A4250" w:rsidP="001A4250">
      <w:pPr>
        <w:pStyle w:val="Normaltindrag"/>
        <w:numPr>
          <w:ilvl w:val="0"/>
          <w:numId w:val="1"/>
        </w:numPr>
      </w:pPr>
      <w:r w:rsidRPr="006E0235">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6E0235" w:rsidRDefault="001A4250" w:rsidP="001A4250">
      <w:pPr>
        <w:pStyle w:val="Normaltindrag"/>
        <w:numPr>
          <w:ilvl w:val="0"/>
          <w:numId w:val="1"/>
        </w:numPr>
      </w:pPr>
      <w:r w:rsidRPr="006E0235">
        <w:t>Se över handlingsplanen för hållbar konsumtion och produktion under 2012, för att utreda om det finns skäl till ytterligare initiativ på detta område.</w:t>
      </w:r>
    </w:p>
    <w:p w:rsidR="001A4250" w:rsidRPr="006E0235" w:rsidRDefault="001A4250" w:rsidP="001A4250">
      <w:pPr>
        <w:pStyle w:val="Normaltindrag"/>
        <w:numPr>
          <w:ilvl w:val="0"/>
          <w:numId w:val="1"/>
        </w:numPr>
      </w:pPr>
      <w:r w:rsidRPr="006E0235">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6E0235" w:rsidRDefault="001A4250" w:rsidP="001A4250">
      <w:pPr>
        <w:pStyle w:val="Normaltindrag"/>
        <w:numPr>
          <w:ilvl w:val="0"/>
          <w:numId w:val="1"/>
        </w:numPr>
      </w:pPr>
      <w:r w:rsidRPr="006E0235">
        <w:t>Arbeta fram nya initiativ för att stärka konkurrenskraften hos EU:s återvinningsindustri genom att skapa nya marknadsbaserade verktyg som gynnar returråvaror.</w:t>
      </w:r>
    </w:p>
    <w:p w:rsidR="001A4250" w:rsidRPr="006E0235" w:rsidRDefault="001A4250" w:rsidP="001A4250">
      <w:pPr>
        <w:pStyle w:val="Normaltindrag"/>
        <w:numPr>
          <w:ilvl w:val="0"/>
          <w:numId w:val="1"/>
        </w:numPr>
      </w:pPr>
      <w:r w:rsidRPr="006E0235">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6E0235" w:rsidRDefault="001A4250" w:rsidP="001A4250">
      <w:pPr>
        <w:pStyle w:val="Normaltindrag"/>
        <w:numPr>
          <w:ilvl w:val="0"/>
          <w:numId w:val="1"/>
        </w:numPr>
      </w:pPr>
      <w:r w:rsidRPr="006E0235">
        <w:t>Överväga möjligheten att anslå medel från det sjunde ramprogrammet för att stödja den fortsatta utvecklingen av teknik för upptäckt, identifiering, bevakning och lokalisering av olagliga transporter.</w:t>
      </w:r>
    </w:p>
    <w:p w:rsidR="001A4250" w:rsidRPr="006E0235" w:rsidRDefault="001A4250" w:rsidP="001A4250">
      <w:pPr>
        <w:pStyle w:val="Normaltindrag"/>
        <w:numPr>
          <w:ilvl w:val="0"/>
          <w:numId w:val="1"/>
        </w:numPr>
      </w:pPr>
      <w:r w:rsidRPr="006E0235">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6E0235" w:rsidRDefault="001A4250" w:rsidP="00361544">
      <w:pPr>
        <w:pStyle w:val="Normaltindrag"/>
        <w:numPr>
          <w:ilvl w:val="0"/>
          <w:numId w:val="1"/>
        </w:numPr>
      </w:pPr>
      <w:r w:rsidRPr="006E0235">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6E0235" w:rsidRDefault="00175CBD">
      <w:pPr>
        <w:pStyle w:val="RKrubrik"/>
      </w:pPr>
      <w:r w:rsidRPr="006E0235">
        <w:t>2. Gällande svenska regler och förslagets effekt på dessa</w:t>
      </w:r>
    </w:p>
    <w:p w:rsidR="00175CBD" w:rsidRPr="006E0235" w:rsidRDefault="00814AFA">
      <w:pPr>
        <w:pStyle w:val="RKnormal"/>
      </w:pPr>
      <w:r w:rsidRPr="006E0235">
        <w:t>Förslaget innehåller inga lagstiftande åtgärder.</w:t>
      </w:r>
    </w:p>
    <w:p w:rsidR="00175CBD" w:rsidRPr="006E0235" w:rsidRDefault="00175CBD">
      <w:pPr>
        <w:pStyle w:val="RKrubrik"/>
      </w:pPr>
      <w:r w:rsidRPr="006E0235">
        <w:t xml:space="preserve">3. Budgetära konsekvenser </w:t>
      </w:r>
    </w:p>
    <w:p w:rsidR="00175CBD" w:rsidRPr="006E0235" w:rsidRDefault="00814AFA">
      <w:pPr>
        <w:pStyle w:val="RKnormal"/>
      </w:pPr>
      <w:r w:rsidRPr="006E0235">
        <w:t>Förslagen förväntas inte leda till några budgetära konsekvenser som inte kan lösas inom befintliga ramar. Någon konsekvensanalys har inte gjorts av kommissionen</w:t>
      </w:r>
    </w:p>
    <w:p w:rsidR="00175CBD" w:rsidRPr="006E0235" w:rsidRDefault="00175CBD">
      <w:pPr>
        <w:pStyle w:val="RKrubrik"/>
        <w:rPr>
          <w:u w:val="single"/>
        </w:rPr>
      </w:pPr>
      <w:r w:rsidRPr="006E0235">
        <w:rPr>
          <w:u w:val="single"/>
        </w:rPr>
        <w:t>II Ståndpunkter</w:t>
      </w:r>
    </w:p>
    <w:p w:rsidR="00175CBD" w:rsidRPr="006E0235" w:rsidRDefault="00175CBD">
      <w:pPr>
        <w:pStyle w:val="RKrubrik"/>
      </w:pPr>
      <w:r w:rsidRPr="006E0235">
        <w:t xml:space="preserve">1. </w:t>
      </w:r>
      <w:r w:rsidR="00E842C0" w:rsidRPr="006E0235">
        <w:t>Förslag till s</w:t>
      </w:r>
      <w:r w:rsidRPr="006E0235">
        <w:t xml:space="preserve">vensk ståndpunkt </w:t>
      </w:r>
    </w:p>
    <w:p w:rsidR="001C07C1" w:rsidRPr="006E0235" w:rsidRDefault="001C07C1" w:rsidP="006C007B"/>
    <w:p w:rsidR="00DC570C" w:rsidRPr="006E0235" w:rsidRDefault="00DC570C" w:rsidP="006C007B">
      <w:r w:rsidRPr="006E0235">
        <w:t xml:space="preserve">Sverige kan stödja ordförandeskapets förslag till rådsslutsatser. </w:t>
      </w:r>
    </w:p>
    <w:p w:rsidR="00DC570C" w:rsidRPr="006E0235" w:rsidRDefault="00DC570C" w:rsidP="006C007B"/>
    <w:p w:rsidR="006C007B" w:rsidRPr="006E0235" w:rsidRDefault="006C007B" w:rsidP="006C007B">
      <w:r w:rsidRPr="006E0235">
        <w:t xml:space="preserve">Regeringen </w:t>
      </w:r>
      <w:r w:rsidR="00DC570C" w:rsidRPr="006E0235">
        <w:t>kan i stort välkomna kommissionens meddelande</w:t>
      </w:r>
      <w:r w:rsidRPr="006E0235">
        <w:t xml:space="preserve"> men hade gärna sett en tydligare inriktning på den europeiska industrins konkurrenskraft och behovet av smidig tillgång till råvaror.</w:t>
      </w:r>
    </w:p>
    <w:p w:rsidR="006E1D9B" w:rsidRPr="006E0235" w:rsidRDefault="006E1D9B" w:rsidP="006C007B"/>
    <w:p w:rsidR="006C007B" w:rsidRPr="006E0235" w:rsidRDefault="006C007B" w:rsidP="006C007B">
      <w:r w:rsidRPr="006E0235">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6E0235" w:rsidRDefault="006C007B" w:rsidP="006C007B"/>
    <w:p w:rsidR="006C007B" w:rsidRPr="006E0235" w:rsidRDefault="00974F4C" w:rsidP="006C007B">
      <w:r w:rsidRPr="006E0235">
        <w:t>Regeringen</w:t>
      </w:r>
      <w:r w:rsidR="006C007B" w:rsidRPr="006E0235">
        <w:t xml:space="preserve"> vill verka för att den råvarupotential som finns i Sverige och Barentsområdet utnyttjas på ett effektivt och hållbart sätt.</w:t>
      </w:r>
    </w:p>
    <w:p w:rsidR="006C007B" w:rsidRPr="006E0235" w:rsidRDefault="006C007B" w:rsidP="006C007B"/>
    <w:p w:rsidR="006C007B" w:rsidRPr="006E0235" w:rsidRDefault="00974F4C" w:rsidP="006C007B">
      <w:r w:rsidRPr="006E0235">
        <w:t>Regeringen</w:t>
      </w:r>
      <w:r w:rsidR="006C007B" w:rsidRPr="006E0235">
        <w:t xml:space="preserve"> anser att det skulle vara värdefullt att inrätta ett European Innovation Partnership (EIP) på råvaruområdet.</w:t>
      </w:r>
    </w:p>
    <w:p w:rsidR="006C007B" w:rsidRPr="006E0235" w:rsidRDefault="006C007B" w:rsidP="006C007B"/>
    <w:p w:rsidR="003A4529" w:rsidRPr="006E0235" w:rsidRDefault="00E14419" w:rsidP="003A4529">
      <w:r w:rsidRPr="006E0235">
        <w:t>Regeringen</w:t>
      </w:r>
      <w:r w:rsidR="003A4529" w:rsidRPr="006E0235">
        <w:t xml:space="preserve"> understryker att råvaruutvinning i utvecklingsländer är en viktig utvecklingsfråga, som kan utgöra både hinder och drivkraft för utveckling.</w:t>
      </w:r>
    </w:p>
    <w:p w:rsidR="003A4529" w:rsidRPr="006E0235" w:rsidRDefault="003A4529" w:rsidP="003A4529"/>
    <w:p w:rsidR="003A4529" w:rsidRPr="006E0235" w:rsidRDefault="00E14419" w:rsidP="003A4529">
      <w:r w:rsidRPr="006E0235">
        <w:t>Regeringen</w:t>
      </w:r>
      <w:r w:rsidR="003A4529" w:rsidRPr="006E0235">
        <w:t xml:space="preserve"> anser det centralt att EU agerar i överensstämmelse med åtagandet om Policy Coherence for Development, inklusive att främja transparens, hållbarh</w:t>
      </w:r>
      <w:r w:rsidR="005F6E50" w:rsidRPr="006E0235">
        <w:t>et och Corporate Social Respons</w:t>
      </w:r>
      <w:r w:rsidR="003A4529" w:rsidRPr="006E0235">
        <w:t>bility vid råvaruutvinning och i förädlingskedjan.</w:t>
      </w:r>
    </w:p>
    <w:p w:rsidR="003A4529" w:rsidRPr="006E0235" w:rsidRDefault="003A4529" w:rsidP="003A4529"/>
    <w:p w:rsidR="006C007B" w:rsidRPr="006E0235" w:rsidRDefault="00E14419" w:rsidP="003A4529">
      <w:r w:rsidRPr="006E0235">
        <w:t>Regeringen</w:t>
      </w:r>
      <w:r w:rsidR="003A4529" w:rsidRPr="006E0235">
        <w:t xml:space="preserve"> betonar även vikten av att arbeta proaktivt och konfliktkänsligt i situationer där råvaruutvinning riskerar att ha en destabiliserande effekt och användas för att finansiera konflikter.</w:t>
      </w:r>
    </w:p>
    <w:p w:rsidR="003A4529" w:rsidRPr="006E0235" w:rsidRDefault="003A4529" w:rsidP="006C007B">
      <w:pPr>
        <w:rPr>
          <w:color w:val="FF0000"/>
        </w:rPr>
      </w:pPr>
    </w:p>
    <w:p w:rsidR="006C007B" w:rsidRPr="006E0235" w:rsidRDefault="006C007B" w:rsidP="006C007B">
      <w:r w:rsidRPr="006E0235">
        <w:t xml:space="preserve">Resurseffektivitet och främjandet av återvinning är av högsta vikt för att minska EU:s förbrukning av primära råvaror och minska EU:s importberoende. </w:t>
      </w:r>
      <w:r w:rsidR="006A41E3" w:rsidRPr="006E0235">
        <w:t>Vid återvinningen bör hänsyn tas till innehållet av farliga ämnen så att en re-cirkulation av dessa ämnen så långt som möjligt undviks.</w:t>
      </w:r>
    </w:p>
    <w:p w:rsidR="006C007B" w:rsidRPr="006E0235" w:rsidRDefault="006C007B" w:rsidP="006C007B"/>
    <w:p w:rsidR="006C007B" w:rsidRPr="006E0235" w:rsidRDefault="00B81B7C" w:rsidP="006C007B">
      <w:r w:rsidRPr="006E0235">
        <w:t>Regeringen</w:t>
      </w:r>
      <w:r w:rsidR="006C007B" w:rsidRPr="006E0235">
        <w:t xml:space="preserve"> poängterar vikten av hållbara transportlösningar och infrastruktur för att kunna tillgodogöra sig de råvarutillgångar som finns i Europa.</w:t>
      </w:r>
    </w:p>
    <w:p w:rsidR="006C007B" w:rsidRPr="006E0235" w:rsidRDefault="006C007B" w:rsidP="006C007B">
      <w:pPr>
        <w:rPr>
          <w:szCs w:val="24"/>
        </w:rPr>
      </w:pPr>
    </w:p>
    <w:p w:rsidR="006C007B" w:rsidRPr="006E0235" w:rsidRDefault="00B81B7C" w:rsidP="006E1D9B">
      <w:r w:rsidRPr="006E0235">
        <w:t>Regeringen</w:t>
      </w:r>
      <w:r w:rsidR="006C007B" w:rsidRPr="006E0235">
        <w:t xml:space="preserve"> ä</w:t>
      </w:r>
      <w:r w:rsidR="003D0EF6" w:rsidRPr="006E0235">
        <w:t>r angelägen</w:t>
      </w:r>
      <w:r w:rsidR="006C007B" w:rsidRPr="006E0235">
        <w:t xml:space="preserve"> om att betona råvaruinitiativets fokus på icke-energiutvinnande råvaror.</w:t>
      </w:r>
    </w:p>
    <w:p w:rsidR="005F6E50" w:rsidRPr="006E0235" w:rsidRDefault="005F6E50" w:rsidP="006E1D9B"/>
    <w:p w:rsidR="005F6E50" w:rsidRPr="006E0235" w:rsidRDefault="005F6E50" w:rsidP="006E1D9B">
      <w:pPr>
        <w:rPr>
          <w:szCs w:val="24"/>
        </w:rPr>
      </w:pPr>
      <w:r w:rsidRPr="006E0235">
        <w:rPr>
          <w:szCs w:val="24"/>
        </w:rPr>
        <w:t>Regeringen välkomnar vidare att kommissionen tar upp frågan om hur den senaste tidens kraftiga prisökningar och prisvariationer på jordbruksr</w:t>
      </w:r>
      <w:r w:rsidR="006F6B15" w:rsidRPr="006E0235">
        <w:rPr>
          <w:szCs w:val="24"/>
        </w:rPr>
        <w:t xml:space="preserve">åvaror, som t ex spannmål, får följder på </w:t>
      </w:r>
      <w:r w:rsidRPr="006E0235">
        <w:rPr>
          <w:szCs w:val="24"/>
        </w:rPr>
        <w:t>livsmedels</w:t>
      </w:r>
      <w:r w:rsidR="006F6B15" w:rsidRPr="006E0235">
        <w:rPr>
          <w:szCs w:val="24"/>
        </w:rPr>
        <w:t xml:space="preserve">- </w:t>
      </w:r>
      <w:r w:rsidRPr="006E0235">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6E0235" w:rsidRDefault="005F6E50" w:rsidP="006E1D9B">
      <w:pPr>
        <w:rPr>
          <w:szCs w:val="24"/>
        </w:rPr>
      </w:pPr>
    </w:p>
    <w:p w:rsidR="005F6E50" w:rsidRPr="006E0235" w:rsidRDefault="005F6E50" w:rsidP="006E1D9B">
      <w:pPr>
        <w:rPr>
          <w:szCs w:val="24"/>
        </w:rPr>
      </w:pPr>
      <w:r w:rsidRPr="006E0235">
        <w:rPr>
          <w:szCs w:val="24"/>
        </w:rPr>
        <w:t xml:space="preserve">Regeringen anser att det </w:t>
      </w:r>
      <w:r w:rsidR="00D56708" w:rsidRPr="006E0235">
        <w:rPr>
          <w:szCs w:val="24"/>
        </w:rPr>
        <w:t>är bra om</w:t>
      </w:r>
      <w:r w:rsidRPr="006E0235">
        <w:rPr>
          <w:szCs w:val="24"/>
        </w:rPr>
        <w:t xml:space="preserve"> det görs en översyn av de kopplingar som finns mellan de fysiska och finansiella marknaderna.</w:t>
      </w:r>
    </w:p>
    <w:p w:rsidR="005F6E50" w:rsidRPr="006E0235" w:rsidRDefault="005F6E50" w:rsidP="006E1D9B">
      <w:pPr>
        <w:rPr>
          <w:szCs w:val="24"/>
        </w:rPr>
      </w:pPr>
    </w:p>
    <w:p w:rsidR="005F6E50" w:rsidRPr="006E0235" w:rsidRDefault="005F6E50" w:rsidP="006E1D9B">
      <w:pPr>
        <w:rPr>
          <w:szCs w:val="24"/>
        </w:rPr>
      </w:pPr>
      <w:r w:rsidRPr="006E0235">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6E0235" w:rsidRDefault="00175CBD">
      <w:pPr>
        <w:pStyle w:val="RKrubrik"/>
      </w:pPr>
      <w:r w:rsidRPr="006E0235">
        <w:t>2. Remissinstansernas ståndpunkter</w:t>
      </w:r>
    </w:p>
    <w:p w:rsidR="00175CBD" w:rsidRPr="006E0235" w:rsidRDefault="003C7AC8" w:rsidP="00D24B88">
      <w:r w:rsidRPr="006E0235">
        <w:t>Förslaget har inte varit föremål för remissbehandling.</w:t>
      </w:r>
    </w:p>
    <w:p w:rsidR="00175CBD" w:rsidRPr="006E0235" w:rsidRDefault="00175CBD">
      <w:pPr>
        <w:pStyle w:val="RKrubrik"/>
      </w:pPr>
      <w:r w:rsidRPr="006E0235">
        <w:t>III Övrigt</w:t>
      </w:r>
    </w:p>
    <w:p w:rsidR="00175CBD" w:rsidRPr="006E0235" w:rsidRDefault="00175CBD">
      <w:pPr>
        <w:pStyle w:val="RKrubrik"/>
      </w:pPr>
      <w:r w:rsidRPr="006E0235">
        <w:t>1. Fortsatt behandling av ärendet</w:t>
      </w:r>
    </w:p>
    <w:p w:rsidR="00175CBD" w:rsidRPr="006E0235" w:rsidRDefault="00175CBD">
      <w:pPr>
        <w:pStyle w:val="RKnormal"/>
      </w:pPr>
    </w:p>
    <w:p w:rsidR="00175CBD" w:rsidRPr="006E0235" w:rsidRDefault="00175CBD">
      <w:pPr>
        <w:pStyle w:val="RKrubrik"/>
      </w:pPr>
      <w:r w:rsidRPr="006E0235">
        <w:t>2. Rättslig grund och beslutsförfarande</w:t>
      </w:r>
    </w:p>
    <w:p w:rsidR="00175CBD" w:rsidRPr="006E0235" w:rsidRDefault="00B120EE" w:rsidP="00B120EE">
      <w:r w:rsidRPr="006E0235">
        <w:t>Kommissionens meddelande förväntas ligga till grund för rådsslutsatser vid konkurrenskraftsrådets möte den 10 mars 2011. Rådsslutsatser beslutas enligt rådets praxis med enhällighet.</w:t>
      </w:r>
    </w:p>
    <w:p w:rsidR="00175CBD" w:rsidRPr="006E0235" w:rsidRDefault="00175CBD" w:rsidP="001B25DC">
      <w:pPr>
        <w:pStyle w:val="RKrubrik"/>
      </w:pPr>
      <w:r w:rsidRPr="006E0235">
        <w:t>3. Fackuttryck/termer</w:t>
      </w:r>
    </w:p>
    <w:p w:rsidR="001B25DC" w:rsidRPr="006E0235" w:rsidRDefault="001B25DC" w:rsidP="001B25DC">
      <w:pPr>
        <w:pStyle w:val="RKnormal"/>
      </w:pPr>
    </w:p>
    <w:sectPr w:rsidR="001B25DC" w:rsidRPr="006E023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7BD" w:rsidRPr="006E0235" w:rsidRDefault="006C37BD">
      <w:r w:rsidRPr="006E0235">
        <w:separator/>
      </w:r>
    </w:p>
  </w:endnote>
  <w:endnote w:type="continuationSeparator" w:id="0">
    <w:p w:rsidR="006C37BD" w:rsidRPr="006E0235" w:rsidRDefault="006C37BD">
      <w:r w:rsidRPr="006E02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7BD" w:rsidRPr="006E0235" w:rsidRDefault="006C37BD">
      <w:r w:rsidRPr="006E0235">
        <w:separator/>
      </w:r>
    </w:p>
  </w:footnote>
  <w:footnote w:type="continuationSeparator" w:id="0">
    <w:p w:rsidR="006C37BD" w:rsidRPr="006E0235" w:rsidRDefault="006C37BD">
      <w:r w:rsidRPr="006E02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6E0235" w:rsidRDefault="00F002A4">
    <w:pPr>
      <w:pStyle w:val="Sidhuvud"/>
      <w:framePr w:wrap="around" w:vAnchor="text" w:hAnchor="margin" w:xAlign="right" w:y="1"/>
      <w:rPr>
        <w:rStyle w:val="Sidnummer"/>
      </w:rPr>
    </w:pPr>
    <w:r w:rsidRPr="006E0235">
      <w:rPr>
        <w:rStyle w:val="Sidnummer"/>
      </w:rPr>
      <w:fldChar w:fldCharType="begin" w:fldLock="1"/>
    </w:r>
    <w:r w:rsidRPr="006E0235">
      <w:rPr>
        <w:rStyle w:val="Sidnummer"/>
      </w:rPr>
      <w:instrText xml:space="preserve">PAGE  </w:instrText>
    </w:r>
    <w:r w:rsidRPr="006E0235">
      <w:rPr>
        <w:rStyle w:val="Sidnummer"/>
      </w:rPr>
      <w:fldChar w:fldCharType="separate"/>
    </w:r>
    <w:r w:rsidR="00BA4863" w:rsidRPr="006E0235">
      <w:rPr>
        <w:rStyle w:val="Sidnummer"/>
      </w:rPr>
      <w:t>8</w:t>
    </w:r>
    <w:r w:rsidRPr="006E0235">
      <w:rPr>
        <w:rStyle w:val="Sidnummer"/>
      </w:rPr>
      <w:fldChar w:fldCharType="end"/>
    </w:r>
  </w:p>
  <w:p w:rsidR="00F002A4" w:rsidRPr="006E0235" w:rsidRDefault="00F002A4">
    <w:pPr>
      <w:pStyle w:val="Sidhuvud"/>
      <w:ind w:right="360"/>
    </w:pPr>
  </w:p>
  <w:p w:rsidR="00F002A4" w:rsidRPr="006E0235" w:rsidRDefault="00F002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6E0235" w:rsidRDefault="00F002A4">
    <w:pPr>
      <w:pStyle w:val="Sidhuvud"/>
      <w:framePr w:wrap="around" w:vAnchor="text" w:hAnchor="margin" w:xAlign="right" w:y="1"/>
      <w:rPr>
        <w:rStyle w:val="Sidnummer"/>
      </w:rPr>
    </w:pPr>
    <w:r w:rsidRPr="006E0235">
      <w:rPr>
        <w:rStyle w:val="Sidnummer"/>
      </w:rPr>
      <w:fldChar w:fldCharType="begin" w:fldLock="1"/>
    </w:r>
    <w:r w:rsidRPr="006E0235">
      <w:rPr>
        <w:rStyle w:val="Sidnummer"/>
      </w:rPr>
      <w:instrText xml:space="preserve">PAGE  </w:instrText>
    </w:r>
    <w:r w:rsidRPr="006E0235">
      <w:rPr>
        <w:rStyle w:val="Sidnummer"/>
      </w:rPr>
      <w:fldChar w:fldCharType="separate"/>
    </w:r>
    <w:r w:rsidR="00BA4863" w:rsidRPr="006E0235">
      <w:rPr>
        <w:rStyle w:val="Sidnummer"/>
      </w:rPr>
      <w:t>9</w:t>
    </w:r>
    <w:r w:rsidRPr="006E0235">
      <w:rPr>
        <w:rStyle w:val="Sidnummer"/>
      </w:rPr>
      <w:fldChar w:fldCharType="end"/>
    </w:r>
  </w:p>
  <w:p w:rsidR="00F002A4" w:rsidRPr="006E0235" w:rsidRDefault="00F002A4">
    <w:pPr>
      <w:pStyle w:val="Sidhuvud"/>
      <w:ind w:right="360"/>
    </w:pPr>
  </w:p>
  <w:p w:rsidR="00F002A4" w:rsidRPr="006E0235" w:rsidRDefault="00F002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6E0235" w:rsidRDefault="006E0235">
    <w:pPr>
      <w:framePr w:w="2948" w:h="1321" w:hRule="exact" w:wrap="notBeside" w:vAnchor="page" w:hAnchor="page" w:x="1362" w:y="653"/>
    </w:pPr>
    <w:r w:rsidRPr="006E023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02A4" w:rsidRPr="006E0235" w:rsidRDefault="00F002A4">
    <w:pPr>
      <w:pStyle w:val="RKrubrik"/>
      <w:keepNext w:val="0"/>
      <w:tabs>
        <w:tab w:val="clear" w:pos="1134"/>
        <w:tab w:val="clear" w:pos="2835"/>
      </w:tabs>
      <w:spacing w:before="0" w:after="0" w:line="320" w:lineRule="atLeast"/>
      <w:rPr>
        <w:bCs/>
      </w:rPr>
    </w:pPr>
  </w:p>
  <w:p w:rsidR="00F002A4" w:rsidRPr="006E0235" w:rsidRDefault="00F002A4">
    <w:pPr>
      <w:rPr>
        <w:rFonts w:ascii="TradeGothic" w:hAnsi="TradeGothic"/>
        <w:b/>
        <w:bCs/>
        <w:spacing w:val="12"/>
        <w:sz w:val="22"/>
      </w:rPr>
    </w:pPr>
  </w:p>
  <w:p w:rsidR="00F002A4" w:rsidRPr="006E0235" w:rsidRDefault="00F002A4">
    <w:pPr>
      <w:pStyle w:val="RKrubrik"/>
      <w:keepNext w:val="0"/>
      <w:tabs>
        <w:tab w:val="clear" w:pos="1134"/>
        <w:tab w:val="clear" w:pos="2835"/>
      </w:tabs>
      <w:spacing w:before="0" w:after="0" w:line="320" w:lineRule="atLeast"/>
      <w:rPr>
        <w:bCs/>
      </w:rPr>
    </w:pPr>
  </w:p>
  <w:p w:rsidR="00F002A4" w:rsidRPr="006E0235" w:rsidRDefault="00F002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127620379">
    <w:abstractNumId w:val="0"/>
  </w:num>
  <w:num w:numId="2" w16cid:durableId="135614126">
    <w:abstractNumId w:val="1"/>
  </w:num>
  <w:num w:numId="3" w16cid:durableId="1038318056">
    <w:abstractNumId w:val="3"/>
  </w:num>
  <w:num w:numId="4" w16cid:durableId="479033037">
    <w:abstractNumId w:val="4"/>
  </w:num>
  <w:num w:numId="5" w16cid:durableId="204285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B565A"/>
    <w:rsid w:val="000C7054"/>
    <w:rsid w:val="00162FAA"/>
    <w:rsid w:val="00175CBD"/>
    <w:rsid w:val="001A4250"/>
    <w:rsid w:val="001B25DC"/>
    <w:rsid w:val="001C07C1"/>
    <w:rsid w:val="001C3FA1"/>
    <w:rsid w:val="002508EA"/>
    <w:rsid w:val="00281B7A"/>
    <w:rsid w:val="002B374C"/>
    <w:rsid w:val="00335CBC"/>
    <w:rsid w:val="00361544"/>
    <w:rsid w:val="003A4529"/>
    <w:rsid w:val="003C7AC8"/>
    <w:rsid w:val="003D0EF6"/>
    <w:rsid w:val="00442F88"/>
    <w:rsid w:val="00500172"/>
    <w:rsid w:val="00513A36"/>
    <w:rsid w:val="00524EEE"/>
    <w:rsid w:val="00551F0F"/>
    <w:rsid w:val="00563744"/>
    <w:rsid w:val="0058024A"/>
    <w:rsid w:val="005F6E50"/>
    <w:rsid w:val="006A0E38"/>
    <w:rsid w:val="006A41E3"/>
    <w:rsid w:val="006B4B9C"/>
    <w:rsid w:val="006B7176"/>
    <w:rsid w:val="006C007B"/>
    <w:rsid w:val="006C37BD"/>
    <w:rsid w:val="006E0235"/>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A35DEE"/>
    <w:rsid w:val="00A94688"/>
    <w:rsid w:val="00AB5062"/>
    <w:rsid w:val="00B120EE"/>
    <w:rsid w:val="00B13491"/>
    <w:rsid w:val="00B65A16"/>
    <w:rsid w:val="00B77FCE"/>
    <w:rsid w:val="00B81B7C"/>
    <w:rsid w:val="00BA4863"/>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002A4"/>
    <w:rsid w:val="00F26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255B91-D6D2-42E6-ADA4-97698263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2897</Words>
  <Characters>19329</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2011-02-26T12:59:00Z</cp:lastPrinted>
  <dcterms:created xsi:type="dcterms:W3CDTF">2025-12-17T18:21:00Z</dcterms:created>
  <dcterms:modified xsi:type="dcterms:W3CDTF">2025-12-17T18:21:00Z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