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5AC8" w:rsidRPr="0047213F" w:rsidRDefault="00CD5AC8">
      <w:pPr>
        <w:pStyle w:val="Hemstlrubrik"/>
        <w:shd w:val="clear" w:color="000000" w:fill="auto"/>
      </w:pPr>
      <w:r w:rsidRPr="0047213F">
        <w:t>Förslag till riksdagsbeslut</w:t>
      </w:r>
    </w:p>
    <w:p w:rsidR="00CD5AC8" w:rsidRPr="0047213F" w:rsidRDefault="00CD5AC8">
      <w:pPr>
        <w:pStyle w:val="Hemstlatt"/>
        <w:numPr>
          <w:ilvl w:val="0"/>
          <w:numId w:val="1"/>
        </w:numPr>
        <w:shd w:val="clear" w:color="000000" w:fill="auto"/>
      </w:pPr>
      <w:r w:rsidRPr="0047213F">
        <w:t>Riksdagen anvisar med följande ändringar i fö</w:t>
      </w:r>
      <w:r w:rsidRPr="0047213F">
        <w:t>r</w:t>
      </w:r>
      <w:r w:rsidRPr="0047213F">
        <w:t>hållande till regeringens förslag anslagen under utgiftsområde 2 Sa</w:t>
      </w:r>
      <w:r w:rsidRPr="0047213F">
        <w:t>m</w:t>
      </w:r>
      <w:r w:rsidRPr="0047213F">
        <w:t>hällsekonomi och finansförvaltning enligt uppställning:</w:t>
      </w:r>
    </w:p>
    <w:tbl>
      <w:tblPr>
        <w:tblW w:w="6000" w:type="dxa"/>
        <w:tblInd w:w="70" w:type="dxa"/>
        <w:tblLayout w:type="fixed"/>
        <w:tblCellMar>
          <w:left w:w="70" w:type="dxa"/>
          <w:right w:w="70" w:type="dxa"/>
        </w:tblCellMar>
        <w:tblLook w:val="0000" w:firstRow="0" w:lastRow="0" w:firstColumn="0" w:lastColumn="0" w:noHBand="0" w:noVBand="0"/>
      </w:tblPr>
      <w:tblGrid>
        <w:gridCol w:w="480"/>
        <w:gridCol w:w="710"/>
        <w:gridCol w:w="1543"/>
        <w:gridCol w:w="27"/>
        <w:gridCol w:w="1080"/>
        <w:gridCol w:w="1080"/>
        <w:gridCol w:w="1080"/>
      </w:tblGrid>
      <w:tr w:rsidR="00000000" w:rsidRPr="0047213F">
        <w:trPr>
          <w:trHeight w:val="284"/>
        </w:trPr>
        <w:tc>
          <w:tcPr>
            <w:tcW w:w="1190" w:type="dxa"/>
            <w:gridSpan w:val="2"/>
            <w:tcBorders>
              <w:top w:val="single" w:sz="4" w:space="0" w:color="auto"/>
              <w:bottom w:val="single" w:sz="4" w:space="0" w:color="auto"/>
            </w:tcBorders>
            <w:vAlign w:val="bottom"/>
          </w:tcPr>
          <w:p w:rsidR="00CD5AC8" w:rsidRPr="0047213F" w:rsidRDefault="00CD5AC8">
            <w:pPr>
              <w:shd w:val="clear" w:color="000000" w:fill="auto"/>
              <w:spacing w:before="60" w:line="200" w:lineRule="exact"/>
              <w:rPr>
                <w:b/>
                <w:bCs/>
                <w:sz w:val="16"/>
                <w:szCs w:val="16"/>
              </w:rPr>
            </w:pPr>
            <w:r w:rsidRPr="0047213F">
              <w:rPr>
                <w:b/>
                <w:bCs/>
                <w:sz w:val="16"/>
                <w:szCs w:val="16"/>
              </w:rPr>
              <w:t>Anslag (nr)</w:t>
            </w:r>
          </w:p>
        </w:tc>
        <w:tc>
          <w:tcPr>
            <w:tcW w:w="1543" w:type="dxa"/>
            <w:tcBorders>
              <w:top w:val="single" w:sz="4" w:space="0" w:color="auto"/>
              <w:bottom w:val="single" w:sz="4" w:space="0" w:color="auto"/>
            </w:tcBorders>
            <w:vAlign w:val="bottom"/>
          </w:tcPr>
          <w:p w:rsidR="00CD5AC8" w:rsidRPr="0047213F" w:rsidRDefault="00CD5AC8">
            <w:pPr>
              <w:shd w:val="clear" w:color="000000" w:fill="auto"/>
              <w:spacing w:before="60" w:line="200" w:lineRule="exact"/>
              <w:rPr>
                <w:b/>
                <w:bCs/>
                <w:sz w:val="16"/>
                <w:szCs w:val="16"/>
              </w:rPr>
            </w:pPr>
            <w:r w:rsidRPr="0047213F">
              <w:rPr>
                <w:b/>
                <w:bCs/>
                <w:sz w:val="16"/>
                <w:szCs w:val="16"/>
              </w:rPr>
              <w:t> </w:t>
            </w:r>
          </w:p>
        </w:tc>
        <w:tc>
          <w:tcPr>
            <w:tcW w:w="3267" w:type="dxa"/>
            <w:gridSpan w:val="4"/>
            <w:tcBorders>
              <w:top w:val="single" w:sz="4" w:space="0" w:color="auto"/>
              <w:bottom w:val="single" w:sz="4" w:space="0" w:color="auto"/>
            </w:tcBorders>
            <w:vAlign w:val="bottom"/>
          </w:tcPr>
          <w:p w:rsidR="00CD5AC8" w:rsidRPr="0047213F" w:rsidRDefault="00CD5AC8">
            <w:pPr>
              <w:shd w:val="clear" w:color="000000" w:fill="auto"/>
              <w:spacing w:before="60" w:line="200" w:lineRule="exact"/>
              <w:jc w:val="right"/>
              <w:rPr>
                <w:b/>
                <w:bCs/>
                <w:sz w:val="16"/>
                <w:szCs w:val="16"/>
              </w:rPr>
            </w:pPr>
            <w:r w:rsidRPr="0047213F">
              <w:rPr>
                <w:b/>
                <w:bCs/>
                <w:sz w:val="16"/>
                <w:szCs w:val="16"/>
              </w:rPr>
              <w:t>Anslagsförändring (miljoner kronor)</w:t>
            </w:r>
          </w:p>
        </w:tc>
      </w:tr>
      <w:tr w:rsidR="00000000" w:rsidRPr="0047213F">
        <w:trPr>
          <w:trHeight w:val="285"/>
        </w:trPr>
        <w:tc>
          <w:tcPr>
            <w:tcW w:w="1190" w:type="dxa"/>
            <w:gridSpan w:val="2"/>
            <w:tcBorders>
              <w:top w:val="single" w:sz="4" w:space="0" w:color="auto"/>
            </w:tcBorders>
            <w:vAlign w:val="bottom"/>
          </w:tcPr>
          <w:p w:rsidR="00CD5AC8" w:rsidRPr="0047213F" w:rsidRDefault="00CD5AC8">
            <w:pPr>
              <w:shd w:val="clear" w:color="000000" w:fill="auto"/>
              <w:spacing w:before="60" w:line="200" w:lineRule="exact"/>
              <w:rPr>
                <w:b/>
                <w:bCs/>
                <w:sz w:val="16"/>
                <w:szCs w:val="16"/>
              </w:rPr>
            </w:pPr>
            <w:r w:rsidRPr="0047213F">
              <w:rPr>
                <w:b/>
                <w:bCs/>
                <w:sz w:val="16"/>
                <w:szCs w:val="16"/>
              </w:rPr>
              <w:t> </w:t>
            </w:r>
          </w:p>
        </w:tc>
        <w:tc>
          <w:tcPr>
            <w:tcW w:w="1543" w:type="dxa"/>
            <w:tcBorders>
              <w:top w:val="single" w:sz="4" w:space="0" w:color="auto"/>
            </w:tcBorders>
            <w:vAlign w:val="bottom"/>
          </w:tcPr>
          <w:p w:rsidR="00CD5AC8" w:rsidRPr="0047213F" w:rsidRDefault="00CD5AC8">
            <w:pPr>
              <w:shd w:val="clear" w:color="000000" w:fill="auto"/>
              <w:spacing w:before="60" w:line="200" w:lineRule="exact"/>
              <w:rPr>
                <w:b/>
                <w:bCs/>
                <w:sz w:val="16"/>
                <w:szCs w:val="16"/>
              </w:rPr>
            </w:pPr>
          </w:p>
        </w:tc>
        <w:tc>
          <w:tcPr>
            <w:tcW w:w="1107" w:type="dxa"/>
            <w:gridSpan w:val="2"/>
            <w:tcBorders>
              <w:top w:val="single" w:sz="4" w:space="0" w:color="auto"/>
            </w:tcBorders>
            <w:vAlign w:val="bottom"/>
          </w:tcPr>
          <w:p w:rsidR="00CD5AC8" w:rsidRPr="0047213F" w:rsidRDefault="00CD5AC8">
            <w:pPr>
              <w:shd w:val="clear" w:color="000000" w:fill="auto"/>
              <w:spacing w:before="60" w:line="200" w:lineRule="exact"/>
              <w:jc w:val="right"/>
              <w:rPr>
                <w:b/>
                <w:bCs/>
                <w:sz w:val="16"/>
                <w:szCs w:val="16"/>
              </w:rPr>
            </w:pPr>
            <w:r w:rsidRPr="0047213F">
              <w:rPr>
                <w:b/>
                <w:bCs/>
                <w:sz w:val="16"/>
                <w:szCs w:val="16"/>
              </w:rPr>
              <w:t>2008</w:t>
            </w:r>
          </w:p>
        </w:tc>
        <w:tc>
          <w:tcPr>
            <w:tcW w:w="1080" w:type="dxa"/>
            <w:tcBorders>
              <w:top w:val="single" w:sz="4" w:space="0" w:color="auto"/>
            </w:tcBorders>
            <w:noWrap/>
            <w:vAlign w:val="bottom"/>
          </w:tcPr>
          <w:p w:rsidR="00CD5AC8" w:rsidRPr="0047213F" w:rsidRDefault="00CD5AC8">
            <w:pPr>
              <w:shd w:val="clear" w:color="000000" w:fill="auto"/>
              <w:spacing w:before="60" w:line="200" w:lineRule="exact"/>
              <w:jc w:val="right"/>
              <w:rPr>
                <w:b/>
                <w:bCs/>
                <w:sz w:val="16"/>
                <w:szCs w:val="16"/>
              </w:rPr>
            </w:pPr>
            <w:r w:rsidRPr="0047213F">
              <w:rPr>
                <w:b/>
                <w:bCs/>
                <w:sz w:val="16"/>
                <w:szCs w:val="16"/>
              </w:rPr>
              <w:t>2009</w:t>
            </w:r>
          </w:p>
        </w:tc>
        <w:tc>
          <w:tcPr>
            <w:tcW w:w="1080" w:type="dxa"/>
            <w:tcBorders>
              <w:top w:val="single" w:sz="4" w:space="0" w:color="auto"/>
            </w:tcBorders>
            <w:noWrap/>
            <w:vAlign w:val="bottom"/>
          </w:tcPr>
          <w:p w:rsidR="00CD5AC8" w:rsidRPr="0047213F" w:rsidRDefault="00CD5AC8">
            <w:pPr>
              <w:shd w:val="clear" w:color="000000" w:fill="auto"/>
              <w:spacing w:before="60" w:line="200" w:lineRule="exact"/>
              <w:jc w:val="right"/>
              <w:rPr>
                <w:b/>
                <w:bCs/>
                <w:sz w:val="16"/>
                <w:szCs w:val="16"/>
              </w:rPr>
            </w:pPr>
            <w:r w:rsidRPr="0047213F">
              <w:rPr>
                <w:b/>
                <w:bCs/>
                <w:sz w:val="16"/>
                <w:szCs w:val="16"/>
              </w:rPr>
              <w:t>2010</w:t>
            </w:r>
          </w:p>
        </w:tc>
      </w:tr>
      <w:tr w:rsidR="00000000" w:rsidRPr="0047213F">
        <w:trPr>
          <w:trHeight w:val="302"/>
        </w:trPr>
        <w:tc>
          <w:tcPr>
            <w:tcW w:w="2733" w:type="dxa"/>
            <w:gridSpan w:val="3"/>
            <w:tcBorders>
              <w:bottom w:val="single" w:sz="4" w:space="0" w:color="auto"/>
            </w:tcBorders>
            <w:noWrap/>
            <w:vAlign w:val="bottom"/>
          </w:tcPr>
          <w:p w:rsidR="00CD5AC8" w:rsidRPr="0047213F" w:rsidRDefault="00CD5AC8">
            <w:pPr>
              <w:shd w:val="clear" w:color="000000" w:fill="auto"/>
              <w:spacing w:before="60" w:line="200" w:lineRule="exact"/>
              <w:rPr>
                <w:b/>
                <w:bCs/>
                <w:sz w:val="16"/>
                <w:szCs w:val="16"/>
              </w:rPr>
            </w:pPr>
            <w:r w:rsidRPr="0047213F">
              <w:rPr>
                <w:b/>
                <w:bCs/>
                <w:sz w:val="16"/>
                <w:szCs w:val="16"/>
              </w:rPr>
              <w:t>Summa för utgiftsområdet</w:t>
            </w:r>
          </w:p>
        </w:tc>
        <w:tc>
          <w:tcPr>
            <w:tcW w:w="1107" w:type="dxa"/>
            <w:gridSpan w:val="2"/>
            <w:tcBorders>
              <w:bottom w:val="single" w:sz="4" w:space="0" w:color="auto"/>
            </w:tcBorders>
            <w:noWrap/>
            <w:vAlign w:val="bottom"/>
          </w:tcPr>
          <w:p w:rsidR="00CD5AC8" w:rsidRPr="0047213F" w:rsidRDefault="00CD5AC8">
            <w:pPr>
              <w:shd w:val="clear" w:color="000000" w:fill="auto"/>
              <w:spacing w:before="60" w:line="200" w:lineRule="exact"/>
              <w:jc w:val="right"/>
              <w:rPr>
                <w:b/>
                <w:bCs/>
                <w:sz w:val="16"/>
                <w:szCs w:val="16"/>
              </w:rPr>
            </w:pPr>
            <w:r w:rsidRPr="0047213F">
              <w:rPr>
                <w:b/>
                <w:bCs/>
                <w:sz w:val="16"/>
                <w:szCs w:val="16"/>
              </w:rPr>
              <w:t>170</w:t>
            </w:r>
          </w:p>
        </w:tc>
        <w:tc>
          <w:tcPr>
            <w:tcW w:w="1080" w:type="dxa"/>
            <w:tcBorders>
              <w:bottom w:val="single" w:sz="4" w:space="0" w:color="auto"/>
            </w:tcBorders>
            <w:noWrap/>
            <w:vAlign w:val="bottom"/>
          </w:tcPr>
          <w:p w:rsidR="00CD5AC8" w:rsidRPr="0047213F" w:rsidRDefault="00CD5AC8">
            <w:pPr>
              <w:shd w:val="clear" w:color="000000" w:fill="auto"/>
              <w:spacing w:before="60" w:line="200" w:lineRule="exact"/>
              <w:jc w:val="right"/>
              <w:rPr>
                <w:b/>
                <w:bCs/>
                <w:sz w:val="16"/>
                <w:szCs w:val="16"/>
              </w:rPr>
            </w:pPr>
            <w:r w:rsidRPr="0047213F">
              <w:rPr>
                <w:b/>
                <w:bCs/>
                <w:sz w:val="16"/>
                <w:szCs w:val="16"/>
              </w:rPr>
              <w:t>340</w:t>
            </w:r>
          </w:p>
        </w:tc>
        <w:tc>
          <w:tcPr>
            <w:tcW w:w="1080" w:type="dxa"/>
            <w:tcBorders>
              <w:bottom w:val="single" w:sz="4" w:space="0" w:color="auto"/>
            </w:tcBorders>
            <w:noWrap/>
            <w:vAlign w:val="bottom"/>
          </w:tcPr>
          <w:p w:rsidR="00CD5AC8" w:rsidRPr="0047213F" w:rsidRDefault="00CD5AC8">
            <w:pPr>
              <w:shd w:val="clear" w:color="000000" w:fill="auto"/>
              <w:spacing w:before="60" w:line="200" w:lineRule="exact"/>
              <w:jc w:val="right"/>
              <w:rPr>
                <w:b/>
                <w:bCs/>
                <w:sz w:val="16"/>
                <w:szCs w:val="16"/>
              </w:rPr>
            </w:pPr>
            <w:r w:rsidRPr="0047213F">
              <w:rPr>
                <w:b/>
                <w:bCs/>
                <w:sz w:val="16"/>
                <w:szCs w:val="16"/>
              </w:rPr>
              <w:t>500</w:t>
            </w:r>
          </w:p>
        </w:tc>
      </w:tr>
      <w:tr w:rsidR="00000000" w:rsidRPr="0047213F">
        <w:trPr>
          <w:trHeight w:val="302"/>
        </w:trPr>
        <w:tc>
          <w:tcPr>
            <w:tcW w:w="480" w:type="dxa"/>
            <w:tcBorders>
              <w:bottom w:val="single" w:sz="4" w:space="0" w:color="auto"/>
            </w:tcBorders>
            <w:noWrap/>
            <w:vAlign w:val="bottom"/>
          </w:tcPr>
          <w:p w:rsidR="00CD5AC8" w:rsidRPr="0047213F" w:rsidRDefault="00CD5AC8">
            <w:pPr>
              <w:shd w:val="clear" w:color="000000" w:fill="auto"/>
              <w:spacing w:before="60" w:line="200" w:lineRule="exact"/>
              <w:rPr>
                <w:b/>
                <w:bCs/>
                <w:sz w:val="16"/>
                <w:szCs w:val="16"/>
              </w:rPr>
            </w:pPr>
            <w:r w:rsidRPr="0047213F">
              <w:rPr>
                <w:sz w:val="16"/>
                <w:szCs w:val="16"/>
              </w:rPr>
              <w:t>1:9</w:t>
            </w:r>
          </w:p>
        </w:tc>
        <w:tc>
          <w:tcPr>
            <w:tcW w:w="2280" w:type="dxa"/>
            <w:gridSpan w:val="3"/>
            <w:tcBorders>
              <w:bottom w:val="single" w:sz="4" w:space="0" w:color="auto"/>
            </w:tcBorders>
            <w:vAlign w:val="bottom"/>
          </w:tcPr>
          <w:p w:rsidR="00CD5AC8" w:rsidRPr="0047213F" w:rsidRDefault="00CD5AC8">
            <w:pPr>
              <w:shd w:val="clear" w:color="000000" w:fill="auto"/>
              <w:spacing w:before="60" w:line="200" w:lineRule="exact"/>
              <w:rPr>
                <w:b/>
                <w:bCs/>
                <w:sz w:val="16"/>
                <w:szCs w:val="16"/>
              </w:rPr>
            </w:pPr>
            <w:r w:rsidRPr="0047213F">
              <w:rPr>
                <w:sz w:val="16"/>
                <w:szCs w:val="16"/>
              </w:rPr>
              <w:t>Arbetsgivarpolitiska frågor</w:t>
            </w:r>
          </w:p>
        </w:tc>
        <w:tc>
          <w:tcPr>
            <w:tcW w:w="1080" w:type="dxa"/>
            <w:tcBorders>
              <w:bottom w:val="single" w:sz="4" w:space="0" w:color="auto"/>
            </w:tcBorders>
            <w:noWrap/>
            <w:vAlign w:val="bottom"/>
          </w:tcPr>
          <w:p w:rsidR="00CD5AC8" w:rsidRPr="0047213F" w:rsidRDefault="00CD5AC8">
            <w:pPr>
              <w:shd w:val="clear" w:color="000000" w:fill="auto"/>
              <w:spacing w:before="60" w:line="200" w:lineRule="exact"/>
              <w:jc w:val="right"/>
              <w:rPr>
                <w:sz w:val="16"/>
                <w:szCs w:val="16"/>
              </w:rPr>
            </w:pPr>
            <w:r w:rsidRPr="0047213F">
              <w:rPr>
                <w:sz w:val="16"/>
                <w:szCs w:val="16"/>
              </w:rPr>
              <w:t>170</w:t>
            </w:r>
          </w:p>
        </w:tc>
        <w:tc>
          <w:tcPr>
            <w:tcW w:w="1080" w:type="dxa"/>
            <w:tcBorders>
              <w:bottom w:val="single" w:sz="4" w:space="0" w:color="auto"/>
            </w:tcBorders>
            <w:noWrap/>
            <w:vAlign w:val="bottom"/>
          </w:tcPr>
          <w:p w:rsidR="00CD5AC8" w:rsidRPr="0047213F" w:rsidRDefault="00CD5AC8">
            <w:pPr>
              <w:shd w:val="clear" w:color="000000" w:fill="auto"/>
              <w:spacing w:before="60" w:line="200" w:lineRule="exact"/>
              <w:jc w:val="right"/>
              <w:rPr>
                <w:sz w:val="16"/>
                <w:szCs w:val="16"/>
              </w:rPr>
            </w:pPr>
            <w:r w:rsidRPr="0047213F">
              <w:rPr>
                <w:sz w:val="16"/>
                <w:szCs w:val="16"/>
              </w:rPr>
              <w:t>340</w:t>
            </w:r>
          </w:p>
        </w:tc>
        <w:tc>
          <w:tcPr>
            <w:tcW w:w="1080" w:type="dxa"/>
            <w:tcBorders>
              <w:bottom w:val="single" w:sz="4" w:space="0" w:color="auto"/>
            </w:tcBorders>
            <w:noWrap/>
            <w:vAlign w:val="bottom"/>
          </w:tcPr>
          <w:p w:rsidR="00CD5AC8" w:rsidRPr="0047213F" w:rsidRDefault="00CD5AC8">
            <w:pPr>
              <w:shd w:val="clear" w:color="000000" w:fill="auto"/>
              <w:spacing w:before="60" w:line="200" w:lineRule="exact"/>
              <w:jc w:val="right"/>
              <w:rPr>
                <w:sz w:val="16"/>
                <w:szCs w:val="16"/>
              </w:rPr>
            </w:pPr>
            <w:r w:rsidRPr="0047213F">
              <w:rPr>
                <w:sz w:val="16"/>
                <w:szCs w:val="16"/>
              </w:rPr>
              <w:t>500</w:t>
            </w:r>
          </w:p>
        </w:tc>
      </w:tr>
    </w:tbl>
    <w:p w:rsidR="00CD5AC8" w:rsidRPr="0047213F" w:rsidRDefault="00CD5AC8">
      <w:pPr>
        <w:pStyle w:val="Hemstlatt"/>
        <w:numPr>
          <w:ilvl w:val="0"/>
          <w:numId w:val="1"/>
        </w:numPr>
        <w:shd w:val="clear" w:color="000000" w:fill="auto"/>
      </w:pPr>
      <w:r w:rsidRPr="0047213F">
        <w:t>Riksdagen anvisar med följande ändringar i förhållande till regeringens förslag anslagen under utgiftsområde 25 Allmänna bidrag till kommuner enligt uppställning:</w:t>
      </w:r>
    </w:p>
    <w:tbl>
      <w:tblPr>
        <w:tblW w:w="6010" w:type="dxa"/>
        <w:tblInd w:w="70" w:type="dxa"/>
        <w:tblLayout w:type="fixed"/>
        <w:tblCellMar>
          <w:left w:w="70" w:type="dxa"/>
          <w:right w:w="70" w:type="dxa"/>
        </w:tblCellMar>
        <w:tblLook w:val="0000" w:firstRow="0" w:lastRow="0" w:firstColumn="0" w:lastColumn="0" w:noHBand="0" w:noVBand="0"/>
      </w:tblPr>
      <w:tblGrid>
        <w:gridCol w:w="436"/>
        <w:gridCol w:w="2350"/>
        <w:gridCol w:w="1052"/>
        <w:gridCol w:w="1086"/>
        <w:gridCol w:w="1086"/>
      </w:tblGrid>
      <w:tr w:rsidR="00000000" w:rsidRPr="0047213F">
        <w:trPr>
          <w:trHeight w:val="284"/>
        </w:trPr>
        <w:tc>
          <w:tcPr>
            <w:tcW w:w="2786" w:type="dxa"/>
            <w:gridSpan w:val="2"/>
            <w:tcBorders>
              <w:top w:val="single" w:sz="4" w:space="0" w:color="auto"/>
              <w:bottom w:val="single" w:sz="4" w:space="0" w:color="auto"/>
            </w:tcBorders>
            <w:vAlign w:val="bottom"/>
          </w:tcPr>
          <w:p w:rsidR="00CD5AC8" w:rsidRPr="0047213F" w:rsidRDefault="00CD5AC8">
            <w:pPr>
              <w:shd w:val="clear" w:color="000000" w:fill="auto"/>
              <w:spacing w:before="60" w:line="200" w:lineRule="exact"/>
              <w:ind w:right="-474"/>
              <w:rPr>
                <w:b/>
                <w:bCs/>
                <w:sz w:val="16"/>
                <w:szCs w:val="16"/>
              </w:rPr>
            </w:pPr>
            <w:r w:rsidRPr="0047213F">
              <w:rPr>
                <w:b/>
                <w:bCs/>
                <w:sz w:val="16"/>
                <w:szCs w:val="16"/>
              </w:rPr>
              <w:t>Anslag (nr) </w:t>
            </w:r>
          </w:p>
        </w:tc>
        <w:tc>
          <w:tcPr>
            <w:tcW w:w="3224" w:type="dxa"/>
            <w:gridSpan w:val="3"/>
            <w:tcBorders>
              <w:top w:val="single" w:sz="4" w:space="0" w:color="auto"/>
              <w:bottom w:val="single" w:sz="4" w:space="0" w:color="auto"/>
            </w:tcBorders>
            <w:vAlign w:val="bottom"/>
          </w:tcPr>
          <w:p w:rsidR="00CD5AC8" w:rsidRPr="0047213F" w:rsidRDefault="00CD5AC8">
            <w:pPr>
              <w:shd w:val="clear" w:color="000000" w:fill="auto"/>
              <w:spacing w:before="60" w:line="200" w:lineRule="exact"/>
              <w:jc w:val="right"/>
              <w:rPr>
                <w:b/>
                <w:bCs/>
                <w:sz w:val="16"/>
                <w:szCs w:val="16"/>
              </w:rPr>
            </w:pPr>
            <w:r w:rsidRPr="0047213F">
              <w:rPr>
                <w:b/>
                <w:bCs/>
                <w:sz w:val="16"/>
                <w:szCs w:val="16"/>
              </w:rPr>
              <w:t>Anslagsförändring (miljoner kronor)</w:t>
            </w:r>
          </w:p>
        </w:tc>
      </w:tr>
      <w:tr w:rsidR="00000000" w:rsidRPr="0047213F">
        <w:trPr>
          <w:trHeight w:val="288"/>
        </w:trPr>
        <w:tc>
          <w:tcPr>
            <w:tcW w:w="436" w:type="dxa"/>
            <w:tcBorders>
              <w:top w:val="single" w:sz="4" w:space="0" w:color="auto"/>
            </w:tcBorders>
            <w:vAlign w:val="bottom"/>
          </w:tcPr>
          <w:p w:rsidR="00CD5AC8" w:rsidRPr="0047213F" w:rsidRDefault="00CD5AC8">
            <w:pPr>
              <w:shd w:val="clear" w:color="000000" w:fill="auto"/>
              <w:spacing w:before="60" w:line="200" w:lineRule="exact"/>
              <w:rPr>
                <w:b/>
                <w:bCs/>
                <w:sz w:val="16"/>
                <w:szCs w:val="16"/>
              </w:rPr>
            </w:pPr>
            <w:r w:rsidRPr="0047213F">
              <w:rPr>
                <w:b/>
                <w:bCs/>
                <w:sz w:val="16"/>
                <w:szCs w:val="16"/>
              </w:rPr>
              <w:t> </w:t>
            </w:r>
          </w:p>
        </w:tc>
        <w:tc>
          <w:tcPr>
            <w:tcW w:w="2350" w:type="dxa"/>
            <w:tcBorders>
              <w:top w:val="single" w:sz="4" w:space="0" w:color="auto"/>
            </w:tcBorders>
            <w:vAlign w:val="bottom"/>
          </w:tcPr>
          <w:p w:rsidR="00CD5AC8" w:rsidRPr="0047213F" w:rsidRDefault="00CD5AC8">
            <w:pPr>
              <w:shd w:val="clear" w:color="000000" w:fill="auto"/>
              <w:spacing w:before="60" w:line="200" w:lineRule="exact"/>
              <w:rPr>
                <w:b/>
                <w:bCs/>
                <w:sz w:val="16"/>
                <w:szCs w:val="16"/>
              </w:rPr>
            </w:pPr>
          </w:p>
        </w:tc>
        <w:tc>
          <w:tcPr>
            <w:tcW w:w="1052" w:type="dxa"/>
            <w:tcBorders>
              <w:top w:val="single" w:sz="4" w:space="0" w:color="auto"/>
            </w:tcBorders>
            <w:vAlign w:val="bottom"/>
          </w:tcPr>
          <w:p w:rsidR="00CD5AC8" w:rsidRPr="0047213F" w:rsidRDefault="00CD5AC8">
            <w:pPr>
              <w:shd w:val="clear" w:color="000000" w:fill="auto"/>
              <w:spacing w:before="60" w:line="200" w:lineRule="exact"/>
              <w:jc w:val="right"/>
              <w:rPr>
                <w:b/>
                <w:bCs/>
                <w:sz w:val="16"/>
                <w:szCs w:val="16"/>
              </w:rPr>
            </w:pPr>
            <w:r w:rsidRPr="0047213F">
              <w:rPr>
                <w:b/>
                <w:bCs/>
                <w:sz w:val="16"/>
                <w:szCs w:val="16"/>
              </w:rPr>
              <w:t>2008</w:t>
            </w:r>
          </w:p>
        </w:tc>
        <w:tc>
          <w:tcPr>
            <w:tcW w:w="1086" w:type="dxa"/>
            <w:tcBorders>
              <w:top w:val="single" w:sz="4" w:space="0" w:color="auto"/>
            </w:tcBorders>
            <w:noWrap/>
            <w:vAlign w:val="bottom"/>
          </w:tcPr>
          <w:p w:rsidR="00CD5AC8" w:rsidRPr="0047213F" w:rsidRDefault="00CD5AC8">
            <w:pPr>
              <w:shd w:val="clear" w:color="000000" w:fill="auto"/>
              <w:spacing w:before="60" w:line="200" w:lineRule="exact"/>
              <w:jc w:val="right"/>
              <w:rPr>
                <w:b/>
                <w:bCs/>
                <w:sz w:val="16"/>
                <w:szCs w:val="16"/>
              </w:rPr>
            </w:pPr>
            <w:r w:rsidRPr="0047213F">
              <w:rPr>
                <w:b/>
                <w:bCs/>
                <w:sz w:val="16"/>
                <w:szCs w:val="16"/>
              </w:rPr>
              <w:t>2009</w:t>
            </w:r>
          </w:p>
        </w:tc>
        <w:tc>
          <w:tcPr>
            <w:tcW w:w="1086" w:type="dxa"/>
            <w:tcBorders>
              <w:top w:val="single" w:sz="4" w:space="0" w:color="auto"/>
            </w:tcBorders>
            <w:noWrap/>
            <w:vAlign w:val="bottom"/>
          </w:tcPr>
          <w:p w:rsidR="00CD5AC8" w:rsidRPr="0047213F" w:rsidRDefault="00CD5AC8">
            <w:pPr>
              <w:shd w:val="clear" w:color="000000" w:fill="auto"/>
              <w:spacing w:before="60" w:line="200" w:lineRule="exact"/>
              <w:jc w:val="right"/>
              <w:rPr>
                <w:b/>
                <w:bCs/>
                <w:sz w:val="16"/>
                <w:szCs w:val="16"/>
              </w:rPr>
            </w:pPr>
            <w:r w:rsidRPr="0047213F">
              <w:rPr>
                <w:b/>
                <w:bCs/>
                <w:sz w:val="16"/>
                <w:szCs w:val="16"/>
              </w:rPr>
              <w:t>2010</w:t>
            </w:r>
          </w:p>
        </w:tc>
      </w:tr>
      <w:tr w:rsidR="00000000" w:rsidRPr="0047213F">
        <w:trPr>
          <w:trHeight w:val="305"/>
        </w:trPr>
        <w:tc>
          <w:tcPr>
            <w:tcW w:w="2786" w:type="dxa"/>
            <w:gridSpan w:val="2"/>
            <w:noWrap/>
            <w:vAlign w:val="bottom"/>
          </w:tcPr>
          <w:p w:rsidR="00CD5AC8" w:rsidRPr="0047213F" w:rsidRDefault="00CD5AC8">
            <w:pPr>
              <w:shd w:val="clear" w:color="000000" w:fill="auto"/>
              <w:spacing w:before="60" w:line="200" w:lineRule="exact"/>
              <w:rPr>
                <w:b/>
                <w:bCs/>
                <w:sz w:val="16"/>
                <w:szCs w:val="16"/>
              </w:rPr>
            </w:pPr>
            <w:r w:rsidRPr="0047213F">
              <w:rPr>
                <w:b/>
                <w:bCs/>
                <w:sz w:val="16"/>
                <w:szCs w:val="16"/>
              </w:rPr>
              <w:t>Summa för utgiftsområdet</w:t>
            </w:r>
          </w:p>
        </w:tc>
        <w:tc>
          <w:tcPr>
            <w:tcW w:w="1052" w:type="dxa"/>
            <w:noWrap/>
            <w:vAlign w:val="bottom"/>
          </w:tcPr>
          <w:p w:rsidR="00CD5AC8" w:rsidRPr="0047213F" w:rsidRDefault="00CD5AC8">
            <w:pPr>
              <w:shd w:val="clear" w:color="000000" w:fill="auto"/>
              <w:spacing w:before="60" w:line="200" w:lineRule="exact"/>
              <w:jc w:val="right"/>
              <w:rPr>
                <w:b/>
                <w:bCs/>
                <w:sz w:val="16"/>
                <w:szCs w:val="16"/>
              </w:rPr>
            </w:pPr>
            <w:r w:rsidRPr="0047213F">
              <w:rPr>
                <w:b/>
                <w:bCs/>
                <w:sz w:val="16"/>
                <w:szCs w:val="16"/>
              </w:rPr>
              <w:t>16 485</w:t>
            </w:r>
          </w:p>
        </w:tc>
        <w:tc>
          <w:tcPr>
            <w:tcW w:w="1086" w:type="dxa"/>
            <w:noWrap/>
            <w:vAlign w:val="bottom"/>
          </w:tcPr>
          <w:p w:rsidR="00CD5AC8" w:rsidRPr="0047213F" w:rsidRDefault="00CD5AC8">
            <w:pPr>
              <w:shd w:val="clear" w:color="000000" w:fill="auto"/>
              <w:spacing w:before="60" w:line="200" w:lineRule="exact"/>
              <w:jc w:val="right"/>
              <w:rPr>
                <w:b/>
                <w:bCs/>
                <w:sz w:val="16"/>
                <w:szCs w:val="16"/>
              </w:rPr>
            </w:pPr>
            <w:r w:rsidRPr="0047213F">
              <w:rPr>
                <w:b/>
                <w:bCs/>
                <w:sz w:val="16"/>
                <w:szCs w:val="16"/>
              </w:rPr>
              <w:t>16 485</w:t>
            </w:r>
          </w:p>
        </w:tc>
        <w:tc>
          <w:tcPr>
            <w:tcW w:w="1086" w:type="dxa"/>
            <w:noWrap/>
            <w:vAlign w:val="bottom"/>
          </w:tcPr>
          <w:p w:rsidR="00CD5AC8" w:rsidRPr="0047213F" w:rsidRDefault="00CD5AC8">
            <w:pPr>
              <w:shd w:val="clear" w:color="000000" w:fill="auto"/>
              <w:spacing w:before="60" w:line="200" w:lineRule="exact"/>
              <w:jc w:val="right"/>
              <w:rPr>
                <w:b/>
                <w:bCs/>
                <w:sz w:val="16"/>
                <w:szCs w:val="16"/>
              </w:rPr>
            </w:pPr>
            <w:r w:rsidRPr="0047213F">
              <w:rPr>
                <w:b/>
                <w:bCs/>
                <w:sz w:val="16"/>
                <w:szCs w:val="16"/>
              </w:rPr>
              <w:t>16 485</w:t>
            </w:r>
          </w:p>
        </w:tc>
      </w:tr>
      <w:tr w:rsidR="00000000" w:rsidRPr="0047213F">
        <w:trPr>
          <w:trHeight w:val="288"/>
        </w:trPr>
        <w:tc>
          <w:tcPr>
            <w:tcW w:w="436" w:type="dxa"/>
            <w:tcBorders>
              <w:bottom w:val="single" w:sz="4" w:space="0" w:color="auto"/>
            </w:tcBorders>
            <w:noWrap/>
            <w:vAlign w:val="bottom"/>
          </w:tcPr>
          <w:p w:rsidR="00CD5AC8" w:rsidRPr="0047213F" w:rsidRDefault="00CD5AC8">
            <w:pPr>
              <w:shd w:val="clear" w:color="000000" w:fill="auto"/>
              <w:spacing w:before="60" w:line="200" w:lineRule="exact"/>
              <w:rPr>
                <w:sz w:val="16"/>
                <w:szCs w:val="16"/>
              </w:rPr>
            </w:pPr>
            <w:r w:rsidRPr="0047213F">
              <w:rPr>
                <w:sz w:val="16"/>
                <w:szCs w:val="16"/>
              </w:rPr>
              <w:t>48:1</w:t>
            </w:r>
          </w:p>
        </w:tc>
        <w:tc>
          <w:tcPr>
            <w:tcW w:w="2350" w:type="dxa"/>
            <w:tcBorders>
              <w:bottom w:val="single" w:sz="4" w:space="0" w:color="auto"/>
            </w:tcBorders>
            <w:noWrap/>
            <w:vAlign w:val="bottom"/>
          </w:tcPr>
          <w:p w:rsidR="00CD5AC8" w:rsidRPr="0047213F" w:rsidRDefault="00CD5AC8">
            <w:pPr>
              <w:shd w:val="clear" w:color="000000" w:fill="auto"/>
              <w:spacing w:before="60" w:line="200" w:lineRule="exact"/>
              <w:rPr>
                <w:sz w:val="16"/>
                <w:szCs w:val="16"/>
              </w:rPr>
            </w:pPr>
            <w:r w:rsidRPr="0047213F">
              <w:rPr>
                <w:sz w:val="16"/>
                <w:szCs w:val="16"/>
              </w:rPr>
              <w:t>Kommunalekonomisk utjämning</w:t>
            </w:r>
          </w:p>
        </w:tc>
        <w:tc>
          <w:tcPr>
            <w:tcW w:w="1052" w:type="dxa"/>
            <w:tcBorders>
              <w:bottom w:val="single" w:sz="4" w:space="0" w:color="auto"/>
            </w:tcBorders>
            <w:noWrap/>
            <w:vAlign w:val="bottom"/>
          </w:tcPr>
          <w:p w:rsidR="00CD5AC8" w:rsidRPr="0047213F" w:rsidRDefault="00CD5AC8">
            <w:pPr>
              <w:shd w:val="clear" w:color="000000" w:fill="auto"/>
              <w:spacing w:before="60" w:line="200" w:lineRule="exact"/>
              <w:jc w:val="right"/>
              <w:rPr>
                <w:sz w:val="16"/>
                <w:szCs w:val="16"/>
              </w:rPr>
            </w:pPr>
            <w:r w:rsidRPr="0047213F">
              <w:rPr>
                <w:sz w:val="16"/>
                <w:szCs w:val="16"/>
              </w:rPr>
              <w:t>16 485</w:t>
            </w:r>
          </w:p>
        </w:tc>
        <w:tc>
          <w:tcPr>
            <w:tcW w:w="1086" w:type="dxa"/>
            <w:tcBorders>
              <w:bottom w:val="single" w:sz="4" w:space="0" w:color="auto"/>
            </w:tcBorders>
            <w:noWrap/>
            <w:vAlign w:val="bottom"/>
          </w:tcPr>
          <w:p w:rsidR="00CD5AC8" w:rsidRPr="0047213F" w:rsidRDefault="00CD5AC8">
            <w:pPr>
              <w:shd w:val="clear" w:color="000000" w:fill="auto"/>
              <w:spacing w:before="60" w:line="200" w:lineRule="exact"/>
              <w:jc w:val="right"/>
              <w:rPr>
                <w:sz w:val="16"/>
                <w:szCs w:val="16"/>
              </w:rPr>
            </w:pPr>
            <w:r w:rsidRPr="0047213F">
              <w:rPr>
                <w:sz w:val="16"/>
                <w:szCs w:val="16"/>
              </w:rPr>
              <w:t>16 485</w:t>
            </w:r>
          </w:p>
        </w:tc>
        <w:tc>
          <w:tcPr>
            <w:tcW w:w="1086" w:type="dxa"/>
            <w:tcBorders>
              <w:bottom w:val="single" w:sz="4" w:space="0" w:color="auto"/>
            </w:tcBorders>
            <w:noWrap/>
            <w:vAlign w:val="bottom"/>
          </w:tcPr>
          <w:p w:rsidR="00CD5AC8" w:rsidRPr="0047213F" w:rsidRDefault="00CD5AC8">
            <w:pPr>
              <w:shd w:val="clear" w:color="000000" w:fill="auto"/>
              <w:spacing w:before="60" w:line="200" w:lineRule="exact"/>
              <w:jc w:val="right"/>
              <w:rPr>
                <w:sz w:val="16"/>
                <w:szCs w:val="16"/>
              </w:rPr>
            </w:pPr>
            <w:r w:rsidRPr="0047213F">
              <w:rPr>
                <w:sz w:val="16"/>
                <w:szCs w:val="16"/>
              </w:rPr>
              <w:t>16 485</w:t>
            </w:r>
          </w:p>
        </w:tc>
      </w:tr>
    </w:tbl>
    <w:p w:rsidR="00CD5AC8" w:rsidRPr="0047213F" w:rsidRDefault="00CD5AC8">
      <w:pPr>
        <w:shd w:val="clear" w:color="000000" w:fill="auto"/>
      </w:pPr>
    </w:p>
    <w:p w:rsidR="00CD5AC8" w:rsidRPr="0047213F" w:rsidRDefault="00CD5AC8">
      <w:pPr>
        <w:pStyle w:val="Rubrik1"/>
        <w:shd w:val="clear" w:color="000000" w:fill="auto"/>
      </w:pPr>
      <w:r w:rsidRPr="0047213F">
        <w:t>Utgiftsområde 2 Samhällsekonomi och finansförvaltning</w:t>
      </w:r>
    </w:p>
    <w:p w:rsidR="00CD5AC8" w:rsidRPr="0047213F" w:rsidRDefault="00CD5AC8">
      <w:pPr>
        <w:shd w:val="clear" w:color="000000" w:fill="auto"/>
      </w:pPr>
      <w:r w:rsidRPr="0047213F">
        <w:t>Överallt i arbetslivet råder det stor brist på jämställdhet mellan könen. Diskrimineringen av kvinnor finns på alla nivåer: vid tillsättande av chef</w:t>
      </w:r>
      <w:r w:rsidRPr="0047213F">
        <w:t>s</w:t>
      </w:r>
      <w:r w:rsidRPr="0047213F">
        <w:t xml:space="preserve">tjänster, </w:t>
      </w:r>
      <w:r w:rsidRPr="0047213F">
        <w:lastRenderedPageBreak/>
        <w:t>när det gäller lönens storlek, när det gäller anställningsformer och när det gäller hel- och deltider. Denna ordning är oacceptabel.</w:t>
      </w:r>
    </w:p>
    <w:p w:rsidR="00CD5AC8" w:rsidRPr="0047213F" w:rsidRDefault="00CD5AC8">
      <w:pPr>
        <w:pStyle w:val="Normaltindrag"/>
        <w:shd w:val="clear" w:color="000000" w:fill="auto"/>
      </w:pPr>
      <w:r w:rsidRPr="0047213F">
        <w:t>Lönegapet mellan kvinnor och män är stort, åtta procent, om faktorer som utbildning, arbetstider och befattningsansvar räknas bort. Mot den bakgru</w:t>
      </w:r>
      <w:r w:rsidRPr="0047213F">
        <w:t>n</w:t>
      </w:r>
      <w:r w:rsidRPr="0047213F">
        <w:t>den bör den innevarande mandatperioden bli den period då den könsrelaterade lönediskrimineringen avskaffas på den svenska arbetsmarknaden. Då gäller det också att arbetsmarknadens parter tar sitt fulla ansvar.</w:t>
      </w:r>
    </w:p>
    <w:p w:rsidR="00CD5AC8" w:rsidRPr="0047213F" w:rsidRDefault="00CD5AC8">
      <w:pPr>
        <w:pStyle w:val="Normaltindrag"/>
        <w:shd w:val="clear" w:color="000000" w:fill="auto"/>
      </w:pPr>
      <w:r w:rsidRPr="0047213F">
        <w:t>Miljöpartiet de gröna är, till skillnad från regeringen, berett att verka för att stats</w:t>
      </w:r>
      <w:r w:rsidRPr="0047213F">
        <w:softHyphen/>
        <w:t>kassan ska bidra med sin del för att skapa jämställda löner. När regerin</w:t>
      </w:r>
      <w:r w:rsidRPr="0047213F">
        <w:t>g</w:t>
      </w:r>
      <w:r w:rsidRPr="0047213F">
        <w:t>en i vårpropositionen deklarerade målet att jämställda löner ska ha geno</w:t>
      </w:r>
      <w:r w:rsidRPr="0047213F">
        <w:t>m</w:t>
      </w:r>
      <w:r w:rsidRPr="0047213F">
        <w:t>förts inom den statliga sektorn till 2010, kan vi konstatera att det inte finns några medel aviserade till detta mål.</w:t>
      </w:r>
    </w:p>
    <w:p w:rsidR="00CD5AC8" w:rsidRPr="0047213F" w:rsidRDefault="00CD5AC8">
      <w:pPr>
        <w:pStyle w:val="Normaltindrag"/>
        <w:shd w:val="clear" w:color="000000" w:fill="auto"/>
      </w:pPr>
      <w:r w:rsidRPr="0047213F">
        <w:t>Vi föreslår på utgiftsområdet Samhällsekonomi och finansförvaltning 170 miljoner kronor 2008, 340 miljoner kronor 2009 och 500 miljoner kronor 2010 till en särskild pott för jämställda löner i statens verksamheter.</w:t>
      </w:r>
    </w:p>
    <w:p w:rsidR="00CD5AC8" w:rsidRPr="0047213F" w:rsidRDefault="00CD5AC8">
      <w:pPr>
        <w:pStyle w:val="Rubrik1"/>
        <w:shd w:val="clear" w:color="000000" w:fill="auto"/>
      </w:pPr>
      <w:r w:rsidRPr="0047213F">
        <w:t>Utgiftsområde 25 Allmänna bidrag tillkommunerna</w:t>
      </w:r>
    </w:p>
    <w:p w:rsidR="00CD5AC8" w:rsidRPr="0047213F" w:rsidRDefault="00CD5AC8">
      <w:pPr>
        <w:pStyle w:val="Rubrik2"/>
        <w:shd w:val="clear" w:color="000000" w:fill="auto"/>
        <w:spacing w:before="120"/>
      </w:pPr>
      <w:r w:rsidRPr="0047213F">
        <w:t>Höjt grundavdrag</w:t>
      </w:r>
    </w:p>
    <w:p w:rsidR="00CD5AC8" w:rsidRPr="0047213F" w:rsidRDefault="00CD5AC8">
      <w:pPr>
        <w:shd w:val="clear" w:color="000000" w:fill="auto"/>
      </w:pPr>
      <w:r w:rsidRPr="0047213F">
        <w:t>Miljöpartiet föreslår ett höjt grundavdrag. Höjningen av grundavdraget min</w:t>
      </w:r>
      <w:r w:rsidRPr="0047213F">
        <w:t>s</w:t>
      </w:r>
      <w:r w:rsidRPr="0047213F">
        <w:t>kar skatte</w:t>
      </w:r>
      <w:r w:rsidRPr="0047213F">
        <w:softHyphen/>
        <w:t>intäkterna från kommunalskatten. Till följd av det höjda grunda</w:t>
      </w:r>
      <w:r w:rsidRPr="0047213F">
        <w:t>v</w:t>
      </w:r>
      <w:r w:rsidRPr="0047213F">
        <w:t>draget tillförs kommunerna 4,5 miljarder kronor till anslag 48:1.</w:t>
      </w:r>
    </w:p>
    <w:p w:rsidR="00CD5AC8" w:rsidRPr="0047213F" w:rsidRDefault="00CD5AC8">
      <w:pPr>
        <w:pStyle w:val="Rubrik2"/>
        <w:shd w:val="clear" w:color="000000" w:fill="auto"/>
      </w:pPr>
      <w:r w:rsidRPr="0047213F">
        <w:t>Nej till kommunalavgift</w:t>
      </w:r>
    </w:p>
    <w:p w:rsidR="00CD5AC8" w:rsidRPr="0047213F" w:rsidRDefault="00CD5AC8">
      <w:pPr>
        <w:shd w:val="clear" w:color="000000" w:fill="auto"/>
      </w:pPr>
      <w:r w:rsidRPr="0047213F">
        <w:t>Regeringen föreslår att ett tak införs i fastighetsbeskattningen. Den huvudsa</w:t>
      </w:r>
      <w:r w:rsidRPr="0047213F">
        <w:t>k</w:t>
      </w:r>
      <w:r w:rsidRPr="0047213F">
        <w:t>liga effekten av regeringens förslag till tak på fastighetsskatt blir att personer med mycket höga taxeringsvärden får betydligt lägre skatt medan personer med låga taxeringsvärden får nästan samma skatt som i dag.</w:t>
      </w:r>
    </w:p>
    <w:p w:rsidR="00CD5AC8" w:rsidRPr="0047213F" w:rsidRDefault="00CD5AC8">
      <w:pPr>
        <w:pStyle w:val="Normaltindrag"/>
        <w:shd w:val="clear" w:color="000000" w:fill="auto"/>
      </w:pPr>
      <w:r w:rsidRPr="0047213F">
        <w:t>Taket i fastighetsskatten ska enligt regeringen finansieras genom höjd re</w:t>
      </w:r>
      <w:r w:rsidRPr="0047213F">
        <w:t>a</w:t>
      </w:r>
      <w:r w:rsidRPr="0047213F">
        <w:t>vinstskatt, minskade möjligheter till uppskov och räntebeläggning av uppsk</w:t>
      </w:r>
      <w:r w:rsidRPr="0047213F">
        <w:t>o</w:t>
      </w:r>
      <w:r w:rsidRPr="0047213F">
        <w:t>ven.</w:t>
      </w:r>
    </w:p>
    <w:p w:rsidR="00CD5AC8" w:rsidRPr="0047213F" w:rsidRDefault="00CD5AC8">
      <w:pPr>
        <w:pStyle w:val="Normaltindrag"/>
        <w:shd w:val="clear" w:color="000000" w:fill="auto"/>
      </w:pPr>
      <w:r w:rsidRPr="0047213F">
        <w:t>Regeringens förslag till förändring av fastighetsskatten är budgetneutralt och innebär därför endast en omfördelning av skattemedel, och fördelningse</w:t>
      </w:r>
      <w:r w:rsidRPr="0047213F">
        <w:t>f</w:t>
      </w:r>
      <w:r w:rsidRPr="0047213F">
        <w:t>fekten av förslagen är mycket dålig. Samtidigt riskerar förslaget att späda på redan höga huspriser och därmed göra det svårare för personer som inte redan befinner sig inne på fastighetsmarknaden att komma in.</w:t>
      </w:r>
    </w:p>
    <w:p w:rsidR="00CD5AC8" w:rsidRPr="0047213F" w:rsidRDefault="00CD5AC8">
      <w:pPr>
        <w:pStyle w:val="Normaltindrag"/>
        <w:shd w:val="clear" w:color="000000" w:fill="auto"/>
      </w:pPr>
      <w:r w:rsidRPr="0047213F">
        <w:t xml:space="preserve">Miljöpartiet gick till val på förändringar i fastighetsskatten. Vi hade tagit till oss av den kritik som fanns mot fastighetsskatten och som gick ut på att snabbt stigande taxeringsvärden gjorde att hushållens planering av den egna ekonomin försvårades. I valet föreslog vi därför en permanent sänkt </w:t>
      </w:r>
      <w:r w:rsidRPr="0047213F">
        <w:t>fasti</w:t>
      </w:r>
      <w:r w:rsidRPr="0047213F">
        <w:t>g</w:t>
      </w:r>
      <w:r w:rsidRPr="0047213F">
        <w:t>hetsskatt till 0,8 procent av taxerings</w:t>
      </w:r>
      <w:r w:rsidRPr="0047213F">
        <w:softHyphen/>
        <w:t>värdet i avvaktan på en större reform av boendebeskattningen.</w:t>
      </w:r>
    </w:p>
    <w:p w:rsidR="00CD5AC8" w:rsidRPr="0047213F" w:rsidRDefault="00CD5AC8">
      <w:pPr>
        <w:pStyle w:val="Normaltindrag"/>
        <w:shd w:val="clear" w:color="000000" w:fill="auto"/>
      </w:pPr>
      <w:r w:rsidRPr="0047213F">
        <w:t>Miljöpartiet är kritiskt till regeringens hantering av fastighetsskatten och införandet av ett tak i fastighetsskatten. En så stor och viktig fråga som än</w:t>
      </w:r>
      <w:r w:rsidRPr="0047213F">
        <w:t>d</w:t>
      </w:r>
      <w:r w:rsidRPr="0047213F">
        <w:t>ringar i hela fastighets</w:t>
      </w:r>
      <w:r w:rsidRPr="0047213F">
        <w:softHyphen/>
        <w:t>beskattningen måste skötas på ett omsorgsfullt sätt och beredas i en rimlig ordning. Vi anser inte att regeringen levt upp till dessa krav. Det snabbt ihopsnickrade förslaget till ny fastighetsbeskattning som regeringens partier gick till val på hade behövt genom</w:t>
      </w:r>
      <w:r w:rsidRPr="0047213F">
        <w:softHyphen/>
        <w:t>lysas ordentligt i vanlig ordning innan det presenterades som ett skarpt förslag. De problem som r</w:t>
      </w:r>
      <w:r w:rsidRPr="0047213F">
        <w:t>e</w:t>
      </w:r>
      <w:r w:rsidRPr="0047213F">
        <w:t>geringen nu har med fastighetsskatten visar med all tydlighet att förslaget inte är ordentligt berett.</w:t>
      </w:r>
    </w:p>
    <w:p w:rsidR="00CD5AC8" w:rsidRPr="0047213F" w:rsidRDefault="00CD5AC8">
      <w:pPr>
        <w:pStyle w:val="Normaltindrag"/>
        <w:shd w:val="clear" w:color="000000" w:fill="auto"/>
      </w:pPr>
      <w:r w:rsidRPr="0047213F">
        <w:t>Miljöpartiet föreslå</w:t>
      </w:r>
      <w:r w:rsidRPr="0047213F">
        <w:t>r i det här skedet att regeringen drar tillbaka sitt förslag som presenterats i budgetpropositionen, att en parlamentarisk utredning til</w:t>
      </w:r>
      <w:r w:rsidRPr="0047213F">
        <w:t>l</w:t>
      </w:r>
      <w:r w:rsidRPr="0047213F">
        <w:t>sätts med syfte att se över hela fastighetsbeskattningen och återkommer med förslag våren 2009.</w:t>
      </w:r>
    </w:p>
    <w:p w:rsidR="00CD5AC8" w:rsidRPr="0047213F" w:rsidRDefault="00CD5AC8">
      <w:pPr>
        <w:pStyle w:val="Normaltindrag"/>
        <w:shd w:val="clear" w:color="000000" w:fill="auto"/>
      </w:pPr>
      <w:r w:rsidRPr="0047213F">
        <w:t>Regeringen föreslår att statsbidragen minskas med 12 060 miljoner kronor till följd av omläggningen. Miljöpartiet avvisar detta och föreslår därför 12 060 miljoner kronor mer på anslag 48:1.</w:t>
      </w:r>
    </w:p>
    <w:p w:rsidR="00CD5AC8" w:rsidRPr="0047213F" w:rsidRDefault="00CD5AC8">
      <w:pPr>
        <w:pStyle w:val="Rubrik2"/>
        <w:shd w:val="clear" w:color="000000" w:fill="auto"/>
      </w:pPr>
      <w:r w:rsidRPr="0047213F">
        <w:t>Vuxenutbildning</w:t>
      </w:r>
    </w:p>
    <w:p w:rsidR="00CD5AC8" w:rsidRPr="0047213F" w:rsidRDefault="00CD5AC8">
      <w:pPr>
        <w:shd w:val="clear" w:color="000000" w:fill="auto"/>
      </w:pPr>
      <w:r w:rsidRPr="0047213F">
        <w:t>Regeringen skar i budgetpropositionen för 2007 ned det statliga stödet för utbildning av vuxna med 600 miljoner kronor. Samhällsutvecklingen och den snabba struktur</w:t>
      </w:r>
      <w:r w:rsidRPr="0047213F">
        <w:softHyphen/>
        <w:t>omvandlingen av arbetsmarknaden ställer krav på framför allt dem med lägst utbildning. Utan ett livslångt lärande och möjligheten att även i vuxen ålder läsa in kunskap man missat tidigare blir det mycket svårt för dem som inte riktigt uppfyller arbets</w:t>
      </w:r>
      <w:r w:rsidRPr="0047213F">
        <w:softHyphen/>
        <w:t>marknadens kompetenskrav att komma tillbaka i sysselsättning. Regeringen lyfter i vårbudgetens finansplan fram vuxenutbildningens vikt. Att göra detta samtidigt som man drar ned på resu</w:t>
      </w:r>
      <w:r w:rsidRPr="0047213F">
        <w:t>r</w:t>
      </w:r>
      <w:r w:rsidRPr="0047213F">
        <w:t>serna är inte en trovärdig politik. Miljöpartiet satsar i denna motion 6</w:t>
      </w:r>
      <w:r w:rsidRPr="0047213F">
        <w:t>00 mi</w:t>
      </w:r>
      <w:r w:rsidRPr="0047213F">
        <w:t>l</w:t>
      </w:r>
      <w:r w:rsidRPr="0047213F">
        <w:t>joner kronor på vuxenutbildningen. Medlen tillförs anslag 48:1.</w:t>
      </w:r>
    </w:p>
    <w:p w:rsidR="00CD5AC8" w:rsidRPr="0047213F" w:rsidRDefault="00CD5AC8">
      <w:pPr>
        <w:pStyle w:val="Normaltindrag"/>
        <w:shd w:val="clear" w:color="000000" w:fill="auto"/>
      </w:pPr>
      <w:r w:rsidRPr="0047213F">
        <w:t>Samtidigt förändrade regeringen det fördelningssystem som till komm</w:t>
      </w:r>
      <w:r w:rsidRPr="0047213F">
        <w:t>u</w:t>
      </w:r>
      <w:r w:rsidRPr="0047213F">
        <w:t>nerna fördelade det statliga stödet till vuxna. Tidigare har detta stöd fördelats proportionerligt i förhållande till utbildningsnivån i kommunerna; med andra ord – de kommuner med lägst utbildningsnivå har fått det högsta stödet. R</w:t>
      </w:r>
      <w:r w:rsidRPr="0047213F">
        <w:t>e</w:t>
      </w:r>
      <w:r w:rsidRPr="0047213F">
        <w:t>geringen ändrade fördelningssystemet så att alla kommuner får samma su</w:t>
      </w:r>
      <w:r w:rsidRPr="0047213F">
        <w:t>m</w:t>
      </w:r>
      <w:r w:rsidRPr="0047213F">
        <w:t>ma per invånare i stöd, oberoende av vilket reellt behov av utbildning som finns i kommunen. Miljöpartiet anser att det är viktigt att merparten av stödet finns där behoven är störst, dvs. där utbildningsniv</w:t>
      </w:r>
      <w:r w:rsidRPr="0047213F">
        <w:t>ån är lägst. Vi anser därför att det gamla resursfördelningssystemet till kommunerna ska återställas, eme</w:t>
      </w:r>
      <w:r w:rsidRPr="0047213F">
        <w:t>l</w:t>
      </w:r>
      <w:r w:rsidRPr="0047213F">
        <w:t>lertid inom ramen för de generella kommunbidragen.</w:t>
      </w:r>
    </w:p>
    <w:p w:rsidR="00CD5AC8" w:rsidRPr="0047213F" w:rsidRDefault="00CD5AC8">
      <w:pPr>
        <w:pStyle w:val="Rubrik2"/>
        <w:shd w:val="clear" w:color="000000" w:fill="auto"/>
      </w:pPr>
      <w:r w:rsidRPr="0047213F">
        <w:t>Avräkning på grund av höjd a-kassa, studerandevillkor och ändrade kvalifikationsregler</w:t>
      </w:r>
    </w:p>
    <w:p w:rsidR="00CD5AC8" w:rsidRPr="0047213F" w:rsidRDefault="00CD5AC8">
      <w:pPr>
        <w:shd w:val="clear" w:color="000000" w:fill="auto"/>
      </w:pPr>
      <w:r w:rsidRPr="0047213F">
        <w:t>Miljöpartiet föreslår en rad reformer avseende arbetslöshetsersättningen. Reformerna innebär ökade skatteintäkter för kommunerna. Dessa pengar föreslår vi ska avräknas från statsbidragen. Minskningen innebär att anslag 48:1 minskar med 800 miljoner kronor årligen.</w:t>
      </w:r>
    </w:p>
    <w:p w:rsidR="00CD5AC8" w:rsidRPr="0047213F" w:rsidRDefault="00CD5AC8">
      <w:pPr>
        <w:pStyle w:val="Rubrik2"/>
        <w:shd w:val="clear" w:color="000000" w:fill="auto"/>
      </w:pPr>
      <w:r w:rsidRPr="0047213F">
        <w:t>Kompensation till kollektivtrafiken för höjd dieselskatt</w:t>
      </w:r>
    </w:p>
    <w:p w:rsidR="00CD5AC8" w:rsidRPr="0047213F" w:rsidRDefault="00CD5AC8">
      <w:pPr>
        <w:shd w:val="clear" w:color="000000" w:fill="auto"/>
      </w:pPr>
      <w:r w:rsidRPr="0047213F">
        <w:t>Miljöpartiet föreslår en höjd koldioxidskatt på 30 öre per kilo koldioxid. R</w:t>
      </w:r>
      <w:r w:rsidRPr="0047213F">
        <w:t>e</w:t>
      </w:r>
      <w:r w:rsidRPr="0047213F">
        <w:t>geringen har i budgetpropositionen föreslagit en energiskattehöjning på 20 öre per liter diesel. Dessa två förändringar medför ökade kostnader för kollektivtrafiken. Miljöpartiet anser, till skillnad från regeringen, att kolle</w:t>
      </w:r>
      <w:r w:rsidRPr="0047213F">
        <w:t>k</w:t>
      </w:r>
      <w:r w:rsidRPr="0047213F">
        <w:t>tivtraf</w:t>
      </w:r>
      <w:r w:rsidRPr="0047213F">
        <w:t>i</w:t>
      </w:r>
      <w:r w:rsidRPr="0047213F">
        <w:t>ken bör kompenseras för detta. För att klara klimatomställningen är det viktigt att kollektivtrafiken inte blir dyrare. Anslag 48:1 tillförs 125 miljoner kronor av denna anledning.</w:t>
      </w:r>
    </w:p>
    <w:p w:rsidR="00CD5AC8" w:rsidRPr="0047213F" w:rsidRDefault="00CD5AC8">
      <w:pPr>
        <w:pStyle w:val="Normaltindrag"/>
        <w:shd w:val="clear" w:color="000000" w:fill="auto"/>
      </w:pPr>
      <w:r w:rsidRPr="0047213F">
        <w:t>Tabellen sammanfattar de föreslagna förändringarna av anslag 48:1 i jä</w:t>
      </w:r>
      <w:r w:rsidRPr="0047213F">
        <w:t>m</w:t>
      </w:r>
      <w:r w:rsidRPr="0047213F">
        <w:t>förelse med regeringens förslag.</w:t>
      </w:r>
    </w:p>
    <w:tbl>
      <w:tblPr>
        <w:tblW w:w="5954" w:type="dxa"/>
        <w:tblInd w:w="70" w:type="dxa"/>
        <w:tblCellMar>
          <w:left w:w="70" w:type="dxa"/>
          <w:right w:w="70" w:type="dxa"/>
        </w:tblCellMar>
        <w:tblLook w:val="0000" w:firstRow="0" w:lastRow="0" w:firstColumn="0" w:lastColumn="0" w:noHBand="0" w:noVBand="0"/>
      </w:tblPr>
      <w:tblGrid>
        <w:gridCol w:w="6376"/>
        <w:gridCol w:w="816"/>
        <w:gridCol w:w="816"/>
        <w:gridCol w:w="816"/>
      </w:tblGrid>
      <w:tr w:rsidR="00000000" w:rsidRPr="0047213F">
        <w:trPr>
          <w:cantSplit/>
          <w:trHeight w:val="270"/>
        </w:trPr>
        <w:tc>
          <w:tcPr>
            <w:tcW w:w="6376" w:type="dxa"/>
            <w:tcBorders>
              <w:top w:val="single" w:sz="4" w:space="0" w:color="auto"/>
              <w:left w:val="nil"/>
              <w:bottom w:val="single" w:sz="8" w:space="0" w:color="auto"/>
              <w:right w:val="nil"/>
            </w:tcBorders>
            <w:noWrap/>
            <w:vAlign w:val="bottom"/>
          </w:tcPr>
          <w:p w:rsidR="00CD5AC8" w:rsidRPr="0047213F" w:rsidRDefault="00CD5AC8">
            <w:pPr>
              <w:shd w:val="clear" w:color="000000" w:fill="auto"/>
              <w:spacing w:before="60" w:line="200" w:lineRule="exact"/>
              <w:rPr>
                <w:b/>
                <w:bCs/>
                <w:sz w:val="16"/>
                <w:szCs w:val="16"/>
              </w:rPr>
            </w:pPr>
            <w:r w:rsidRPr="0047213F">
              <w:rPr>
                <w:b/>
                <w:bCs/>
                <w:sz w:val="16"/>
                <w:szCs w:val="16"/>
              </w:rPr>
              <w:t>Specifikation av anslag 48:1</w:t>
            </w:r>
          </w:p>
        </w:tc>
        <w:tc>
          <w:tcPr>
            <w:tcW w:w="816" w:type="dxa"/>
            <w:tcBorders>
              <w:top w:val="single" w:sz="4" w:space="0" w:color="auto"/>
              <w:left w:val="nil"/>
              <w:bottom w:val="single" w:sz="8" w:space="0" w:color="auto"/>
              <w:right w:val="nil"/>
            </w:tcBorders>
            <w:noWrap/>
            <w:vAlign w:val="bottom"/>
          </w:tcPr>
          <w:p w:rsidR="00CD5AC8" w:rsidRPr="0047213F" w:rsidRDefault="00CD5AC8">
            <w:pPr>
              <w:shd w:val="clear" w:color="000000" w:fill="auto"/>
              <w:spacing w:before="60" w:line="200" w:lineRule="exact"/>
              <w:jc w:val="right"/>
              <w:rPr>
                <w:b/>
                <w:bCs/>
                <w:sz w:val="16"/>
                <w:szCs w:val="16"/>
              </w:rPr>
            </w:pPr>
            <w:r w:rsidRPr="0047213F">
              <w:rPr>
                <w:b/>
                <w:bCs/>
                <w:sz w:val="16"/>
                <w:szCs w:val="16"/>
              </w:rPr>
              <w:t>2008</w:t>
            </w:r>
          </w:p>
        </w:tc>
        <w:tc>
          <w:tcPr>
            <w:tcW w:w="816" w:type="dxa"/>
            <w:tcBorders>
              <w:top w:val="single" w:sz="4" w:space="0" w:color="auto"/>
              <w:left w:val="nil"/>
              <w:bottom w:val="single" w:sz="8" w:space="0" w:color="auto"/>
              <w:right w:val="nil"/>
            </w:tcBorders>
            <w:noWrap/>
            <w:vAlign w:val="bottom"/>
          </w:tcPr>
          <w:p w:rsidR="00CD5AC8" w:rsidRPr="0047213F" w:rsidRDefault="00CD5AC8">
            <w:pPr>
              <w:shd w:val="clear" w:color="000000" w:fill="auto"/>
              <w:spacing w:before="60" w:line="200" w:lineRule="exact"/>
              <w:jc w:val="right"/>
              <w:rPr>
                <w:b/>
                <w:bCs/>
                <w:sz w:val="16"/>
                <w:szCs w:val="16"/>
              </w:rPr>
            </w:pPr>
            <w:r w:rsidRPr="0047213F">
              <w:rPr>
                <w:b/>
                <w:bCs/>
                <w:sz w:val="16"/>
                <w:szCs w:val="16"/>
              </w:rPr>
              <w:t>2009</w:t>
            </w:r>
          </w:p>
        </w:tc>
        <w:tc>
          <w:tcPr>
            <w:tcW w:w="816" w:type="dxa"/>
            <w:tcBorders>
              <w:top w:val="single" w:sz="4" w:space="0" w:color="auto"/>
              <w:left w:val="nil"/>
              <w:bottom w:val="single" w:sz="8" w:space="0" w:color="auto"/>
              <w:right w:val="nil"/>
            </w:tcBorders>
            <w:noWrap/>
            <w:vAlign w:val="bottom"/>
          </w:tcPr>
          <w:p w:rsidR="00CD5AC8" w:rsidRPr="0047213F" w:rsidRDefault="00CD5AC8">
            <w:pPr>
              <w:shd w:val="clear" w:color="000000" w:fill="auto"/>
              <w:spacing w:before="60" w:line="200" w:lineRule="exact"/>
              <w:jc w:val="right"/>
              <w:rPr>
                <w:b/>
                <w:bCs/>
                <w:sz w:val="16"/>
                <w:szCs w:val="16"/>
              </w:rPr>
            </w:pPr>
            <w:r w:rsidRPr="0047213F">
              <w:rPr>
                <w:b/>
                <w:bCs/>
                <w:sz w:val="16"/>
                <w:szCs w:val="16"/>
              </w:rPr>
              <w:t>2010</w:t>
            </w:r>
          </w:p>
        </w:tc>
      </w:tr>
      <w:tr w:rsidR="00000000" w:rsidRPr="0047213F">
        <w:trPr>
          <w:cantSplit/>
          <w:trHeight w:val="255"/>
        </w:trPr>
        <w:tc>
          <w:tcPr>
            <w:tcW w:w="6376" w:type="dxa"/>
            <w:tcBorders>
              <w:top w:val="nil"/>
              <w:left w:val="nil"/>
              <w:bottom w:val="nil"/>
              <w:right w:val="nil"/>
            </w:tcBorders>
            <w:noWrap/>
            <w:vAlign w:val="bottom"/>
          </w:tcPr>
          <w:p w:rsidR="00CD5AC8" w:rsidRPr="0047213F" w:rsidRDefault="00CD5AC8">
            <w:pPr>
              <w:shd w:val="clear" w:color="000000" w:fill="auto"/>
              <w:spacing w:before="60" w:line="200" w:lineRule="exact"/>
              <w:jc w:val="left"/>
              <w:rPr>
                <w:sz w:val="16"/>
                <w:szCs w:val="16"/>
              </w:rPr>
            </w:pPr>
            <w:r w:rsidRPr="0047213F">
              <w:rPr>
                <w:sz w:val="16"/>
                <w:szCs w:val="16"/>
              </w:rPr>
              <w:t>Höjt grundavdrag</w:t>
            </w:r>
          </w:p>
        </w:tc>
        <w:tc>
          <w:tcPr>
            <w:tcW w:w="816" w:type="dxa"/>
            <w:tcBorders>
              <w:top w:val="nil"/>
              <w:left w:val="nil"/>
              <w:bottom w:val="nil"/>
              <w:right w:val="nil"/>
            </w:tcBorders>
            <w:noWrap/>
            <w:vAlign w:val="bottom"/>
          </w:tcPr>
          <w:p w:rsidR="00CD5AC8" w:rsidRPr="0047213F" w:rsidRDefault="00CD5AC8">
            <w:pPr>
              <w:shd w:val="clear" w:color="000000" w:fill="auto"/>
              <w:spacing w:before="60" w:line="200" w:lineRule="exact"/>
              <w:jc w:val="right"/>
              <w:rPr>
                <w:sz w:val="16"/>
                <w:szCs w:val="16"/>
              </w:rPr>
            </w:pPr>
            <w:r w:rsidRPr="0047213F">
              <w:rPr>
                <w:sz w:val="16"/>
                <w:szCs w:val="16"/>
              </w:rPr>
              <w:t>4 500</w:t>
            </w:r>
          </w:p>
        </w:tc>
        <w:tc>
          <w:tcPr>
            <w:tcW w:w="816" w:type="dxa"/>
            <w:tcBorders>
              <w:top w:val="nil"/>
              <w:left w:val="nil"/>
              <w:bottom w:val="nil"/>
              <w:right w:val="nil"/>
            </w:tcBorders>
            <w:noWrap/>
            <w:vAlign w:val="bottom"/>
          </w:tcPr>
          <w:p w:rsidR="00CD5AC8" w:rsidRPr="0047213F" w:rsidRDefault="00CD5AC8">
            <w:pPr>
              <w:shd w:val="clear" w:color="000000" w:fill="auto"/>
              <w:spacing w:before="60" w:line="200" w:lineRule="exact"/>
              <w:jc w:val="right"/>
              <w:rPr>
                <w:sz w:val="16"/>
                <w:szCs w:val="16"/>
              </w:rPr>
            </w:pPr>
            <w:r w:rsidRPr="0047213F">
              <w:rPr>
                <w:sz w:val="16"/>
                <w:szCs w:val="16"/>
              </w:rPr>
              <w:t>4 500</w:t>
            </w:r>
          </w:p>
        </w:tc>
        <w:tc>
          <w:tcPr>
            <w:tcW w:w="816" w:type="dxa"/>
            <w:tcBorders>
              <w:top w:val="nil"/>
              <w:left w:val="nil"/>
              <w:bottom w:val="nil"/>
              <w:right w:val="nil"/>
            </w:tcBorders>
            <w:noWrap/>
            <w:vAlign w:val="bottom"/>
          </w:tcPr>
          <w:p w:rsidR="00CD5AC8" w:rsidRPr="0047213F" w:rsidRDefault="00CD5AC8">
            <w:pPr>
              <w:shd w:val="clear" w:color="000000" w:fill="auto"/>
              <w:spacing w:before="60" w:line="200" w:lineRule="exact"/>
              <w:jc w:val="right"/>
              <w:rPr>
                <w:sz w:val="16"/>
                <w:szCs w:val="16"/>
              </w:rPr>
            </w:pPr>
            <w:r w:rsidRPr="0047213F">
              <w:rPr>
                <w:sz w:val="16"/>
                <w:szCs w:val="16"/>
              </w:rPr>
              <w:t>4 500</w:t>
            </w:r>
          </w:p>
        </w:tc>
      </w:tr>
      <w:tr w:rsidR="00000000" w:rsidRPr="0047213F">
        <w:trPr>
          <w:cantSplit/>
          <w:trHeight w:val="255"/>
        </w:trPr>
        <w:tc>
          <w:tcPr>
            <w:tcW w:w="6376" w:type="dxa"/>
            <w:tcBorders>
              <w:top w:val="nil"/>
              <w:left w:val="nil"/>
              <w:bottom w:val="nil"/>
              <w:right w:val="nil"/>
            </w:tcBorders>
            <w:noWrap/>
            <w:vAlign w:val="bottom"/>
          </w:tcPr>
          <w:p w:rsidR="00CD5AC8" w:rsidRPr="0047213F" w:rsidRDefault="00CD5AC8">
            <w:pPr>
              <w:shd w:val="clear" w:color="000000" w:fill="auto"/>
              <w:spacing w:before="60" w:line="200" w:lineRule="exact"/>
              <w:jc w:val="left"/>
              <w:rPr>
                <w:sz w:val="16"/>
                <w:szCs w:val="16"/>
              </w:rPr>
            </w:pPr>
            <w:r w:rsidRPr="0047213F">
              <w:rPr>
                <w:sz w:val="16"/>
                <w:szCs w:val="16"/>
              </w:rPr>
              <w:t>Nej till kommunalavgift</w:t>
            </w:r>
          </w:p>
        </w:tc>
        <w:tc>
          <w:tcPr>
            <w:tcW w:w="816" w:type="dxa"/>
            <w:tcBorders>
              <w:top w:val="nil"/>
              <w:left w:val="nil"/>
              <w:bottom w:val="nil"/>
              <w:right w:val="nil"/>
            </w:tcBorders>
            <w:noWrap/>
            <w:vAlign w:val="bottom"/>
          </w:tcPr>
          <w:p w:rsidR="00CD5AC8" w:rsidRPr="0047213F" w:rsidRDefault="00CD5AC8">
            <w:pPr>
              <w:shd w:val="clear" w:color="000000" w:fill="auto"/>
              <w:spacing w:before="60" w:line="200" w:lineRule="exact"/>
              <w:jc w:val="right"/>
              <w:rPr>
                <w:sz w:val="16"/>
                <w:szCs w:val="16"/>
              </w:rPr>
            </w:pPr>
            <w:r w:rsidRPr="0047213F">
              <w:rPr>
                <w:sz w:val="16"/>
                <w:szCs w:val="16"/>
              </w:rPr>
              <w:t>12 060</w:t>
            </w:r>
          </w:p>
        </w:tc>
        <w:tc>
          <w:tcPr>
            <w:tcW w:w="816" w:type="dxa"/>
            <w:tcBorders>
              <w:top w:val="nil"/>
              <w:left w:val="nil"/>
              <w:bottom w:val="nil"/>
              <w:right w:val="nil"/>
            </w:tcBorders>
            <w:noWrap/>
            <w:vAlign w:val="bottom"/>
          </w:tcPr>
          <w:p w:rsidR="00CD5AC8" w:rsidRPr="0047213F" w:rsidRDefault="00CD5AC8">
            <w:pPr>
              <w:shd w:val="clear" w:color="000000" w:fill="auto"/>
              <w:spacing w:before="60" w:line="200" w:lineRule="exact"/>
              <w:jc w:val="right"/>
              <w:rPr>
                <w:sz w:val="16"/>
                <w:szCs w:val="16"/>
              </w:rPr>
            </w:pPr>
            <w:r w:rsidRPr="0047213F">
              <w:rPr>
                <w:sz w:val="16"/>
                <w:szCs w:val="16"/>
              </w:rPr>
              <w:t>12 060</w:t>
            </w:r>
          </w:p>
        </w:tc>
        <w:tc>
          <w:tcPr>
            <w:tcW w:w="816" w:type="dxa"/>
            <w:tcBorders>
              <w:top w:val="nil"/>
              <w:left w:val="nil"/>
              <w:bottom w:val="nil"/>
              <w:right w:val="nil"/>
            </w:tcBorders>
            <w:noWrap/>
            <w:vAlign w:val="bottom"/>
          </w:tcPr>
          <w:p w:rsidR="00CD5AC8" w:rsidRPr="0047213F" w:rsidRDefault="00CD5AC8">
            <w:pPr>
              <w:shd w:val="clear" w:color="000000" w:fill="auto"/>
              <w:spacing w:before="60" w:line="200" w:lineRule="exact"/>
              <w:jc w:val="right"/>
              <w:rPr>
                <w:sz w:val="16"/>
                <w:szCs w:val="16"/>
              </w:rPr>
            </w:pPr>
            <w:r w:rsidRPr="0047213F">
              <w:rPr>
                <w:sz w:val="16"/>
                <w:szCs w:val="16"/>
              </w:rPr>
              <w:t>12 060</w:t>
            </w:r>
          </w:p>
        </w:tc>
      </w:tr>
      <w:tr w:rsidR="00000000" w:rsidRPr="0047213F">
        <w:trPr>
          <w:cantSplit/>
          <w:trHeight w:val="255"/>
        </w:trPr>
        <w:tc>
          <w:tcPr>
            <w:tcW w:w="6376" w:type="dxa"/>
            <w:tcBorders>
              <w:top w:val="nil"/>
              <w:left w:val="nil"/>
              <w:bottom w:val="nil"/>
              <w:right w:val="nil"/>
            </w:tcBorders>
            <w:noWrap/>
            <w:vAlign w:val="bottom"/>
          </w:tcPr>
          <w:p w:rsidR="00CD5AC8" w:rsidRPr="0047213F" w:rsidRDefault="00CD5AC8">
            <w:pPr>
              <w:shd w:val="clear" w:color="000000" w:fill="auto"/>
              <w:spacing w:before="60" w:line="200" w:lineRule="exact"/>
              <w:jc w:val="left"/>
              <w:rPr>
                <w:sz w:val="16"/>
                <w:szCs w:val="16"/>
              </w:rPr>
            </w:pPr>
            <w:r w:rsidRPr="0047213F">
              <w:rPr>
                <w:sz w:val="16"/>
                <w:szCs w:val="16"/>
              </w:rPr>
              <w:t>Vuxenutbildning</w:t>
            </w:r>
          </w:p>
        </w:tc>
        <w:tc>
          <w:tcPr>
            <w:tcW w:w="816" w:type="dxa"/>
            <w:tcBorders>
              <w:top w:val="nil"/>
              <w:left w:val="nil"/>
              <w:bottom w:val="nil"/>
              <w:right w:val="nil"/>
            </w:tcBorders>
            <w:noWrap/>
            <w:vAlign w:val="bottom"/>
          </w:tcPr>
          <w:p w:rsidR="00CD5AC8" w:rsidRPr="0047213F" w:rsidRDefault="00CD5AC8">
            <w:pPr>
              <w:shd w:val="clear" w:color="000000" w:fill="auto"/>
              <w:spacing w:before="60" w:line="200" w:lineRule="exact"/>
              <w:jc w:val="right"/>
              <w:rPr>
                <w:sz w:val="16"/>
                <w:szCs w:val="16"/>
              </w:rPr>
            </w:pPr>
            <w:r w:rsidRPr="0047213F">
              <w:rPr>
                <w:sz w:val="16"/>
                <w:szCs w:val="16"/>
              </w:rPr>
              <w:t>600</w:t>
            </w:r>
          </w:p>
        </w:tc>
        <w:tc>
          <w:tcPr>
            <w:tcW w:w="816" w:type="dxa"/>
            <w:tcBorders>
              <w:top w:val="nil"/>
              <w:left w:val="nil"/>
              <w:bottom w:val="nil"/>
              <w:right w:val="nil"/>
            </w:tcBorders>
            <w:noWrap/>
            <w:vAlign w:val="bottom"/>
          </w:tcPr>
          <w:p w:rsidR="00CD5AC8" w:rsidRPr="0047213F" w:rsidRDefault="00CD5AC8">
            <w:pPr>
              <w:shd w:val="clear" w:color="000000" w:fill="auto"/>
              <w:spacing w:before="60" w:line="200" w:lineRule="exact"/>
              <w:jc w:val="right"/>
              <w:rPr>
                <w:sz w:val="16"/>
                <w:szCs w:val="16"/>
              </w:rPr>
            </w:pPr>
            <w:r w:rsidRPr="0047213F">
              <w:rPr>
                <w:sz w:val="16"/>
                <w:szCs w:val="16"/>
              </w:rPr>
              <w:t>600</w:t>
            </w:r>
          </w:p>
        </w:tc>
        <w:tc>
          <w:tcPr>
            <w:tcW w:w="816" w:type="dxa"/>
            <w:tcBorders>
              <w:top w:val="nil"/>
              <w:left w:val="nil"/>
              <w:bottom w:val="nil"/>
              <w:right w:val="nil"/>
            </w:tcBorders>
            <w:noWrap/>
            <w:vAlign w:val="bottom"/>
          </w:tcPr>
          <w:p w:rsidR="00CD5AC8" w:rsidRPr="0047213F" w:rsidRDefault="00CD5AC8">
            <w:pPr>
              <w:shd w:val="clear" w:color="000000" w:fill="auto"/>
              <w:spacing w:before="60" w:line="200" w:lineRule="exact"/>
              <w:jc w:val="right"/>
              <w:rPr>
                <w:sz w:val="16"/>
                <w:szCs w:val="16"/>
              </w:rPr>
            </w:pPr>
            <w:r w:rsidRPr="0047213F">
              <w:rPr>
                <w:sz w:val="16"/>
                <w:szCs w:val="16"/>
              </w:rPr>
              <w:t>600</w:t>
            </w:r>
          </w:p>
        </w:tc>
      </w:tr>
      <w:tr w:rsidR="00000000" w:rsidRPr="0047213F">
        <w:trPr>
          <w:cantSplit/>
          <w:trHeight w:val="255"/>
        </w:trPr>
        <w:tc>
          <w:tcPr>
            <w:tcW w:w="6376" w:type="dxa"/>
            <w:tcBorders>
              <w:top w:val="nil"/>
              <w:left w:val="nil"/>
              <w:bottom w:val="nil"/>
              <w:right w:val="nil"/>
            </w:tcBorders>
            <w:noWrap/>
            <w:vAlign w:val="bottom"/>
          </w:tcPr>
          <w:p w:rsidR="00CD5AC8" w:rsidRPr="0047213F" w:rsidRDefault="00CD5AC8">
            <w:pPr>
              <w:shd w:val="clear" w:color="000000" w:fill="auto"/>
              <w:spacing w:before="60" w:line="200" w:lineRule="exact"/>
              <w:jc w:val="left"/>
              <w:rPr>
                <w:sz w:val="16"/>
                <w:szCs w:val="16"/>
              </w:rPr>
            </w:pPr>
            <w:r w:rsidRPr="0047213F">
              <w:rPr>
                <w:sz w:val="16"/>
                <w:szCs w:val="16"/>
              </w:rPr>
              <w:t>Avräkning för höjd a-kassa, studerandevillkor och ändrade kvalifikationsregler</w:t>
            </w:r>
          </w:p>
        </w:tc>
        <w:tc>
          <w:tcPr>
            <w:tcW w:w="816" w:type="dxa"/>
            <w:tcBorders>
              <w:top w:val="nil"/>
              <w:left w:val="nil"/>
              <w:bottom w:val="nil"/>
              <w:right w:val="nil"/>
            </w:tcBorders>
            <w:noWrap/>
            <w:vAlign w:val="bottom"/>
          </w:tcPr>
          <w:p w:rsidR="00CD5AC8" w:rsidRPr="0047213F" w:rsidRDefault="00CD5AC8">
            <w:pPr>
              <w:shd w:val="clear" w:color="000000" w:fill="auto"/>
              <w:spacing w:before="60" w:line="200" w:lineRule="exact"/>
              <w:jc w:val="right"/>
              <w:rPr>
                <w:sz w:val="16"/>
                <w:szCs w:val="16"/>
              </w:rPr>
            </w:pPr>
            <w:r w:rsidRPr="0047213F">
              <w:rPr>
                <w:sz w:val="16"/>
                <w:szCs w:val="16"/>
              </w:rPr>
              <w:t>–800</w:t>
            </w:r>
          </w:p>
        </w:tc>
        <w:tc>
          <w:tcPr>
            <w:tcW w:w="816" w:type="dxa"/>
            <w:tcBorders>
              <w:top w:val="nil"/>
              <w:left w:val="nil"/>
              <w:bottom w:val="nil"/>
              <w:right w:val="nil"/>
            </w:tcBorders>
            <w:noWrap/>
            <w:vAlign w:val="bottom"/>
          </w:tcPr>
          <w:p w:rsidR="00CD5AC8" w:rsidRPr="0047213F" w:rsidRDefault="00CD5AC8">
            <w:pPr>
              <w:shd w:val="clear" w:color="000000" w:fill="auto"/>
              <w:spacing w:before="60" w:line="200" w:lineRule="exact"/>
              <w:jc w:val="right"/>
              <w:rPr>
                <w:sz w:val="16"/>
                <w:szCs w:val="16"/>
              </w:rPr>
            </w:pPr>
            <w:r w:rsidRPr="0047213F">
              <w:rPr>
                <w:sz w:val="16"/>
                <w:szCs w:val="16"/>
              </w:rPr>
              <w:t>–800</w:t>
            </w:r>
          </w:p>
        </w:tc>
        <w:tc>
          <w:tcPr>
            <w:tcW w:w="816" w:type="dxa"/>
            <w:tcBorders>
              <w:top w:val="nil"/>
              <w:left w:val="nil"/>
              <w:bottom w:val="nil"/>
              <w:right w:val="nil"/>
            </w:tcBorders>
            <w:noWrap/>
            <w:vAlign w:val="bottom"/>
          </w:tcPr>
          <w:p w:rsidR="00CD5AC8" w:rsidRPr="0047213F" w:rsidRDefault="00CD5AC8">
            <w:pPr>
              <w:shd w:val="clear" w:color="000000" w:fill="auto"/>
              <w:spacing w:before="60" w:line="200" w:lineRule="exact"/>
              <w:jc w:val="right"/>
              <w:rPr>
                <w:sz w:val="16"/>
                <w:szCs w:val="16"/>
              </w:rPr>
            </w:pPr>
            <w:r w:rsidRPr="0047213F">
              <w:rPr>
                <w:sz w:val="16"/>
                <w:szCs w:val="16"/>
              </w:rPr>
              <w:t>–800</w:t>
            </w:r>
          </w:p>
        </w:tc>
      </w:tr>
      <w:tr w:rsidR="00000000" w:rsidRPr="0047213F">
        <w:trPr>
          <w:cantSplit/>
          <w:trHeight w:val="270"/>
        </w:trPr>
        <w:tc>
          <w:tcPr>
            <w:tcW w:w="6376" w:type="dxa"/>
            <w:tcBorders>
              <w:top w:val="nil"/>
              <w:left w:val="nil"/>
              <w:bottom w:val="single" w:sz="8" w:space="0" w:color="auto"/>
              <w:right w:val="nil"/>
            </w:tcBorders>
            <w:noWrap/>
            <w:vAlign w:val="bottom"/>
          </w:tcPr>
          <w:p w:rsidR="00CD5AC8" w:rsidRPr="0047213F" w:rsidRDefault="00CD5AC8">
            <w:pPr>
              <w:shd w:val="clear" w:color="000000" w:fill="auto"/>
              <w:spacing w:before="60" w:line="200" w:lineRule="exact"/>
              <w:jc w:val="left"/>
              <w:rPr>
                <w:sz w:val="16"/>
                <w:szCs w:val="16"/>
              </w:rPr>
            </w:pPr>
            <w:r w:rsidRPr="0047213F">
              <w:rPr>
                <w:sz w:val="16"/>
                <w:szCs w:val="16"/>
              </w:rPr>
              <w:t>Kompensation till kollektivtrafiken för höjd dieselskatt</w:t>
            </w:r>
          </w:p>
        </w:tc>
        <w:tc>
          <w:tcPr>
            <w:tcW w:w="816" w:type="dxa"/>
            <w:tcBorders>
              <w:top w:val="nil"/>
              <w:left w:val="nil"/>
              <w:bottom w:val="single" w:sz="8" w:space="0" w:color="auto"/>
              <w:right w:val="nil"/>
            </w:tcBorders>
            <w:noWrap/>
            <w:vAlign w:val="bottom"/>
          </w:tcPr>
          <w:p w:rsidR="00CD5AC8" w:rsidRPr="0047213F" w:rsidRDefault="00CD5AC8">
            <w:pPr>
              <w:shd w:val="clear" w:color="000000" w:fill="auto"/>
              <w:spacing w:before="60" w:line="200" w:lineRule="exact"/>
              <w:jc w:val="right"/>
              <w:rPr>
                <w:sz w:val="16"/>
                <w:szCs w:val="16"/>
              </w:rPr>
            </w:pPr>
            <w:r w:rsidRPr="0047213F">
              <w:rPr>
                <w:sz w:val="16"/>
                <w:szCs w:val="16"/>
              </w:rPr>
              <w:t>125</w:t>
            </w:r>
          </w:p>
        </w:tc>
        <w:tc>
          <w:tcPr>
            <w:tcW w:w="816" w:type="dxa"/>
            <w:tcBorders>
              <w:top w:val="nil"/>
              <w:left w:val="nil"/>
              <w:bottom w:val="single" w:sz="8" w:space="0" w:color="auto"/>
              <w:right w:val="nil"/>
            </w:tcBorders>
            <w:noWrap/>
            <w:vAlign w:val="bottom"/>
          </w:tcPr>
          <w:p w:rsidR="00CD5AC8" w:rsidRPr="0047213F" w:rsidRDefault="00CD5AC8">
            <w:pPr>
              <w:shd w:val="clear" w:color="000000" w:fill="auto"/>
              <w:spacing w:before="60" w:line="200" w:lineRule="exact"/>
              <w:jc w:val="right"/>
              <w:rPr>
                <w:sz w:val="16"/>
                <w:szCs w:val="16"/>
              </w:rPr>
            </w:pPr>
            <w:r w:rsidRPr="0047213F">
              <w:rPr>
                <w:sz w:val="16"/>
                <w:szCs w:val="16"/>
              </w:rPr>
              <w:t>125</w:t>
            </w:r>
          </w:p>
        </w:tc>
        <w:tc>
          <w:tcPr>
            <w:tcW w:w="816" w:type="dxa"/>
            <w:tcBorders>
              <w:top w:val="nil"/>
              <w:left w:val="nil"/>
              <w:bottom w:val="single" w:sz="8" w:space="0" w:color="auto"/>
              <w:right w:val="nil"/>
            </w:tcBorders>
            <w:noWrap/>
            <w:vAlign w:val="bottom"/>
          </w:tcPr>
          <w:p w:rsidR="00CD5AC8" w:rsidRPr="0047213F" w:rsidRDefault="00CD5AC8">
            <w:pPr>
              <w:shd w:val="clear" w:color="000000" w:fill="auto"/>
              <w:spacing w:before="60" w:line="200" w:lineRule="exact"/>
              <w:jc w:val="right"/>
              <w:rPr>
                <w:sz w:val="16"/>
                <w:szCs w:val="16"/>
              </w:rPr>
            </w:pPr>
            <w:r w:rsidRPr="0047213F">
              <w:rPr>
                <w:sz w:val="16"/>
                <w:szCs w:val="16"/>
              </w:rPr>
              <w:t>125</w:t>
            </w:r>
          </w:p>
        </w:tc>
      </w:tr>
    </w:tbl>
    <w:p w:rsidR="00CD5AC8" w:rsidRPr="0047213F" w:rsidRDefault="00CD5AC8">
      <w:pPr>
        <w:pStyle w:val="Normaltindrag"/>
        <w:shd w:val="clear" w:color="000000" w:fill="auto"/>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213F">
        <w:trPr>
          <w:cantSplit/>
        </w:trPr>
        <w:tc>
          <w:tcPr>
            <w:tcW w:w="3046" w:type="dxa"/>
          </w:tcPr>
          <w:p w:rsidR="00CD5AC8" w:rsidRPr="0047213F" w:rsidRDefault="00CD5AC8">
            <w:pPr>
              <w:pStyle w:val="UnderskriftDatum"/>
              <w:shd w:val="clear" w:color="000000" w:fill="auto"/>
              <w:spacing w:before="240"/>
            </w:pPr>
            <w:r w:rsidRPr="0047213F">
              <w:t>Stockholm den 4 oktober 2007</w:t>
            </w:r>
          </w:p>
        </w:tc>
        <w:tc>
          <w:tcPr>
            <w:tcW w:w="3047" w:type="dxa"/>
          </w:tcPr>
          <w:p w:rsidR="00CD5AC8" w:rsidRPr="0047213F" w:rsidRDefault="00CD5AC8">
            <w:pPr>
              <w:pStyle w:val="Underskrifter"/>
              <w:shd w:val="clear" w:color="000000" w:fill="auto"/>
              <w:spacing w:before="240"/>
            </w:pPr>
          </w:p>
        </w:tc>
      </w:tr>
      <w:tr w:rsidR="00000000" w:rsidRPr="0047213F">
        <w:trPr>
          <w:cantSplit/>
        </w:trPr>
        <w:tc>
          <w:tcPr>
            <w:tcW w:w="3046" w:type="dxa"/>
          </w:tcPr>
          <w:p w:rsidR="00CD5AC8" w:rsidRPr="0047213F" w:rsidRDefault="00CD5AC8">
            <w:pPr>
              <w:pStyle w:val="Underskrifter"/>
              <w:shd w:val="clear" w:color="000000" w:fill="auto"/>
            </w:pPr>
            <w:r w:rsidRPr="0047213F">
              <w:t>Mikaela Valtersson (mp)</w:t>
            </w:r>
          </w:p>
        </w:tc>
        <w:tc>
          <w:tcPr>
            <w:tcW w:w="3046" w:type="dxa"/>
          </w:tcPr>
          <w:p w:rsidR="00CD5AC8" w:rsidRPr="0047213F" w:rsidRDefault="00CD5AC8">
            <w:pPr>
              <w:pStyle w:val="Underskrifter"/>
              <w:shd w:val="clear" w:color="000000" w:fill="auto"/>
            </w:pPr>
          </w:p>
        </w:tc>
      </w:tr>
      <w:tr w:rsidR="00000000" w:rsidRPr="0047213F">
        <w:trPr>
          <w:cantSplit/>
        </w:trPr>
        <w:tc>
          <w:tcPr>
            <w:tcW w:w="3046" w:type="dxa"/>
          </w:tcPr>
          <w:p w:rsidR="00CD5AC8" w:rsidRPr="0047213F" w:rsidRDefault="00CD5AC8">
            <w:pPr>
              <w:pStyle w:val="Underskrifter"/>
              <w:shd w:val="clear" w:color="000000" w:fill="auto"/>
            </w:pPr>
            <w:r w:rsidRPr="0047213F">
              <w:t>Per Bolund (mp)</w:t>
            </w:r>
          </w:p>
        </w:tc>
        <w:tc>
          <w:tcPr>
            <w:tcW w:w="3046" w:type="dxa"/>
          </w:tcPr>
          <w:p w:rsidR="00CD5AC8" w:rsidRPr="0047213F" w:rsidRDefault="00CD5AC8">
            <w:pPr>
              <w:pStyle w:val="Underskrifter"/>
              <w:shd w:val="clear" w:color="000000" w:fill="auto"/>
            </w:pPr>
            <w:r w:rsidRPr="0047213F">
              <w:t>Ulf Holm (mp)</w:t>
            </w:r>
          </w:p>
        </w:tc>
      </w:tr>
      <w:tr w:rsidR="00000000" w:rsidRPr="0047213F">
        <w:trPr>
          <w:cantSplit/>
        </w:trPr>
        <w:tc>
          <w:tcPr>
            <w:tcW w:w="3046" w:type="dxa"/>
          </w:tcPr>
          <w:p w:rsidR="00CD5AC8" w:rsidRPr="0047213F" w:rsidRDefault="00CD5AC8">
            <w:pPr>
              <w:pStyle w:val="Underskrifter"/>
              <w:shd w:val="clear" w:color="000000" w:fill="auto"/>
            </w:pPr>
            <w:r w:rsidRPr="0047213F">
              <w:t>Helena Leander (mp)</w:t>
            </w:r>
          </w:p>
        </w:tc>
        <w:tc>
          <w:tcPr>
            <w:tcW w:w="3046" w:type="dxa"/>
          </w:tcPr>
          <w:p w:rsidR="00CD5AC8" w:rsidRPr="0047213F" w:rsidRDefault="00CD5AC8">
            <w:pPr>
              <w:pStyle w:val="Underskrifter"/>
              <w:shd w:val="clear" w:color="000000" w:fill="auto"/>
            </w:pPr>
          </w:p>
        </w:tc>
      </w:tr>
    </w:tbl>
    <w:p w:rsidR="00CD5AC8" w:rsidRPr="0047213F" w:rsidRDefault="00CD5AC8">
      <w:pPr>
        <w:pStyle w:val="Normaltindrag"/>
        <w:shd w:val="clear" w:color="000000" w:fill="auto"/>
      </w:pPr>
    </w:p>
    <w:sectPr w:rsidR="00CD5AC8" w:rsidRPr="004721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5AC8" w:rsidRPr="0047213F" w:rsidRDefault="00CD5AC8">
      <w:r w:rsidRPr="0047213F">
        <w:separator/>
      </w:r>
    </w:p>
  </w:endnote>
  <w:endnote w:type="continuationSeparator" w:id="0">
    <w:p w:rsidR="00CD5AC8" w:rsidRPr="0047213F" w:rsidRDefault="00CD5AC8">
      <w:r w:rsidRPr="004721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AC8" w:rsidRPr="0047213F" w:rsidRDefault="0047213F">
    <w:pPr>
      <w:pStyle w:val="Sidfot"/>
    </w:pPr>
    <w:r w:rsidRPr="004721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66985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AC8" w:rsidRDefault="00CD5AC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5AC8" w:rsidRDefault="00CD5AC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AC8" w:rsidRPr="0047213F" w:rsidRDefault="0047213F">
    <w:pPr>
      <w:pStyle w:val="Sidfot"/>
    </w:pPr>
    <w:r w:rsidRPr="004721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86457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AC8" w:rsidRDefault="00CD5AC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5AC8" w:rsidRDefault="00CD5AC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AC8" w:rsidRPr="0047213F" w:rsidRDefault="0047213F">
    <w:pPr>
      <w:pStyle w:val="Sidfot"/>
    </w:pPr>
    <w:r w:rsidRPr="004721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00212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AC8" w:rsidRDefault="00CD5A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5AC8" w:rsidRDefault="00CD5A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5AC8" w:rsidRPr="0047213F" w:rsidRDefault="00CD5AC8">
      <w:r w:rsidRPr="0047213F">
        <w:separator/>
      </w:r>
    </w:p>
  </w:footnote>
  <w:footnote w:type="continuationSeparator" w:id="0">
    <w:p w:rsidR="00CD5AC8" w:rsidRPr="0047213F" w:rsidRDefault="00CD5AC8">
      <w:r w:rsidRPr="004721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AC8" w:rsidRPr="0047213F" w:rsidRDefault="0047213F">
    <w:pPr>
      <w:pStyle w:val="Sidhuvud"/>
    </w:pPr>
    <w:r w:rsidRPr="004721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87506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AC8" w:rsidRDefault="00CD5AC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5AC8" w:rsidRDefault="00CD5AC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AC8" w:rsidRPr="0047213F" w:rsidRDefault="0047213F">
    <w:pPr>
      <w:pStyle w:val="Sidhuvud"/>
    </w:pPr>
    <w:r w:rsidRPr="004721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66152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AC8" w:rsidRDefault="00CD5AC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5AC8" w:rsidRDefault="00CD5AC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AC8" w:rsidRPr="0047213F" w:rsidRDefault="00CD5AC8">
    <w:pPr>
      <w:pStyle w:val="FSHNormal"/>
      <w:tabs>
        <w:tab w:val="right" w:pos="5840"/>
      </w:tabs>
    </w:pPr>
    <w:r w:rsidRPr="0047213F">
      <w:br/>
    </w:r>
    <w:r w:rsidRPr="0047213F">
      <w:fldChar w:fldCharType="begin" w:fldLock="1"/>
    </w:r>
    <w:r w:rsidRPr="0047213F">
      <w:instrText xml:space="preserve"> DOCPROPERTY</w:instrText>
    </w:r>
    <w:r w:rsidRPr="0047213F">
      <w:rPr>
        <w:sz w:val="18"/>
      </w:rPr>
      <w:instrText xml:space="preserve"> "YearUser" *\charformat </w:instrText>
    </w:r>
    <w:r w:rsidRPr="0047213F">
      <w:fldChar w:fldCharType="separate"/>
    </w:r>
    <w:r w:rsidRPr="0047213F">
      <w:t>2007/08</w:t>
    </w:r>
    <w:r w:rsidRPr="0047213F">
      <w:fldChar w:fldCharType="end"/>
    </w:r>
    <w:r w:rsidRPr="0047213F">
      <w:t xml:space="preserve"> </w:t>
    </w:r>
    <w:r w:rsidRPr="0047213F">
      <w:tab/>
      <w:t xml:space="preserve">mnr: </w:t>
    </w:r>
    <w:r w:rsidRPr="0047213F">
      <w:fldChar w:fldCharType="begin" w:fldLock="1"/>
    </w:r>
    <w:r w:rsidRPr="0047213F">
      <w:instrText xml:space="preserve"> DOCPROPERTY</w:instrText>
    </w:r>
    <w:r w:rsidRPr="0047213F">
      <w:rPr>
        <w:sz w:val="18"/>
      </w:rPr>
      <w:instrText xml:space="preserve"> "Motionsnummer" *\charformat </w:instrText>
    </w:r>
    <w:r w:rsidRPr="0047213F">
      <w:fldChar w:fldCharType="separate"/>
    </w:r>
    <w:r w:rsidRPr="0047213F">
      <w:t>Fi262</w:t>
    </w:r>
    <w:r w:rsidRPr="0047213F">
      <w:fldChar w:fldCharType="end"/>
    </w:r>
    <w:r w:rsidRPr="0047213F">
      <w:br/>
    </w:r>
    <w:r w:rsidRPr="0047213F">
      <w:fldChar w:fldCharType="begin" w:fldLock="1"/>
    </w:r>
    <w:r w:rsidRPr="0047213F">
      <w:instrText xml:space="preserve"> DOCPROPERTY</w:instrText>
    </w:r>
    <w:r w:rsidRPr="0047213F">
      <w:rPr>
        <w:sz w:val="18"/>
      </w:rPr>
      <w:instrText xml:space="preserve"> "Samling" *\charformat </w:instrText>
    </w:r>
    <w:r w:rsidRPr="0047213F">
      <w:fldChar w:fldCharType="end"/>
    </w:r>
    <w:r w:rsidRPr="0047213F">
      <w:tab/>
      <w:t xml:space="preserve">pnr: </w:t>
    </w:r>
    <w:r w:rsidRPr="0047213F">
      <w:fldChar w:fldCharType="begin" w:fldLock="1"/>
    </w:r>
    <w:r w:rsidRPr="0047213F">
      <w:instrText xml:space="preserve"> DOCPROPERTY</w:instrText>
    </w:r>
    <w:r w:rsidRPr="0047213F">
      <w:rPr>
        <w:sz w:val="18"/>
      </w:rPr>
      <w:instrText xml:space="preserve"> "Partinummer" *\charformat </w:instrText>
    </w:r>
    <w:r w:rsidRPr="0047213F">
      <w:fldChar w:fldCharType="separate"/>
    </w:r>
    <w:r w:rsidRPr="0047213F">
      <w:t>mp402</w:t>
    </w:r>
    <w:r w:rsidRPr="0047213F">
      <w:fldChar w:fldCharType="end"/>
    </w:r>
  </w:p>
  <w:p w:rsidR="00CD5AC8" w:rsidRPr="0047213F" w:rsidRDefault="00CD5AC8">
    <w:pPr>
      <w:pStyle w:val="FSHRub1"/>
    </w:pPr>
    <w:r w:rsidRPr="0047213F">
      <w:t>Motion till riksdagen</w:t>
    </w:r>
    <w:r w:rsidRPr="0047213F">
      <w:br/>
    </w:r>
    <w:r w:rsidRPr="0047213F">
      <w:fldChar w:fldCharType="begin" w:fldLock="1"/>
    </w:r>
    <w:r w:rsidRPr="0047213F">
      <w:instrText xml:space="preserve"> DOCPROPERTY "YearUser" *\charformat </w:instrText>
    </w:r>
    <w:r w:rsidRPr="0047213F">
      <w:fldChar w:fldCharType="separate"/>
    </w:r>
    <w:r w:rsidRPr="0047213F">
      <w:t>2007/08</w:t>
    </w:r>
    <w:r w:rsidRPr="0047213F">
      <w:fldChar w:fldCharType="end"/>
    </w:r>
    <w:r w:rsidRPr="0047213F">
      <w:t>:</w:t>
    </w:r>
    <w:r w:rsidRPr="0047213F">
      <w:fldChar w:fldCharType="begin" w:fldLock="1"/>
    </w:r>
    <w:r w:rsidRPr="0047213F">
      <w:instrText xml:space="preserve"> DOCPROPERTY "Motionsnummer" *\charformat </w:instrText>
    </w:r>
    <w:r w:rsidRPr="0047213F">
      <w:fldChar w:fldCharType="separate"/>
    </w:r>
    <w:r w:rsidRPr="0047213F">
      <w:t>Fi262</w:t>
    </w:r>
    <w:r w:rsidRPr="0047213F">
      <w:fldChar w:fldCharType="end"/>
    </w:r>
  </w:p>
  <w:p w:rsidR="00CD5AC8" w:rsidRPr="0047213F" w:rsidRDefault="00CD5AC8">
    <w:pPr>
      <w:pStyle w:val="FSHNormalS5"/>
    </w:pPr>
    <w:r w:rsidRPr="0047213F">
      <w:fldChar w:fldCharType="begin" w:fldLock="1"/>
    </w:r>
    <w:r w:rsidRPr="0047213F">
      <w:instrText xml:space="preserve"> DOCPROPERTY "MotionarText" *\charformat </w:instrText>
    </w:r>
    <w:r w:rsidRPr="0047213F">
      <w:fldChar w:fldCharType="separate"/>
    </w:r>
    <w:r w:rsidRPr="0047213F">
      <w:t>av Mikaela Valtersson m.fl. (mp)</w:t>
    </w:r>
    <w:r w:rsidRPr="0047213F">
      <w:fldChar w:fldCharType="end"/>
    </w:r>
    <w:r w:rsidRPr="0047213F">
      <w:br/>
    </w:r>
    <w:r w:rsidRPr="0047213F">
      <w:fldChar w:fldCharType="begin" w:fldLock="1"/>
    </w:r>
    <w:r w:rsidRPr="0047213F">
      <w:instrText xml:space="preserve"> DOCPROPERTY "SvarFrasKort" *\charformat </w:instrText>
    </w:r>
    <w:r w:rsidRPr="0047213F">
      <w:fldChar w:fldCharType="end"/>
    </w:r>
  </w:p>
  <w:p w:rsidR="00CD5AC8" w:rsidRPr="0047213F" w:rsidRDefault="00CD5AC8">
    <w:pPr>
      <w:pStyle w:val="FSHTitel"/>
    </w:pPr>
    <w:r w:rsidRPr="0047213F">
      <w:fldChar w:fldCharType="begin" w:fldLock="1"/>
    </w:r>
    <w:r w:rsidRPr="0047213F">
      <w:instrText xml:space="preserve"> DOCPROPERTY</w:instrText>
    </w:r>
    <w:r w:rsidRPr="0047213F">
      <w:rPr>
        <w:sz w:val="18"/>
      </w:rPr>
      <w:instrText xml:space="preserve"> "RubrikSvar" *\charformat </w:instrText>
    </w:r>
    <w:r w:rsidRPr="0047213F">
      <w:fldChar w:fldCharType="separate"/>
    </w:r>
    <w:r w:rsidRPr="0047213F">
      <w:t>Utgiftsområdena 2 Samhällsekonomi och finansförvaltning och 25 Allmänna bidrag till kommuner</w:t>
    </w:r>
    <w:r w:rsidRPr="0047213F">
      <w:fldChar w:fldCharType="end"/>
    </w:r>
  </w:p>
  <w:p w:rsidR="00CD5AC8" w:rsidRPr="0047213F" w:rsidRDefault="00CD5AC8">
    <w:pPr>
      <w:pStyle w:val="Normal00"/>
    </w:pPr>
  </w:p>
  <w:p w:rsidR="00CD5AC8" w:rsidRPr="0047213F" w:rsidRDefault="00CD5A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1EF06E6"/>
    <w:multiLevelType w:val="hybridMultilevel"/>
    <w:tmpl w:val="84F2BB18"/>
    <w:lvl w:ilvl="0" w:tplc="D090B4A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68552505">
    <w:abstractNumId w:val="8"/>
  </w:num>
  <w:num w:numId="2" w16cid:durableId="764158196">
    <w:abstractNumId w:val="9"/>
  </w:num>
  <w:num w:numId="3" w16cid:durableId="2060009856">
    <w:abstractNumId w:val="8"/>
  </w:num>
  <w:num w:numId="4" w16cid:durableId="447892491">
    <w:abstractNumId w:val="9"/>
  </w:num>
  <w:num w:numId="5" w16cid:durableId="42143951">
    <w:abstractNumId w:val="14"/>
  </w:num>
  <w:num w:numId="6" w16cid:durableId="163327697">
    <w:abstractNumId w:val="10"/>
  </w:num>
  <w:num w:numId="7" w16cid:durableId="1074863060">
    <w:abstractNumId w:val="11"/>
  </w:num>
  <w:num w:numId="8" w16cid:durableId="1197698192">
    <w:abstractNumId w:val="12"/>
  </w:num>
  <w:num w:numId="9" w16cid:durableId="301664740">
    <w:abstractNumId w:val="8"/>
  </w:num>
  <w:num w:numId="10" w16cid:durableId="278345396">
    <w:abstractNumId w:val="3"/>
  </w:num>
  <w:num w:numId="11" w16cid:durableId="1751809126">
    <w:abstractNumId w:val="2"/>
  </w:num>
  <w:num w:numId="12" w16cid:durableId="983852905">
    <w:abstractNumId w:val="1"/>
  </w:num>
  <w:num w:numId="13" w16cid:durableId="106658329">
    <w:abstractNumId w:val="0"/>
  </w:num>
  <w:num w:numId="14" w16cid:durableId="1523084057">
    <w:abstractNumId w:val="9"/>
  </w:num>
  <w:num w:numId="15" w16cid:durableId="1582376492">
    <w:abstractNumId w:val="7"/>
  </w:num>
  <w:num w:numId="16" w16cid:durableId="360590666">
    <w:abstractNumId w:val="6"/>
  </w:num>
  <w:num w:numId="17" w16cid:durableId="829907028">
    <w:abstractNumId w:val="5"/>
  </w:num>
  <w:num w:numId="18" w16cid:durableId="1384329045">
    <w:abstractNumId w:val="4"/>
  </w:num>
  <w:num w:numId="19" w16cid:durableId="2957670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7C31CD86-53C7-4E1C-A073-157C1FC7DBDC},{7CC9A58C-3141-48A3-86B8-8EA19B911E01},{DA08321F-F0BC-4060-A586-E39C9BA97177},{EC49A5C4-EF8B-4128-8058-67D1E519C3AA}"/>
  </w:docVars>
  <w:rsids>
    <w:rsidRoot w:val="00A7251B"/>
    <w:rsid w:val="0047213F"/>
    <w:rsid w:val="00A7251B"/>
    <w:rsid w:val="00CD5A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B1A8A7-A4DF-49BF-B797-43F20B74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06803">
      <w:bodyDiv w:val="1"/>
      <w:marLeft w:val="0"/>
      <w:marRight w:val="0"/>
      <w:marTop w:val="0"/>
      <w:marBottom w:val="0"/>
      <w:divBdr>
        <w:top w:val="none" w:sz="0" w:space="0" w:color="auto"/>
        <w:left w:val="none" w:sz="0" w:space="0" w:color="auto"/>
        <w:bottom w:val="none" w:sz="0" w:space="0" w:color="auto"/>
        <w:right w:val="none" w:sz="0" w:space="0" w:color="auto"/>
      </w:divBdr>
    </w:div>
    <w:div w:id="317422132">
      <w:bodyDiv w:val="1"/>
      <w:marLeft w:val="0"/>
      <w:marRight w:val="0"/>
      <w:marTop w:val="0"/>
      <w:marBottom w:val="0"/>
      <w:divBdr>
        <w:top w:val="none" w:sz="0" w:space="0" w:color="auto"/>
        <w:left w:val="none" w:sz="0" w:space="0" w:color="auto"/>
        <w:bottom w:val="none" w:sz="0" w:space="0" w:color="auto"/>
        <w:right w:val="none" w:sz="0" w:space="0" w:color="auto"/>
      </w:divBdr>
    </w:div>
    <w:div w:id="623772014">
      <w:bodyDiv w:val="1"/>
      <w:marLeft w:val="0"/>
      <w:marRight w:val="0"/>
      <w:marTop w:val="0"/>
      <w:marBottom w:val="0"/>
      <w:divBdr>
        <w:top w:val="none" w:sz="0" w:space="0" w:color="auto"/>
        <w:left w:val="none" w:sz="0" w:space="0" w:color="auto"/>
        <w:bottom w:val="none" w:sz="0" w:space="0" w:color="auto"/>
        <w:right w:val="none" w:sz="0" w:space="0" w:color="auto"/>
      </w:divBdr>
    </w:div>
    <w:div w:id="659190467">
      <w:bodyDiv w:val="1"/>
      <w:marLeft w:val="0"/>
      <w:marRight w:val="0"/>
      <w:marTop w:val="0"/>
      <w:marBottom w:val="0"/>
      <w:divBdr>
        <w:top w:val="none" w:sz="0" w:space="0" w:color="auto"/>
        <w:left w:val="none" w:sz="0" w:space="0" w:color="auto"/>
        <w:bottom w:val="none" w:sz="0" w:space="0" w:color="auto"/>
        <w:right w:val="none" w:sz="0" w:space="0" w:color="auto"/>
      </w:divBdr>
    </w:div>
    <w:div w:id="112245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1035</Words>
  <Characters>6469</Characters>
  <Application>Microsoft Office Word</Application>
  <DocSecurity>4</DocSecurity>
  <Lines>174</Lines>
  <Paragraphs>97</Paragraphs>
  <ScaleCrop>false</ScaleCrop>
  <HeadingPairs>
    <vt:vector size="2" baseType="variant">
      <vt:variant>
        <vt:lpstr>Rubrik</vt:lpstr>
      </vt:variant>
      <vt:variant>
        <vt:i4>1</vt:i4>
      </vt:variant>
    </vt:vector>
  </HeadingPairs>
  <TitlesOfParts>
    <vt:vector size="1" baseType="lpstr">
      <vt:lpstr>mp402</vt:lpstr>
    </vt:vector>
  </TitlesOfParts>
  <Company>Riksdagen</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mp402</dc:title>
  <dc:subject>mp402</dc:subject>
  <dc:creator>Riksdagen</dc:creator>
  <cp:keywords>Riksdagen</cp:keywords>
  <dc:description>TKG-ktrl, MSMQ4mb, PersReg-Distribution mm</dc:description>
  <cp:lastModifiedBy>Lars Brink</cp:lastModifiedBy>
  <cp:revision>2</cp:revision>
  <cp:lastPrinted>2007-10-31T11:01:00Z</cp:lastPrinted>
  <dcterms:created xsi:type="dcterms:W3CDTF">2025-12-17T05:15:00Z</dcterms:created>
  <dcterms:modified xsi:type="dcterms:W3CDTF">2025-12-17T05:15:00Z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FLn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Utgiftsområdena 2 Samhällsekonomi och finansförvaltning och 25 Allmänna bidrag till kommuner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Utgiftsområdena 2 Samhällsekonomi och finansförvaltning och 25 Allmänna bidrag till kommuner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mp402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Mikaela Valtersson m.fl. (mp)</vt:lpwstr>
  </property>
  <property fmtid="{D5CDD505-2E9C-101B-9397-08002B2CF9AE}" pid="26" name="MotionarLista">
    <vt:lpwstr>Valtersson, Mikaela (mp)\Bolund, Per (mp)\Holm, Ulf (mp)\Leander, Helena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Mikaela Valtersson (mp), Per Bolund (mp), Ulf Holm (mp), Helena Leander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Fi262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20072008000001090112000004020075</vt:lpwstr>
  </property>
  <property fmtid="{D5CDD505-2E9C-101B-9397-08002B2CF9AE}" pid="47" name="datum">
    <vt:lpwstr>071004</vt:lpwstr>
  </property>
  <property fmtid="{D5CDD505-2E9C-101B-9397-08002B2CF9AE}" pid="48" name="avsändar-e-post">
    <vt:lpwstr>magnus.lindgren@riksdagen.se</vt:lpwstr>
  </property>
  <property fmtid="{D5CDD505-2E9C-101B-9397-08002B2CF9AE}" pid="49" name="id">
    <vt:lpwstr>20072008000001090112000004020075</vt:lpwstr>
  </property>
  <property fmtid="{D5CDD505-2E9C-101B-9397-08002B2CF9AE}" pid="50" name="nummer">
    <vt:lpwstr>262</vt:lpwstr>
  </property>
  <property fmtid="{D5CDD505-2E9C-101B-9397-08002B2CF9AE}" pid="51" name="utskottsbeteckning">
    <vt:lpwstr>Fi</vt:lpwstr>
  </property>
  <property fmtid="{D5CDD505-2E9C-101B-9397-08002B2CF9AE}" pid="52" name="GlobalUID">
    <vt:lpwstr>{8956A626-7DE9-48B7-ABF4-AA830470B669}</vt:lpwstr>
  </property>
  <property fmtid="{D5CDD505-2E9C-101B-9397-08002B2CF9AE}" pid="53" name="Överföringar">
    <vt:i4>0</vt:i4>
  </property>
  <property fmtid="{D5CDD505-2E9C-101B-9397-08002B2CF9AE}" pid="54" name="Checksum">
    <vt:lpwstr>*0009781048478*</vt:lpwstr>
  </property>
  <property fmtid="{D5CDD505-2E9C-101B-9397-08002B2CF9AE}" pid="55" name="skuggnummer">
    <vt:lpwstr>2740</vt:lpwstr>
  </property>
  <property fmtid="{D5CDD505-2E9C-101B-9397-08002B2CF9AE}" pid="56" name="urixVersion">
    <vt:lpwstr>3.2.0.8</vt:lpwstr>
  </property>
  <property fmtid="{D5CDD505-2E9C-101B-9397-08002B2CF9AE}" pid="57" name="urixOrigin">
    <vt:lpwstr>080827 13:30:13.704</vt:lpwstr>
  </property>
  <property fmtid="{D5CDD505-2E9C-101B-9397-08002B2CF9AE}" pid="58" name="urixGuid">
    <vt:lpwstr>{0CEB6090-3AFB-4CA0-B550-D20B92726933}</vt:lpwstr>
  </property>
</Properties>
</file>