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4B0" w:rsidRPr="00B36848" w:rsidRDefault="003E34B0">
      <w:pPr>
        <w:pStyle w:val="Hemstlrubrik"/>
        <w:shd w:val="clear" w:color="000000" w:fill="auto"/>
      </w:pPr>
      <w:r w:rsidRPr="00B36848">
        <w:t>Förslag till riksdagsbeslut</w:t>
      </w:r>
    </w:p>
    <w:p w:rsidR="003E34B0" w:rsidRPr="00B36848" w:rsidRDefault="003E34B0">
      <w:pPr>
        <w:pStyle w:val="Hemstlatt"/>
        <w:numPr>
          <w:ilvl w:val="0"/>
          <w:numId w:val="1"/>
        </w:numPr>
        <w:shd w:val="clear" w:color="000000" w:fill="auto"/>
      </w:pPr>
      <w:r w:rsidRPr="00B36848">
        <w:t>Riksdagen anvisar med följande ändringar i fö</w:t>
      </w:r>
      <w:r w:rsidRPr="00B36848">
        <w:t>r</w:t>
      </w:r>
      <w:r w:rsidRPr="00B36848">
        <w:t>hållande till regeringens förslag anslagen under utgiftsområde 2 Sa</w:t>
      </w:r>
      <w:r w:rsidRPr="00B36848">
        <w:t>m</w:t>
      </w:r>
      <w:r w:rsidRPr="00B36848">
        <w:t>hällsekonomi och finansförvaltning enligt uppställning:</w:t>
      </w:r>
    </w:p>
    <w:tbl>
      <w:tblPr>
        <w:tblW w:w="5913" w:type="dxa"/>
        <w:tblInd w:w="55" w:type="dxa"/>
        <w:tblCellMar>
          <w:left w:w="70" w:type="dxa"/>
          <w:right w:w="70" w:type="dxa"/>
        </w:tblCellMar>
        <w:tblLook w:val="0000" w:firstRow="0" w:lastRow="0" w:firstColumn="0" w:lastColumn="0" w:noHBand="0" w:noVBand="0"/>
      </w:tblPr>
      <w:tblGrid>
        <w:gridCol w:w="840"/>
        <w:gridCol w:w="2295"/>
        <w:gridCol w:w="926"/>
        <w:gridCol w:w="926"/>
        <w:gridCol w:w="926"/>
      </w:tblGrid>
      <w:tr w:rsidR="00000000" w:rsidRPr="00B36848">
        <w:trPr>
          <w:trHeight w:val="255"/>
        </w:trPr>
        <w:tc>
          <w:tcPr>
            <w:tcW w:w="840"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rPr>
                <w:sz w:val="20"/>
              </w:rPr>
            </w:pPr>
          </w:p>
        </w:tc>
        <w:tc>
          <w:tcPr>
            <w:tcW w:w="2295"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p>
        </w:tc>
        <w:tc>
          <w:tcPr>
            <w:tcW w:w="2778" w:type="dxa"/>
            <w:gridSpan w:val="3"/>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rPr>
                <w:b/>
                <w:bCs/>
                <w:sz w:val="16"/>
                <w:szCs w:val="16"/>
              </w:rPr>
            </w:pPr>
            <w:r w:rsidRPr="00B36848">
              <w:rPr>
                <w:b/>
                <w:bCs/>
                <w:sz w:val="16"/>
                <w:szCs w:val="16"/>
              </w:rPr>
              <w:t>Anslagsförändring (miljoner kronor)</w:t>
            </w:r>
          </w:p>
        </w:tc>
      </w:tr>
      <w:tr w:rsidR="00000000" w:rsidRPr="00B36848">
        <w:trPr>
          <w:trHeight w:val="255"/>
        </w:trPr>
        <w:tc>
          <w:tcPr>
            <w:tcW w:w="840"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rPr>
                <w:sz w:val="20"/>
              </w:rPr>
            </w:pPr>
            <w:r w:rsidRPr="00B36848">
              <w:rPr>
                <w:b/>
                <w:bCs/>
                <w:sz w:val="16"/>
                <w:szCs w:val="16"/>
              </w:rPr>
              <w:t>Anslag</w:t>
            </w:r>
          </w:p>
        </w:tc>
        <w:tc>
          <w:tcPr>
            <w:tcW w:w="2295"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b/>
                <w:bCs/>
                <w:sz w:val="16"/>
                <w:szCs w:val="16"/>
              </w:rPr>
            </w:pP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2009</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2010</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2011</w:t>
            </w:r>
          </w:p>
        </w:tc>
      </w:tr>
      <w:tr w:rsidR="00000000" w:rsidRPr="00B36848">
        <w:trPr>
          <w:trHeight w:val="255"/>
        </w:trPr>
        <w:tc>
          <w:tcPr>
            <w:tcW w:w="840"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rPr>
                <w:sz w:val="20"/>
              </w:rPr>
            </w:pPr>
          </w:p>
        </w:tc>
        <w:tc>
          <w:tcPr>
            <w:tcW w:w="2295"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Summa utgiftsområde:</w:t>
            </w:r>
          </w:p>
        </w:tc>
        <w:tc>
          <w:tcPr>
            <w:tcW w:w="926"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170</w:t>
            </w:r>
          </w:p>
        </w:tc>
        <w:tc>
          <w:tcPr>
            <w:tcW w:w="926"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340</w:t>
            </w:r>
          </w:p>
        </w:tc>
        <w:tc>
          <w:tcPr>
            <w:tcW w:w="926"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500</w:t>
            </w:r>
          </w:p>
        </w:tc>
      </w:tr>
      <w:tr w:rsidR="00000000" w:rsidRPr="00B36848">
        <w:trPr>
          <w:trHeight w:val="368"/>
        </w:trPr>
        <w:tc>
          <w:tcPr>
            <w:tcW w:w="840" w:type="dxa"/>
            <w:tcBorders>
              <w:top w:val="nil"/>
              <w:left w:val="nil"/>
              <w:bottom w:val="single" w:sz="8" w:space="0" w:color="auto"/>
              <w:right w:val="nil"/>
            </w:tcBorders>
            <w:vAlign w:val="bottom"/>
          </w:tcPr>
          <w:p w:rsidR="003E34B0" w:rsidRPr="00B36848" w:rsidRDefault="003E34B0">
            <w:pPr>
              <w:shd w:val="clear" w:color="000000" w:fill="auto"/>
              <w:spacing w:before="60" w:line="200" w:lineRule="exact"/>
              <w:rPr>
                <w:sz w:val="16"/>
                <w:szCs w:val="16"/>
              </w:rPr>
            </w:pPr>
            <w:r w:rsidRPr="00B36848">
              <w:rPr>
                <w:sz w:val="16"/>
                <w:szCs w:val="16"/>
              </w:rPr>
              <w:t>1:4</w:t>
            </w:r>
          </w:p>
        </w:tc>
        <w:tc>
          <w:tcPr>
            <w:tcW w:w="2295" w:type="dxa"/>
            <w:tcBorders>
              <w:top w:val="nil"/>
              <w:left w:val="nil"/>
              <w:bottom w:val="single" w:sz="8" w:space="0" w:color="auto"/>
              <w:right w:val="nil"/>
            </w:tcBorders>
            <w:vAlign w:val="bottom"/>
          </w:tcPr>
          <w:p w:rsidR="003E34B0" w:rsidRPr="00B36848" w:rsidRDefault="003E34B0">
            <w:pPr>
              <w:shd w:val="clear" w:color="000000" w:fill="auto"/>
              <w:spacing w:before="60" w:line="200" w:lineRule="exact"/>
              <w:jc w:val="right"/>
              <w:rPr>
                <w:sz w:val="16"/>
                <w:szCs w:val="16"/>
              </w:rPr>
            </w:pPr>
            <w:r w:rsidRPr="00B36848">
              <w:rPr>
                <w:sz w:val="16"/>
                <w:szCs w:val="16"/>
              </w:rPr>
              <w:t>Arbetsgivarpolitiska frågor</w:t>
            </w:r>
          </w:p>
        </w:tc>
        <w:tc>
          <w:tcPr>
            <w:tcW w:w="926" w:type="dxa"/>
            <w:tcBorders>
              <w:top w:val="nil"/>
              <w:left w:val="nil"/>
              <w:bottom w:val="single" w:sz="8"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170</w:t>
            </w:r>
          </w:p>
        </w:tc>
        <w:tc>
          <w:tcPr>
            <w:tcW w:w="926" w:type="dxa"/>
            <w:tcBorders>
              <w:top w:val="nil"/>
              <w:left w:val="nil"/>
              <w:bottom w:val="single" w:sz="8"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340</w:t>
            </w:r>
          </w:p>
        </w:tc>
        <w:tc>
          <w:tcPr>
            <w:tcW w:w="926" w:type="dxa"/>
            <w:tcBorders>
              <w:top w:val="nil"/>
              <w:left w:val="nil"/>
              <w:bottom w:val="single" w:sz="8"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500</w:t>
            </w:r>
          </w:p>
        </w:tc>
      </w:tr>
    </w:tbl>
    <w:p w:rsidR="003E34B0" w:rsidRPr="00B36848" w:rsidRDefault="003E34B0">
      <w:pPr>
        <w:pStyle w:val="Hemstlatt"/>
        <w:numPr>
          <w:ilvl w:val="0"/>
          <w:numId w:val="1"/>
        </w:numPr>
        <w:shd w:val="clear" w:color="000000" w:fill="auto"/>
      </w:pPr>
      <w:r w:rsidRPr="00B36848">
        <w:t>Riksdagen beslutar med följande ändringar i förhållande till regeringens förslag anslagen under utgiftsområde 25 Allmänna statsb</w:t>
      </w:r>
      <w:r w:rsidRPr="00B36848">
        <w:t>i</w:t>
      </w:r>
      <w:r w:rsidRPr="00B36848">
        <w:t>drag till kommuner enligt uppställning:</w:t>
      </w:r>
    </w:p>
    <w:tbl>
      <w:tblPr>
        <w:tblW w:w="5913" w:type="dxa"/>
        <w:tblInd w:w="55" w:type="dxa"/>
        <w:tblCellMar>
          <w:left w:w="70" w:type="dxa"/>
          <w:right w:w="70" w:type="dxa"/>
        </w:tblCellMar>
        <w:tblLook w:val="0000" w:firstRow="0" w:lastRow="0" w:firstColumn="0" w:lastColumn="0" w:noHBand="0" w:noVBand="0"/>
      </w:tblPr>
      <w:tblGrid>
        <w:gridCol w:w="840"/>
        <w:gridCol w:w="2295"/>
        <w:gridCol w:w="926"/>
        <w:gridCol w:w="926"/>
        <w:gridCol w:w="926"/>
      </w:tblGrid>
      <w:tr w:rsidR="00000000" w:rsidRPr="00B36848">
        <w:trPr>
          <w:trHeight w:val="255"/>
        </w:trPr>
        <w:tc>
          <w:tcPr>
            <w:tcW w:w="840"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rPr>
                <w:sz w:val="20"/>
              </w:rPr>
            </w:pPr>
          </w:p>
        </w:tc>
        <w:tc>
          <w:tcPr>
            <w:tcW w:w="2295"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p>
        </w:tc>
        <w:tc>
          <w:tcPr>
            <w:tcW w:w="2778" w:type="dxa"/>
            <w:gridSpan w:val="3"/>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rPr>
                <w:b/>
                <w:bCs/>
                <w:sz w:val="16"/>
                <w:szCs w:val="16"/>
              </w:rPr>
            </w:pPr>
            <w:r w:rsidRPr="00B36848">
              <w:rPr>
                <w:b/>
                <w:bCs/>
                <w:sz w:val="16"/>
                <w:szCs w:val="16"/>
              </w:rPr>
              <w:t>Anslagsförändring (miljoner kronor)</w:t>
            </w:r>
          </w:p>
        </w:tc>
      </w:tr>
      <w:tr w:rsidR="00000000" w:rsidRPr="00B36848">
        <w:trPr>
          <w:trHeight w:val="255"/>
        </w:trPr>
        <w:tc>
          <w:tcPr>
            <w:tcW w:w="840"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rPr>
                <w:sz w:val="20"/>
              </w:rPr>
            </w:pPr>
            <w:r w:rsidRPr="00B36848">
              <w:rPr>
                <w:b/>
                <w:bCs/>
                <w:sz w:val="16"/>
                <w:szCs w:val="16"/>
              </w:rPr>
              <w:t>Anslag</w:t>
            </w:r>
          </w:p>
        </w:tc>
        <w:tc>
          <w:tcPr>
            <w:tcW w:w="2295"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b/>
                <w:bCs/>
                <w:sz w:val="16"/>
                <w:szCs w:val="16"/>
              </w:rPr>
            </w:pP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2009</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2010</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2011</w:t>
            </w:r>
          </w:p>
        </w:tc>
      </w:tr>
      <w:tr w:rsidR="00000000" w:rsidRPr="00B36848">
        <w:trPr>
          <w:trHeight w:val="255"/>
        </w:trPr>
        <w:tc>
          <w:tcPr>
            <w:tcW w:w="840"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rPr>
                <w:sz w:val="20"/>
              </w:rPr>
            </w:pPr>
          </w:p>
        </w:tc>
        <w:tc>
          <w:tcPr>
            <w:tcW w:w="2295"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Summa utgiftsområde:</w:t>
            </w:r>
          </w:p>
        </w:tc>
        <w:tc>
          <w:tcPr>
            <w:tcW w:w="926"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 230</w:t>
            </w:r>
          </w:p>
        </w:tc>
        <w:tc>
          <w:tcPr>
            <w:tcW w:w="926"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 30</w:t>
            </w:r>
          </w:p>
        </w:tc>
        <w:tc>
          <w:tcPr>
            <w:tcW w:w="926" w:type="dxa"/>
            <w:tcBorders>
              <w:top w:val="single" w:sz="4" w:space="0" w:color="auto"/>
              <w:left w:val="nil"/>
              <w:bottom w:val="nil"/>
              <w:right w:val="nil"/>
            </w:tcBorders>
            <w:noWrap/>
            <w:vAlign w:val="bottom"/>
          </w:tcPr>
          <w:p w:rsidR="003E34B0" w:rsidRPr="00B36848" w:rsidRDefault="003E34B0">
            <w:pPr>
              <w:shd w:val="clear" w:color="000000" w:fill="auto"/>
              <w:spacing w:before="60" w:line="200" w:lineRule="exact"/>
              <w:jc w:val="right"/>
              <w:rPr>
                <w:b/>
                <w:bCs/>
                <w:sz w:val="16"/>
                <w:szCs w:val="16"/>
              </w:rPr>
            </w:pPr>
            <w:r w:rsidRPr="00B36848">
              <w:rPr>
                <w:b/>
                <w:bCs/>
                <w:sz w:val="16"/>
                <w:szCs w:val="16"/>
              </w:rPr>
              <w:t>– 30</w:t>
            </w:r>
          </w:p>
        </w:tc>
      </w:tr>
      <w:tr w:rsidR="00000000" w:rsidRPr="00B36848">
        <w:trPr>
          <w:trHeight w:val="255"/>
        </w:trPr>
        <w:tc>
          <w:tcPr>
            <w:tcW w:w="840" w:type="dxa"/>
            <w:tcBorders>
              <w:top w:val="nil"/>
              <w:left w:val="nil"/>
              <w:bottom w:val="nil"/>
              <w:right w:val="nil"/>
            </w:tcBorders>
            <w:noWrap/>
            <w:vAlign w:val="bottom"/>
          </w:tcPr>
          <w:p w:rsidR="003E34B0" w:rsidRPr="00B36848" w:rsidRDefault="003E34B0">
            <w:pPr>
              <w:shd w:val="clear" w:color="000000" w:fill="auto"/>
              <w:spacing w:before="60" w:line="200" w:lineRule="exact"/>
              <w:rPr>
                <w:sz w:val="16"/>
                <w:szCs w:val="16"/>
              </w:rPr>
            </w:pPr>
            <w:r w:rsidRPr="00B36848">
              <w:rPr>
                <w:sz w:val="16"/>
                <w:szCs w:val="16"/>
              </w:rPr>
              <w:t>1:1</w:t>
            </w:r>
          </w:p>
        </w:tc>
        <w:tc>
          <w:tcPr>
            <w:tcW w:w="2295" w:type="dxa"/>
            <w:tcBorders>
              <w:top w:val="nil"/>
              <w:left w:val="nil"/>
              <w:bottom w:val="nil"/>
              <w:right w:val="nil"/>
            </w:tcBorders>
            <w:noWrap/>
            <w:vAlign w:val="bottom"/>
          </w:tcPr>
          <w:p w:rsidR="003E34B0" w:rsidRPr="00B36848" w:rsidRDefault="003E34B0">
            <w:pPr>
              <w:shd w:val="clear" w:color="000000" w:fill="auto"/>
              <w:spacing w:before="60" w:line="200" w:lineRule="exact"/>
              <w:rPr>
                <w:sz w:val="16"/>
                <w:szCs w:val="16"/>
              </w:rPr>
            </w:pPr>
            <w:r w:rsidRPr="00B36848">
              <w:rPr>
                <w:sz w:val="16"/>
                <w:szCs w:val="16"/>
              </w:rPr>
              <w:t>Statsbidrag (utvidgad rätt m</w:t>
            </w:r>
            <w:r w:rsidRPr="00B36848">
              <w:rPr>
                <w:sz w:val="16"/>
                <w:szCs w:val="16"/>
              </w:rPr>
              <w:t>o</w:t>
            </w:r>
            <w:r w:rsidRPr="00B36848">
              <w:rPr>
                <w:sz w:val="16"/>
                <w:szCs w:val="16"/>
              </w:rPr>
              <w:t>dersmål)</w:t>
            </w:r>
          </w:p>
        </w:tc>
        <w:tc>
          <w:tcPr>
            <w:tcW w:w="926" w:type="dxa"/>
            <w:tcBorders>
              <w:top w:val="nil"/>
              <w:left w:val="nil"/>
              <w:bottom w:val="nil"/>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170</w:t>
            </w:r>
          </w:p>
        </w:tc>
        <w:tc>
          <w:tcPr>
            <w:tcW w:w="926" w:type="dxa"/>
            <w:tcBorders>
              <w:top w:val="nil"/>
              <w:left w:val="nil"/>
              <w:bottom w:val="nil"/>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170</w:t>
            </w:r>
          </w:p>
        </w:tc>
        <w:tc>
          <w:tcPr>
            <w:tcW w:w="926" w:type="dxa"/>
            <w:tcBorders>
              <w:top w:val="nil"/>
              <w:left w:val="nil"/>
              <w:bottom w:val="nil"/>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170</w:t>
            </w:r>
          </w:p>
        </w:tc>
      </w:tr>
      <w:tr w:rsidR="00000000" w:rsidRPr="00B36848">
        <w:trPr>
          <w:trHeight w:val="255"/>
        </w:trPr>
        <w:tc>
          <w:tcPr>
            <w:tcW w:w="840" w:type="dxa"/>
            <w:tcBorders>
              <w:top w:val="nil"/>
              <w:left w:val="nil"/>
              <w:right w:val="nil"/>
            </w:tcBorders>
            <w:noWrap/>
            <w:vAlign w:val="bottom"/>
          </w:tcPr>
          <w:p w:rsidR="003E34B0" w:rsidRPr="00B36848" w:rsidRDefault="003E34B0">
            <w:pPr>
              <w:shd w:val="clear" w:color="000000" w:fill="auto"/>
              <w:spacing w:before="60" w:line="200" w:lineRule="exact"/>
              <w:rPr>
                <w:sz w:val="16"/>
                <w:szCs w:val="16"/>
              </w:rPr>
            </w:pPr>
            <w:r w:rsidRPr="00B36848">
              <w:rPr>
                <w:sz w:val="16"/>
                <w:szCs w:val="16"/>
              </w:rPr>
              <w:t>1:1</w:t>
            </w:r>
          </w:p>
        </w:tc>
        <w:tc>
          <w:tcPr>
            <w:tcW w:w="2295" w:type="dxa"/>
            <w:tcBorders>
              <w:top w:val="nil"/>
              <w:left w:val="nil"/>
              <w:right w:val="nil"/>
            </w:tcBorders>
            <w:noWrap/>
            <w:vAlign w:val="bottom"/>
          </w:tcPr>
          <w:p w:rsidR="003E34B0" w:rsidRPr="00B36848" w:rsidRDefault="003E34B0">
            <w:pPr>
              <w:shd w:val="clear" w:color="000000" w:fill="auto"/>
              <w:spacing w:before="60" w:line="200" w:lineRule="exact"/>
              <w:rPr>
                <w:sz w:val="16"/>
                <w:szCs w:val="16"/>
              </w:rPr>
            </w:pPr>
            <w:r w:rsidRPr="00B36848">
              <w:rPr>
                <w:sz w:val="16"/>
                <w:szCs w:val="16"/>
              </w:rPr>
              <w:t xml:space="preserve">Komvux </w:t>
            </w:r>
          </w:p>
        </w:tc>
        <w:tc>
          <w:tcPr>
            <w:tcW w:w="926" w:type="dxa"/>
            <w:tcBorders>
              <w:top w:val="nil"/>
              <w:left w:val="nil"/>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400</w:t>
            </w:r>
          </w:p>
        </w:tc>
        <w:tc>
          <w:tcPr>
            <w:tcW w:w="926" w:type="dxa"/>
            <w:tcBorders>
              <w:top w:val="nil"/>
              <w:left w:val="nil"/>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600</w:t>
            </w:r>
          </w:p>
        </w:tc>
        <w:tc>
          <w:tcPr>
            <w:tcW w:w="926" w:type="dxa"/>
            <w:tcBorders>
              <w:top w:val="nil"/>
              <w:left w:val="nil"/>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600</w:t>
            </w:r>
          </w:p>
        </w:tc>
      </w:tr>
      <w:tr w:rsidR="00000000" w:rsidRPr="00B36848">
        <w:trPr>
          <w:trHeight w:val="255"/>
        </w:trPr>
        <w:tc>
          <w:tcPr>
            <w:tcW w:w="840"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rPr>
                <w:sz w:val="16"/>
                <w:szCs w:val="16"/>
              </w:rPr>
            </w:pPr>
            <w:r w:rsidRPr="00B36848">
              <w:rPr>
                <w:sz w:val="16"/>
                <w:szCs w:val="16"/>
              </w:rPr>
              <w:t>1:1</w:t>
            </w:r>
          </w:p>
        </w:tc>
        <w:tc>
          <w:tcPr>
            <w:tcW w:w="2295"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rPr>
                <w:sz w:val="16"/>
                <w:szCs w:val="16"/>
              </w:rPr>
            </w:pPr>
            <w:r w:rsidRPr="00B36848">
              <w:rPr>
                <w:sz w:val="16"/>
                <w:szCs w:val="16"/>
              </w:rPr>
              <w:t>Avräkning statsbidrag p.g.a. höjd a-kassa</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 800</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 800</w:t>
            </w:r>
          </w:p>
        </w:tc>
        <w:tc>
          <w:tcPr>
            <w:tcW w:w="926" w:type="dxa"/>
            <w:tcBorders>
              <w:top w:val="nil"/>
              <w:left w:val="nil"/>
              <w:bottom w:val="single" w:sz="4" w:space="0" w:color="auto"/>
              <w:right w:val="nil"/>
            </w:tcBorders>
            <w:noWrap/>
            <w:vAlign w:val="bottom"/>
          </w:tcPr>
          <w:p w:rsidR="003E34B0" w:rsidRPr="00B36848" w:rsidRDefault="003E34B0">
            <w:pPr>
              <w:shd w:val="clear" w:color="000000" w:fill="auto"/>
              <w:spacing w:before="60" w:line="200" w:lineRule="exact"/>
              <w:jc w:val="right"/>
              <w:rPr>
                <w:sz w:val="16"/>
                <w:szCs w:val="16"/>
              </w:rPr>
            </w:pPr>
            <w:r w:rsidRPr="00B36848">
              <w:rPr>
                <w:sz w:val="16"/>
                <w:szCs w:val="16"/>
              </w:rPr>
              <w:t>– 800</w:t>
            </w:r>
          </w:p>
        </w:tc>
      </w:tr>
    </w:tbl>
    <w:p w:rsidR="003E34B0" w:rsidRPr="00B36848" w:rsidRDefault="003E34B0">
      <w:pPr>
        <w:shd w:val="clear" w:color="000000" w:fill="auto"/>
      </w:pPr>
    </w:p>
    <w:p w:rsidR="003E34B0" w:rsidRPr="00B36848" w:rsidRDefault="003E34B0">
      <w:pPr>
        <w:shd w:val="clear" w:color="000000" w:fill="auto"/>
      </w:pPr>
    </w:p>
    <w:p w:rsidR="003E34B0" w:rsidRPr="00B36848" w:rsidRDefault="003E34B0">
      <w:pPr>
        <w:pStyle w:val="Rubrik1"/>
        <w:shd w:val="clear" w:color="000000" w:fill="auto"/>
      </w:pPr>
      <w:r w:rsidRPr="00B36848">
        <w:lastRenderedPageBreak/>
        <w:t>Utgiftsområde 2 Samhällsekonomi och finansförvaltning</w:t>
      </w:r>
    </w:p>
    <w:p w:rsidR="003E34B0" w:rsidRPr="00B36848" w:rsidRDefault="003E34B0">
      <w:pPr>
        <w:shd w:val="clear" w:color="000000" w:fill="auto"/>
      </w:pPr>
      <w:r w:rsidRPr="00B36848">
        <w:t>Överallt i arbetslivet råder det stor brist på jämställdhet mellan könen. Diskrimineringen av kvinnor finns på alla nivåer: vid tillsättande av chef</w:t>
      </w:r>
      <w:r w:rsidRPr="00B36848">
        <w:t>s</w:t>
      </w:r>
      <w:r w:rsidRPr="00B36848">
        <w:t>tjänster, när det gäller lönens storlek, när det gäller anställningsformer och när det gäller hel- och deltider. Denna ordning är oacceptabel.</w:t>
      </w:r>
    </w:p>
    <w:p w:rsidR="003E34B0" w:rsidRPr="00B36848" w:rsidRDefault="003E34B0">
      <w:pPr>
        <w:pStyle w:val="Normaltindrag"/>
        <w:shd w:val="clear" w:color="000000" w:fill="auto"/>
      </w:pPr>
      <w:r w:rsidRPr="00B36848">
        <w:t>Lönegapet mellan kvinnor och män är stort, åtta procent, om faktorer som utbildning, arbetstider och befattningsansvar räknas bort. Mot den bakgru</w:t>
      </w:r>
      <w:r w:rsidRPr="00B36848">
        <w:t>n</w:t>
      </w:r>
      <w:r w:rsidRPr="00B36848">
        <w:t>den bör den innevarande mandatperioden bli den period då den könsrelaterade lönediskrimineringen avskaffas på den svenska arbetsmarknaden. Då gäller det också att arbetsmarknadens parter tar sitt fulla ansvar.</w:t>
      </w:r>
    </w:p>
    <w:p w:rsidR="003E34B0" w:rsidRPr="00B36848" w:rsidRDefault="003E34B0">
      <w:pPr>
        <w:pStyle w:val="Normaltindrag"/>
        <w:shd w:val="clear" w:color="000000" w:fill="auto"/>
      </w:pPr>
      <w:r w:rsidRPr="00B36848">
        <w:t>Miljöpartiet de gröna är, till skillnad från regeringen, berett att verka för att staten ska bidra med sin del för att skapa jämställda löner. Vi föreslår på u</w:t>
      </w:r>
      <w:r w:rsidRPr="00B36848">
        <w:t>t</w:t>
      </w:r>
      <w:r w:rsidRPr="00B36848">
        <w:t>giftsområdet Samhälls</w:t>
      </w:r>
      <w:r w:rsidRPr="00B36848">
        <w:softHyphen/>
        <w:t>ekonomi och finansförvaltning 170 miljoner kronor 2008, 340 miljoner kronor 2009 och 500 miljoner kronor 2010 till en särskild pott för jämställda löner i statens verksamheter.</w:t>
      </w:r>
    </w:p>
    <w:p w:rsidR="003E34B0" w:rsidRPr="00B36848" w:rsidRDefault="003E34B0">
      <w:pPr>
        <w:pStyle w:val="Rubrik1"/>
        <w:shd w:val="clear" w:color="000000" w:fill="auto"/>
      </w:pPr>
      <w:r w:rsidRPr="00B36848">
        <w:t>Utgiftsområde 25 Allmänna bidrag till kommunerna</w:t>
      </w:r>
    </w:p>
    <w:p w:rsidR="003E34B0" w:rsidRPr="00B36848" w:rsidRDefault="003E34B0">
      <w:pPr>
        <w:pStyle w:val="Rubrik2"/>
        <w:shd w:val="clear" w:color="000000" w:fill="auto"/>
        <w:spacing w:before="120"/>
      </w:pPr>
      <w:bookmarkStart w:id="0" w:name="_Toc211079278"/>
      <w:bookmarkStart w:id="1" w:name="_Toc211084223"/>
      <w:bookmarkStart w:id="2" w:name="_Toc211088054"/>
      <w:bookmarkStart w:id="3" w:name="_Toc211088207"/>
      <w:r w:rsidRPr="00B36848">
        <w:t>Utvidgad rätt till modersmål</w:t>
      </w:r>
      <w:bookmarkEnd w:id="0"/>
      <w:bookmarkEnd w:id="1"/>
      <w:bookmarkEnd w:id="2"/>
      <w:bookmarkEnd w:id="3"/>
    </w:p>
    <w:p w:rsidR="003E34B0" w:rsidRPr="00B36848" w:rsidRDefault="003E34B0">
      <w:pPr>
        <w:shd w:val="clear" w:color="000000" w:fill="auto"/>
      </w:pPr>
      <w:r w:rsidRPr="00B36848">
        <w:t>Barn har rätt till goda kunskaper såväl i svenska språket som i sitt modersmål, i de fall då det inte är svenska. Goda kunskaper i modersmålet ger dessutom bättre förut</w:t>
      </w:r>
      <w:r w:rsidRPr="00B36848">
        <w:softHyphen/>
        <w:t>sättningar för att lära sig ett andra språk bra. Att skolan erbjuder en bra modersmåls</w:t>
      </w:r>
      <w:r w:rsidRPr="00B36848">
        <w:softHyphen/>
        <w:t>undervisning är således både en fråga om att barn ska ha rätt till sin kultur och att skapa goda förutsättningar för att alla elever ska utveckla goda kunskaper i svenska språket, vilket är ett av skolans viktigaste ämnen.</w:t>
      </w:r>
    </w:p>
    <w:p w:rsidR="003E34B0" w:rsidRPr="00B36848" w:rsidRDefault="003E34B0">
      <w:pPr>
        <w:pStyle w:val="Normaltindrag"/>
        <w:shd w:val="clear" w:color="000000" w:fill="auto"/>
      </w:pPr>
      <w:r w:rsidRPr="00B36848">
        <w:t>I grundskoleförordningen finns en begränsning som säger att elever har rätt till modersmålsundervisning i som mest sju år. Det är en begränsning som Miljöpartiet vill ta bort, vilket även Skolverket re</w:t>
      </w:r>
      <w:r w:rsidRPr="00B36848">
        <w:t>kommenderat. Fördjupade språkkunskaper anses i andra fall vara en tillgång för samhället, och har till och med föranlett reformer av antagningssystemet till högskolan. Självklart ska elever som så önskar kunna fördjupa sina kunskaper i modersmålet även efter att ha studerat det i sju år. För att finansiera denna regelförändring för</w:t>
      </w:r>
      <w:r w:rsidRPr="00B36848">
        <w:t>e</w:t>
      </w:r>
      <w:r w:rsidRPr="00B36848">
        <w:t>slår vi att statsbidragen till kommunerna ökar med 170 miljoner kronor årl</w:t>
      </w:r>
      <w:r w:rsidRPr="00B36848">
        <w:t>i</w:t>
      </w:r>
      <w:r w:rsidRPr="00B36848">
        <w:t>gen.</w:t>
      </w:r>
    </w:p>
    <w:p w:rsidR="003E34B0" w:rsidRPr="00B36848" w:rsidRDefault="003E34B0">
      <w:pPr>
        <w:pStyle w:val="Rubrik2"/>
        <w:shd w:val="clear" w:color="000000" w:fill="auto"/>
      </w:pPr>
      <w:r w:rsidRPr="00B36848">
        <w:t>Vuxenutbildning</w:t>
      </w:r>
    </w:p>
    <w:p w:rsidR="003E34B0" w:rsidRPr="00B36848" w:rsidRDefault="003E34B0">
      <w:pPr>
        <w:shd w:val="clear" w:color="000000" w:fill="auto"/>
      </w:pPr>
      <w:r w:rsidRPr="00B36848">
        <w:t>Vuxenutbildning är en viktig möjlighet för människor att utbilda sig vidare och få en ny chans på arbetsmarknaden. Vi menar att det idag finns för få platser i vuxenutbildningen för dem som vill läsa in eller omskola sig inom gymnasieskolans yrkesprogram. Vuxenutbildningen ska ha något att erbjuda både för den som hoppade av gymnasiet och vill läsa in gymnasiekompetens och för den som har gått ett teoretiskt gymnasie</w:t>
      </w:r>
      <w:r w:rsidRPr="00B36848">
        <w:softHyphen/>
        <w:t xml:space="preserve">program och sedan vill komplettera med mer yrkesspecifik utbildning för att få jobb. </w:t>
      </w:r>
    </w:p>
    <w:p w:rsidR="003E34B0" w:rsidRPr="00B36848" w:rsidRDefault="003E34B0">
      <w:pPr>
        <w:pStyle w:val="Normaltindrag"/>
        <w:shd w:val="clear" w:color="000000" w:fill="auto"/>
      </w:pPr>
      <w:r w:rsidRPr="00B36848">
        <w:t>Neddragningarna av den kommunala vuxenutbildningen har varit omfa</w:t>
      </w:r>
      <w:r w:rsidRPr="00B36848">
        <w:t>t</w:t>
      </w:r>
      <w:r w:rsidRPr="00B36848">
        <w:t>tande, regeringen backar nu, men först 2012 kommer antalet komvuxplatser att vara tillbaka på 2006 års nivå med nuvarande politik. Vi menar att det är fullständigt otillräckligt och föreslår 4 700 fler komvuxplatser än regeringen 2009 och 7 000 fler platser 2010 och 2011 varav 4 500 yrkesvuxplatser. Vi avsätter för detta ändamål 400 miljoner kronor mer till kommunerna 2009. Anslaget ökar med 600 miljoner kronor 2010 och 2011.</w:t>
      </w:r>
    </w:p>
    <w:p w:rsidR="003E34B0" w:rsidRPr="00B36848" w:rsidRDefault="003E34B0">
      <w:pPr>
        <w:pStyle w:val="Rubrik2"/>
        <w:shd w:val="clear" w:color="000000" w:fill="auto"/>
      </w:pPr>
      <w:r w:rsidRPr="00B36848">
        <w:t>Avräkning på grund av höjd a-kassa</w:t>
      </w:r>
    </w:p>
    <w:p w:rsidR="003E34B0" w:rsidRPr="00B36848" w:rsidRDefault="003E34B0">
      <w:pPr>
        <w:shd w:val="clear" w:color="000000" w:fill="auto"/>
      </w:pPr>
      <w:r w:rsidRPr="00B36848">
        <w:t>Miljöpartiet föreslår en rad reformer avseende arbetslöshetsersättningen. Reformerna innebär ökade skatteintäkter för kommunerna. Dessa pengar föreslår vi ska avräknas från statsbidragen. Minskningen innebär att anslag 48:1 minskar med 800 miljoner kronor årligen.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848">
        <w:trPr>
          <w:cantSplit/>
        </w:trPr>
        <w:tc>
          <w:tcPr>
            <w:tcW w:w="3046" w:type="dxa"/>
          </w:tcPr>
          <w:p w:rsidR="003E34B0" w:rsidRPr="00B36848" w:rsidRDefault="003E34B0">
            <w:pPr>
              <w:pStyle w:val="UnderskriftDatum"/>
              <w:shd w:val="clear" w:color="000000" w:fill="auto"/>
              <w:spacing w:before="240"/>
            </w:pPr>
            <w:r w:rsidRPr="00B36848">
              <w:t>Stockholm den 7 oktober 2008</w:t>
            </w:r>
          </w:p>
        </w:tc>
        <w:tc>
          <w:tcPr>
            <w:tcW w:w="3047" w:type="dxa"/>
          </w:tcPr>
          <w:p w:rsidR="003E34B0" w:rsidRPr="00B36848" w:rsidRDefault="003E34B0">
            <w:pPr>
              <w:pStyle w:val="Underskrifter"/>
              <w:shd w:val="clear" w:color="000000" w:fill="auto"/>
              <w:spacing w:before="240"/>
            </w:pPr>
          </w:p>
        </w:tc>
      </w:tr>
      <w:tr w:rsidR="00000000" w:rsidRPr="00B36848">
        <w:trPr>
          <w:cantSplit/>
        </w:trPr>
        <w:tc>
          <w:tcPr>
            <w:tcW w:w="3046" w:type="dxa"/>
          </w:tcPr>
          <w:p w:rsidR="003E34B0" w:rsidRPr="00B36848" w:rsidRDefault="003E34B0">
            <w:pPr>
              <w:pStyle w:val="Underskrifter"/>
              <w:shd w:val="clear" w:color="000000" w:fill="auto"/>
            </w:pPr>
            <w:r w:rsidRPr="00B36848">
              <w:t>Mikaela Valtersson (mp)</w:t>
            </w:r>
          </w:p>
        </w:tc>
        <w:tc>
          <w:tcPr>
            <w:tcW w:w="3046" w:type="dxa"/>
          </w:tcPr>
          <w:p w:rsidR="003E34B0" w:rsidRPr="00B36848" w:rsidRDefault="003E34B0">
            <w:pPr>
              <w:pStyle w:val="Underskrifter"/>
              <w:shd w:val="clear" w:color="000000" w:fill="auto"/>
            </w:pPr>
          </w:p>
        </w:tc>
      </w:tr>
      <w:tr w:rsidR="00000000" w:rsidRPr="00B36848">
        <w:trPr>
          <w:cantSplit/>
        </w:trPr>
        <w:tc>
          <w:tcPr>
            <w:tcW w:w="3046" w:type="dxa"/>
          </w:tcPr>
          <w:p w:rsidR="003E34B0" w:rsidRPr="00B36848" w:rsidRDefault="003E34B0">
            <w:pPr>
              <w:pStyle w:val="Underskrifter"/>
              <w:shd w:val="clear" w:color="000000" w:fill="auto"/>
            </w:pPr>
            <w:r w:rsidRPr="00B36848">
              <w:t>Peter Eriksson (mp)</w:t>
            </w:r>
          </w:p>
        </w:tc>
        <w:tc>
          <w:tcPr>
            <w:tcW w:w="3046" w:type="dxa"/>
          </w:tcPr>
          <w:p w:rsidR="003E34B0" w:rsidRPr="00B36848" w:rsidRDefault="003E34B0">
            <w:pPr>
              <w:pStyle w:val="Underskrifter"/>
              <w:shd w:val="clear" w:color="000000" w:fill="auto"/>
            </w:pPr>
            <w:r w:rsidRPr="00B36848">
              <w:t>Christopher Ödmann (mp)</w:t>
            </w:r>
          </w:p>
        </w:tc>
      </w:tr>
    </w:tbl>
    <w:p w:rsidR="003E34B0" w:rsidRPr="00B36848" w:rsidRDefault="003E34B0">
      <w:pPr>
        <w:pStyle w:val="Normaltindrag"/>
        <w:shd w:val="clear" w:color="000000" w:fill="auto"/>
      </w:pPr>
    </w:p>
    <w:sectPr w:rsidR="003E34B0" w:rsidRPr="00B36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4B0" w:rsidRPr="00B36848" w:rsidRDefault="003E34B0">
      <w:r w:rsidRPr="00B36848">
        <w:separator/>
      </w:r>
    </w:p>
  </w:endnote>
  <w:endnote w:type="continuationSeparator" w:id="0">
    <w:p w:rsidR="003E34B0" w:rsidRPr="00B36848" w:rsidRDefault="003E34B0">
      <w:r w:rsidRPr="00B36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4B0" w:rsidRPr="00B36848" w:rsidRDefault="00B36848">
    <w:pPr>
      <w:pStyle w:val="Sidfot"/>
    </w:pPr>
    <w:r w:rsidRPr="00B36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75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4B0" w:rsidRDefault="003E3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4B0" w:rsidRDefault="003E3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4B0" w:rsidRPr="00B36848" w:rsidRDefault="00B36848">
    <w:pPr>
      <w:pStyle w:val="Sidfot"/>
    </w:pPr>
    <w:r w:rsidRPr="00B36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474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4B0" w:rsidRDefault="003E34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4B0" w:rsidRDefault="003E34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4B0" w:rsidRPr="00B36848" w:rsidRDefault="00B36848">
    <w:pPr>
      <w:pStyle w:val="Sidfot"/>
    </w:pPr>
    <w:r w:rsidRPr="00B36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471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4B0" w:rsidRDefault="003E3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4B0" w:rsidRDefault="003E3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4B0" w:rsidRPr="00B36848" w:rsidRDefault="003E34B0">
      <w:r w:rsidRPr="00B36848">
        <w:separator/>
      </w:r>
    </w:p>
  </w:footnote>
  <w:footnote w:type="continuationSeparator" w:id="0">
    <w:p w:rsidR="003E34B0" w:rsidRPr="00B36848" w:rsidRDefault="003E34B0">
      <w:r w:rsidRPr="00B36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4B0" w:rsidRPr="00B36848" w:rsidRDefault="00B36848">
    <w:pPr>
      <w:pStyle w:val="Sidhuvud"/>
    </w:pPr>
    <w:r w:rsidRPr="00B36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2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4B0" w:rsidRDefault="003E34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4B0" w:rsidRDefault="003E34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4B0" w:rsidRPr="00B36848" w:rsidRDefault="00B36848">
    <w:pPr>
      <w:pStyle w:val="Sidhuvud"/>
    </w:pPr>
    <w:r w:rsidRPr="00B36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567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4B0" w:rsidRDefault="003E34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4B0" w:rsidRDefault="003E34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4B0" w:rsidRPr="00B36848" w:rsidRDefault="003E34B0">
    <w:pPr>
      <w:pStyle w:val="FSHNormal"/>
      <w:tabs>
        <w:tab w:val="right" w:pos="5840"/>
      </w:tabs>
    </w:pPr>
    <w:r w:rsidRPr="00B36848">
      <w:br/>
    </w:r>
    <w:r w:rsidRPr="00B36848">
      <w:fldChar w:fldCharType="begin" w:fldLock="1"/>
    </w:r>
    <w:r w:rsidRPr="00B36848">
      <w:instrText xml:space="preserve"> DOCPROPERTY</w:instrText>
    </w:r>
    <w:r w:rsidRPr="00B36848">
      <w:rPr>
        <w:sz w:val="18"/>
      </w:rPr>
      <w:instrText xml:space="preserve"> "YearUser" *\charformat </w:instrText>
    </w:r>
    <w:r w:rsidRPr="00B36848">
      <w:fldChar w:fldCharType="separate"/>
    </w:r>
    <w:r w:rsidRPr="00B36848">
      <w:t>2008/09</w:t>
    </w:r>
    <w:r w:rsidRPr="00B36848">
      <w:fldChar w:fldCharType="end"/>
    </w:r>
    <w:r w:rsidRPr="00B36848">
      <w:t xml:space="preserve"> </w:t>
    </w:r>
    <w:r w:rsidRPr="00B36848">
      <w:tab/>
      <w:t xml:space="preserve">mnr: </w:t>
    </w:r>
    <w:r w:rsidRPr="00B36848">
      <w:fldChar w:fldCharType="begin" w:fldLock="1"/>
    </w:r>
    <w:r w:rsidRPr="00B36848">
      <w:instrText xml:space="preserve"> DOCPROPERTY</w:instrText>
    </w:r>
    <w:r w:rsidRPr="00B36848">
      <w:rPr>
        <w:sz w:val="18"/>
      </w:rPr>
      <w:instrText xml:space="preserve"> "Motionsnummer" *\charformat </w:instrText>
    </w:r>
    <w:r w:rsidRPr="00B36848">
      <w:fldChar w:fldCharType="separate"/>
    </w:r>
    <w:r w:rsidRPr="00B36848">
      <w:t>Fi298</w:t>
    </w:r>
    <w:r w:rsidRPr="00B36848">
      <w:fldChar w:fldCharType="end"/>
    </w:r>
    <w:r w:rsidRPr="00B36848">
      <w:br/>
    </w:r>
    <w:r w:rsidRPr="00B36848">
      <w:fldChar w:fldCharType="begin" w:fldLock="1"/>
    </w:r>
    <w:r w:rsidRPr="00B36848">
      <w:instrText xml:space="preserve"> DOCPROPERTY</w:instrText>
    </w:r>
    <w:r w:rsidRPr="00B36848">
      <w:rPr>
        <w:sz w:val="18"/>
      </w:rPr>
      <w:instrText xml:space="preserve"> "Samling" *\charformat </w:instrText>
    </w:r>
    <w:r w:rsidRPr="00B36848">
      <w:fldChar w:fldCharType="end"/>
    </w:r>
    <w:r w:rsidRPr="00B36848">
      <w:tab/>
      <w:t xml:space="preserve">pnr: </w:t>
    </w:r>
    <w:r w:rsidRPr="00B36848">
      <w:fldChar w:fldCharType="begin" w:fldLock="1"/>
    </w:r>
    <w:r w:rsidRPr="00B36848">
      <w:instrText xml:space="preserve"> DOCPROPERTY</w:instrText>
    </w:r>
    <w:r w:rsidRPr="00B36848">
      <w:rPr>
        <w:sz w:val="18"/>
      </w:rPr>
      <w:instrText xml:space="preserve"> "Partinummer" *\charformat </w:instrText>
    </w:r>
    <w:r w:rsidRPr="00B36848">
      <w:fldChar w:fldCharType="separate"/>
    </w:r>
    <w:r w:rsidRPr="00B36848">
      <w:t>mp402</w:t>
    </w:r>
    <w:r w:rsidRPr="00B36848">
      <w:fldChar w:fldCharType="end"/>
    </w:r>
  </w:p>
  <w:p w:rsidR="003E34B0" w:rsidRPr="00B36848" w:rsidRDefault="003E34B0">
    <w:pPr>
      <w:pStyle w:val="FSHRub1"/>
    </w:pPr>
    <w:r w:rsidRPr="00B36848">
      <w:t>Motion till riksdagen</w:t>
    </w:r>
    <w:r w:rsidRPr="00B36848">
      <w:br/>
    </w:r>
    <w:r w:rsidRPr="00B36848">
      <w:fldChar w:fldCharType="begin" w:fldLock="1"/>
    </w:r>
    <w:r w:rsidRPr="00B36848">
      <w:instrText xml:space="preserve"> DOCPROPERTY "YearUser" *\charformat </w:instrText>
    </w:r>
    <w:r w:rsidRPr="00B36848">
      <w:fldChar w:fldCharType="separate"/>
    </w:r>
    <w:r w:rsidRPr="00B36848">
      <w:t>2008/09</w:t>
    </w:r>
    <w:r w:rsidRPr="00B36848">
      <w:fldChar w:fldCharType="end"/>
    </w:r>
    <w:r w:rsidRPr="00B36848">
      <w:t>:</w:t>
    </w:r>
    <w:r w:rsidRPr="00B36848">
      <w:fldChar w:fldCharType="begin" w:fldLock="1"/>
    </w:r>
    <w:r w:rsidRPr="00B36848">
      <w:instrText xml:space="preserve"> DOCPROPERTY "Motionsnummer" *\charformat </w:instrText>
    </w:r>
    <w:r w:rsidRPr="00B36848">
      <w:fldChar w:fldCharType="separate"/>
    </w:r>
    <w:r w:rsidRPr="00B36848">
      <w:t>Fi298</w:t>
    </w:r>
    <w:r w:rsidRPr="00B36848">
      <w:fldChar w:fldCharType="end"/>
    </w:r>
  </w:p>
  <w:p w:rsidR="003E34B0" w:rsidRPr="00B36848" w:rsidRDefault="003E34B0">
    <w:pPr>
      <w:pStyle w:val="FSHNormalS5"/>
    </w:pPr>
    <w:r w:rsidRPr="00B36848">
      <w:fldChar w:fldCharType="begin" w:fldLock="1"/>
    </w:r>
    <w:r w:rsidRPr="00B36848">
      <w:instrText xml:space="preserve"> DOCPROPERTY "MotionarText" *\charformat </w:instrText>
    </w:r>
    <w:r w:rsidRPr="00B36848">
      <w:fldChar w:fldCharType="separate"/>
    </w:r>
    <w:r w:rsidRPr="00B36848">
      <w:t>av Mikaela Valtersson m.fl. (mp)</w:t>
    </w:r>
    <w:r w:rsidRPr="00B36848">
      <w:fldChar w:fldCharType="end"/>
    </w:r>
    <w:r w:rsidRPr="00B36848">
      <w:br/>
    </w:r>
    <w:r w:rsidRPr="00B36848">
      <w:fldChar w:fldCharType="begin" w:fldLock="1"/>
    </w:r>
    <w:r w:rsidRPr="00B36848">
      <w:instrText xml:space="preserve"> DOCPROPERTY "SvarFrasKort" *\charformat </w:instrText>
    </w:r>
    <w:r w:rsidRPr="00B36848">
      <w:fldChar w:fldCharType="end"/>
    </w:r>
  </w:p>
  <w:p w:rsidR="003E34B0" w:rsidRPr="00B36848" w:rsidRDefault="003E34B0">
    <w:pPr>
      <w:pStyle w:val="FSHTitel"/>
    </w:pPr>
    <w:r w:rsidRPr="00B36848">
      <w:fldChar w:fldCharType="begin" w:fldLock="1"/>
    </w:r>
    <w:r w:rsidRPr="00B36848">
      <w:instrText xml:space="preserve"> DOCPROPERTY</w:instrText>
    </w:r>
    <w:r w:rsidRPr="00B36848">
      <w:rPr>
        <w:sz w:val="18"/>
      </w:rPr>
      <w:instrText xml:space="preserve"> "RubrikSvar" *\charformat </w:instrText>
    </w:r>
    <w:r w:rsidRPr="00B36848">
      <w:fldChar w:fldCharType="separate"/>
    </w:r>
    <w:r w:rsidRPr="00B36848">
      <w:t>Utgiftsområdena 2 Samhällsekonomi och finansförvaltning och 25 Allmänna bidrag till kommuner</w:t>
    </w:r>
    <w:r w:rsidRPr="00B36848">
      <w:fldChar w:fldCharType="end"/>
    </w:r>
  </w:p>
  <w:p w:rsidR="003E34B0" w:rsidRPr="00B36848" w:rsidRDefault="003E34B0">
    <w:pPr>
      <w:pStyle w:val="Normal00"/>
    </w:pPr>
  </w:p>
  <w:p w:rsidR="003E34B0" w:rsidRPr="00B36848" w:rsidRDefault="003E3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DF66C22">
      <w:start w:val="1"/>
      <w:numFmt w:val="decimal"/>
      <w:lvlText w:val="%1."/>
      <w:lvlJc w:val="left"/>
      <w:pPr>
        <w:tabs>
          <w:tab w:val="num" w:pos="340"/>
        </w:tabs>
        <w:ind w:left="340" w:hanging="340"/>
      </w:pPr>
      <w:rPr>
        <w:rFonts w:cs="Times New Roman"/>
      </w:rPr>
    </w:lvl>
    <w:lvl w:ilvl="1" w:tplc="CF1E3254" w:tentative="1">
      <w:start w:val="1"/>
      <w:numFmt w:val="lowerLetter"/>
      <w:lvlText w:val="%2."/>
      <w:lvlJc w:val="left"/>
      <w:pPr>
        <w:tabs>
          <w:tab w:val="num" w:pos="1440"/>
        </w:tabs>
        <w:ind w:left="1440" w:hanging="360"/>
      </w:pPr>
      <w:rPr>
        <w:rFonts w:cs="Times New Roman"/>
      </w:rPr>
    </w:lvl>
    <w:lvl w:ilvl="2" w:tplc="5036B254" w:tentative="1">
      <w:start w:val="1"/>
      <w:numFmt w:val="lowerRoman"/>
      <w:lvlText w:val="%3."/>
      <w:lvlJc w:val="right"/>
      <w:pPr>
        <w:tabs>
          <w:tab w:val="num" w:pos="2160"/>
        </w:tabs>
        <w:ind w:left="2160" w:hanging="180"/>
      </w:pPr>
      <w:rPr>
        <w:rFonts w:cs="Times New Roman"/>
      </w:rPr>
    </w:lvl>
    <w:lvl w:ilvl="3" w:tplc="AFC81BB6" w:tentative="1">
      <w:start w:val="1"/>
      <w:numFmt w:val="decimal"/>
      <w:lvlText w:val="%4."/>
      <w:lvlJc w:val="left"/>
      <w:pPr>
        <w:tabs>
          <w:tab w:val="num" w:pos="2880"/>
        </w:tabs>
        <w:ind w:left="2880" w:hanging="360"/>
      </w:pPr>
      <w:rPr>
        <w:rFonts w:cs="Times New Roman"/>
      </w:rPr>
    </w:lvl>
    <w:lvl w:ilvl="4" w:tplc="9684C3B2" w:tentative="1">
      <w:start w:val="1"/>
      <w:numFmt w:val="lowerLetter"/>
      <w:lvlText w:val="%5."/>
      <w:lvlJc w:val="left"/>
      <w:pPr>
        <w:tabs>
          <w:tab w:val="num" w:pos="3600"/>
        </w:tabs>
        <w:ind w:left="3600" w:hanging="360"/>
      </w:pPr>
      <w:rPr>
        <w:rFonts w:cs="Times New Roman"/>
      </w:rPr>
    </w:lvl>
    <w:lvl w:ilvl="5" w:tplc="0ECCED64" w:tentative="1">
      <w:start w:val="1"/>
      <w:numFmt w:val="lowerRoman"/>
      <w:lvlText w:val="%6."/>
      <w:lvlJc w:val="right"/>
      <w:pPr>
        <w:tabs>
          <w:tab w:val="num" w:pos="4320"/>
        </w:tabs>
        <w:ind w:left="4320" w:hanging="180"/>
      </w:pPr>
      <w:rPr>
        <w:rFonts w:cs="Times New Roman"/>
      </w:rPr>
    </w:lvl>
    <w:lvl w:ilvl="6" w:tplc="C1706688" w:tentative="1">
      <w:start w:val="1"/>
      <w:numFmt w:val="decimal"/>
      <w:lvlText w:val="%7."/>
      <w:lvlJc w:val="left"/>
      <w:pPr>
        <w:tabs>
          <w:tab w:val="num" w:pos="5040"/>
        </w:tabs>
        <w:ind w:left="5040" w:hanging="360"/>
      </w:pPr>
      <w:rPr>
        <w:rFonts w:cs="Times New Roman"/>
      </w:rPr>
    </w:lvl>
    <w:lvl w:ilvl="7" w:tplc="CD96923C" w:tentative="1">
      <w:start w:val="1"/>
      <w:numFmt w:val="lowerLetter"/>
      <w:lvlText w:val="%8."/>
      <w:lvlJc w:val="left"/>
      <w:pPr>
        <w:tabs>
          <w:tab w:val="num" w:pos="5760"/>
        </w:tabs>
        <w:ind w:left="5760" w:hanging="360"/>
      </w:pPr>
      <w:rPr>
        <w:rFonts w:cs="Times New Roman"/>
      </w:rPr>
    </w:lvl>
    <w:lvl w:ilvl="8" w:tplc="79926F0A"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0E709E"/>
    <w:multiLevelType w:val="hybridMultilevel"/>
    <w:tmpl w:val="F8A0D83E"/>
    <w:lvl w:ilvl="0" w:tplc="29CCE1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975836">
    <w:abstractNumId w:val="8"/>
  </w:num>
  <w:num w:numId="2" w16cid:durableId="2028944659">
    <w:abstractNumId w:val="9"/>
  </w:num>
  <w:num w:numId="3" w16cid:durableId="1410616635">
    <w:abstractNumId w:val="8"/>
  </w:num>
  <w:num w:numId="4" w16cid:durableId="464202598">
    <w:abstractNumId w:val="9"/>
  </w:num>
  <w:num w:numId="5" w16cid:durableId="512720830">
    <w:abstractNumId w:val="13"/>
  </w:num>
  <w:num w:numId="6" w16cid:durableId="1609002305">
    <w:abstractNumId w:val="10"/>
  </w:num>
  <w:num w:numId="7" w16cid:durableId="752240680">
    <w:abstractNumId w:val="11"/>
  </w:num>
  <w:num w:numId="8" w16cid:durableId="1872298750">
    <w:abstractNumId w:val="12"/>
  </w:num>
  <w:num w:numId="9" w16cid:durableId="30111024">
    <w:abstractNumId w:val="8"/>
  </w:num>
  <w:num w:numId="10" w16cid:durableId="134952196">
    <w:abstractNumId w:val="3"/>
  </w:num>
  <w:num w:numId="11" w16cid:durableId="692920417">
    <w:abstractNumId w:val="2"/>
  </w:num>
  <w:num w:numId="12" w16cid:durableId="1328553038">
    <w:abstractNumId w:val="1"/>
  </w:num>
  <w:num w:numId="13" w16cid:durableId="443962265">
    <w:abstractNumId w:val="0"/>
  </w:num>
  <w:num w:numId="14" w16cid:durableId="1256329466">
    <w:abstractNumId w:val="9"/>
  </w:num>
  <w:num w:numId="15" w16cid:durableId="1817604118">
    <w:abstractNumId w:val="7"/>
  </w:num>
  <w:num w:numId="16" w16cid:durableId="1433017576">
    <w:abstractNumId w:val="6"/>
  </w:num>
  <w:num w:numId="17" w16cid:durableId="731199098">
    <w:abstractNumId w:val="5"/>
  </w:num>
  <w:num w:numId="18" w16cid:durableId="735738788">
    <w:abstractNumId w:val="4"/>
  </w:num>
  <w:num w:numId="19" w16cid:durableId="247883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7C31CD86-53C7-4E1C-A073-157C1FC7DBDC},{0CDB567F-E43C-4889-9FA5-1291966678FD},{5A165EE7-E029-4B68-908C-9B423A53C354}"/>
  </w:docVars>
  <w:rsids>
    <w:rsidRoot w:val="00C366A7"/>
    <w:rsid w:val="003E34B0"/>
    <w:rsid w:val="00B36848"/>
    <w:rsid w:val="00C366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3A478-57E4-48A9-ACE5-70190528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464">
      <w:bodyDiv w:val="1"/>
      <w:marLeft w:val="0"/>
      <w:marRight w:val="0"/>
      <w:marTop w:val="0"/>
      <w:marBottom w:val="0"/>
      <w:divBdr>
        <w:top w:val="none" w:sz="0" w:space="0" w:color="auto"/>
        <w:left w:val="none" w:sz="0" w:space="0" w:color="auto"/>
        <w:bottom w:val="none" w:sz="0" w:space="0" w:color="auto"/>
        <w:right w:val="none" w:sz="0" w:space="0" w:color="auto"/>
      </w:divBdr>
    </w:div>
    <w:div w:id="10984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3775</Characters>
  <Application>Microsoft Office Word</Application>
  <DocSecurity>4</DocSecurity>
  <Lines>117</Lines>
  <Paragraphs>67</Paragraphs>
  <ScaleCrop>false</ScaleCrop>
  <HeadingPairs>
    <vt:vector size="2" baseType="variant">
      <vt:variant>
        <vt:lpstr>Rubrik</vt:lpstr>
      </vt:variant>
      <vt:variant>
        <vt:i4>1</vt:i4>
      </vt:variant>
    </vt:vector>
  </HeadingPairs>
  <TitlesOfParts>
    <vt:vector size="1" baseType="lpstr">
      <vt:lpstr>mp402</vt:lpstr>
    </vt:vector>
  </TitlesOfParts>
  <Company>Riksdagen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mp402</dc:title>
  <dc:subject>mp402</dc:subject>
  <dc:creator>Riksdagen</dc:creator>
  <cp:keywords>Riksdagen</cp:keywords>
  <dc:description>TKG-ktrl, MSMQ4mb, PersReg-Distribution mm b-&gt;ny fplogga c-&gt;nygamla s-rosen</dc:description>
  <cp:lastModifiedBy>Lars Brink</cp:lastModifiedBy>
  <cp:revision>2</cp:revision>
  <cp:lastPrinted>2009-02-24T10:52:00Z</cp:lastPrinted>
  <dcterms:created xsi:type="dcterms:W3CDTF">2025-12-17T15:15:00Z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Utgiftsområdena 2 Samhällsekonomi och finansförvaltning och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 Samhällsekonomi och finansförvaltning och 25 Allmänna bidrag till kommuner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Mikaela Valtersson m.fl. (mp)</vt:lpwstr>
  </property>
  <property fmtid="{D5CDD505-2E9C-101B-9397-08002B2CF9AE}" pid="26" name="MotionarLista">
    <vt:lpwstr>Valtersson, Mikaela (mp)\Eriksson, Peter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Peter Eriksson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20082009000001090112000004020075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20082009000001090112000004020075</vt:lpwstr>
  </property>
  <property fmtid="{D5CDD505-2E9C-101B-9397-08002B2CF9AE}" pid="50" name="nummer">
    <vt:lpwstr>298</vt:lpwstr>
  </property>
  <property fmtid="{D5CDD505-2E9C-101B-9397-08002B2CF9AE}" pid="51" name="utskottsbeteckning">
    <vt:lpwstr>Fi</vt:lpwstr>
  </property>
  <property fmtid="{D5CDD505-2E9C-101B-9397-08002B2CF9AE}" pid="52" name="GlobalUID">
    <vt:lpwstr>{41A48283-7004-4D90-8879-3B12A2B8513E}</vt:lpwstr>
  </property>
  <property fmtid="{D5CDD505-2E9C-101B-9397-08002B2CF9AE}" pid="53" name="Överföringar">
    <vt:i4>0</vt:i4>
  </property>
  <property fmtid="{D5CDD505-2E9C-101B-9397-08002B2CF9AE}" pid="54" name="Checksum">
    <vt:lpwstr>*1011403593647*</vt:lpwstr>
  </property>
  <property fmtid="{D5CDD505-2E9C-101B-9397-08002B2CF9AE}" pid="55" name="skuggnummer">
    <vt:lpwstr>3655</vt:lpwstr>
  </property>
  <property fmtid="{D5CDD505-2E9C-101B-9397-08002B2CF9AE}" pid="56" name="urixVersion">
    <vt:lpwstr>3.2.0.8</vt:lpwstr>
  </property>
  <property fmtid="{D5CDD505-2E9C-101B-9397-08002B2CF9AE}" pid="57" name="urixOrigin">
    <vt:lpwstr>090402 20:05:07.238</vt:lpwstr>
  </property>
  <property fmtid="{D5CDD505-2E9C-101B-9397-08002B2CF9AE}" pid="58" name="urixGuid">
    <vt:lpwstr>{DBA38F38-F210-4E70-B313-BF1749C286C4}</vt:lpwstr>
  </property>
</Properties>
</file>