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4837B7" w:rsidTr="00CD7FE6">
        <w:tblPrEx>
          <w:tblCellMar>
            <w:top w:w="0" w:type="dxa"/>
            <w:bottom w:w="0" w:type="dxa"/>
          </w:tblCellMar>
        </w:tblPrEx>
        <w:tc>
          <w:tcPr>
            <w:tcW w:w="2268" w:type="dxa"/>
          </w:tcPr>
          <w:p w:rsidR="006E4E11" w:rsidRPr="004837B7"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4837B7" w:rsidRDefault="006E4E11" w:rsidP="007242A3">
            <w:pPr>
              <w:framePr w:w="5035" w:h="1644" w:wrap="notBeside" w:vAnchor="page" w:hAnchor="page" w:x="6573" w:y="721"/>
              <w:rPr>
                <w:rFonts w:ascii="TradeGothic" w:hAnsi="TradeGothic"/>
                <w:i/>
                <w:sz w:val="18"/>
              </w:rPr>
            </w:pPr>
          </w:p>
        </w:tc>
      </w:tr>
      <w:tr w:rsidR="00CD7FE6" w:rsidRPr="004837B7" w:rsidTr="00CD7FE6">
        <w:tblPrEx>
          <w:tblCellMar>
            <w:top w:w="0" w:type="dxa"/>
            <w:bottom w:w="0" w:type="dxa"/>
          </w:tblCellMar>
        </w:tblPrEx>
        <w:tc>
          <w:tcPr>
            <w:tcW w:w="5267" w:type="dxa"/>
            <w:gridSpan w:val="3"/>
          </w:tcPr>
          <w:p w:rsidR="00CD7FE6" w:rsidRPr="004837B7" w:rsidRDefault="00CD7FE6" w:rsidP="007242A3">
            <w:pPr>
              <w:framePr w:w="5035" w:h="1644" w:wrap="notBeside" w:vAnchor="page" w:hAnchor="page" w:x="6573" w:y="721"/>
              <w:rPr>
                <w:rFonts w:ascii="TradeGothic" w:hAnsi="TradeGothic"/>
                <w:b/>
                <w:sz w:val="22"/>
              </w:rPr>
            </w:pPr>
            <w:r w:rsidRPr="004837B7">
              <w:rPr>
                <w:rFonts w:ascii="TradeGothic" w:hAnsi="TradeGothic"/>
                <w:b/>
                <w:sz w:val="22"/>
              </w:rPr>
              <w:t>Rådspromemoria</w:t>
            </w:r>
          </w:p>
        </w:tc>
      </w:tr>
      <w:tr w:rsidR="006E4E11" w:rsidRPr="004837B7" w:rsidTr="00CD7FE6">
        <w:tblPrEx>
          <w:tblCellMar>
            <w:top w:w="0" w:type="dxa"/>
            <w:bottom w:w="0" w:type="dxa"/>
          </w:tblCellMar>
        </w:tblPrEx>
        <w:tc>
          <w:tcPr>
            <w:tcW w:w="3402" w:type="dxa"/>
            <w:gridSpan w:val="2"/>
          </w:tcPr>
          <w:p w:rsidR="006E4E11" w:rsidRPr="004837B7" w:rsidRDefault="006E4E11" w:rsidP="007242A3">
            <w:pPr>
              <w:framePr w:w="5035" w:h="1644" w:wrap="notBeside" w:vAnchor="page" w:hAnchor="page" w:x="6573" w:y="721"/>
            </w:pPr>
          </w:p>
        </w:tc>
        <w:tc>
          <w:tcPr>
            <w:tcW w:w="1865" w:type="dxa"/>
          </w:tcPr>
          <w:p w:rsidR="006E4E11" w:rsidRPr="004837B7" w:rsidRDefault="006E4E11" w:rsidP="007242A3">
            <w:pPr>
              <w:framePr w:w="5035" w:h="1644" w:wrap="notBeside" w:vAnchor="page" w:hAnchor="page" w:x="6573" w:y="721"/>
            </w:pPr>
          </w:p>
        </w:tc>
      </w:tr>
      <w:tr w:rsidR="006E4E11" w:rsidRPr="004837B7" w:rsidTr="00CD7FE6">
        <w:tblPrEx>
          <w:tblCellMar>
            <w:top w:w="0" w:type="dxa"/>
            <w:bottom w:w="0" w:type="dxa"/>
          </w:tblCellMar>
        </w:tblPrEx>
        <w:tc>
          <w:tcPr>
            <w:tcW w:w="2268" w:type="dxa"/>
          </w:tcPr>
          <w:p w:rsidR="006E4E11" w:rsidRPr="004837B7" w:rsidRDefault="00CD7FE6" w:rsidP="007242A3">
            <w:pPr>
              <w:framePr w:w="5035" w:h="1644" w:wrap="notBeside" w:vAnchor="page" w:hAnchor="page" w:x="6573" w:y="721"/>
            </w:pPr>
            <w:r w:rsidRPr="004837B7">
              <w:t>2011-</w:t>
            </w:r>
            <w:r w:rsidR="00A72356" w:rsidRPr="004837B7">
              <w:t>12-0</w:t>
            </w:r>
            <w:r w:rsidR="008B69B2" w:rsidRPr="004837B7">
              <w:t>5</w:t>
            </w:r>
          </w:p>
        </w:tc>
        <w:tc>
          <w:tcPr>
            <w:tcW w:w="2999" w:type="dxa"/>
            <w:gridSpan w:val="2"/>
          </w:tcPr>
          <w:p w:rsidR="006E4E11" w:rsidRPr="004837B7" w:rsidRDefault="006E4E11" w:rsidP="007242A3">
            <w:pPr>
              <w:framePr w:w="5035" w:h="1644" w:wrap="notBeside" w:vAnchor="page" w:hAnchor="page" w:x="6573" w:y="721"/>
              <w:rPr>
                <w:sz w:val="20"/>
              </w:rPr>
            </w:pPr>
          </w:p>
        </w:tc>
      </w:tr>
      <w:tr w:rsidR="006E4E11" w:rsidRPr="004837B7" w:rsidTr="00CD7FE6">
        <w:tblPrEx>
          <w:tblCellMar>
            <w:top w:w="0" w:type="dxa"/>
            <w:bottom w:w="0" w:type="dxa"/>
          </w:tblCellMar>
        </w:tblPrEx>
        <w:tc>
          <w:tcPr>
            <w:tcW w:w="2268" w:type="dxa"/>
          </w:tcPr>
          <w:p w:rsidR="006E4E11" w:rsidRPr="004837B7" w:rsidRDefault="006E4E11" w:rsidP="007242A3">
            <w:pPr>
              <w:framePr w:w="5035" w:h="1644" w:wrap="notBeside" w:vAnchor="page" w:hAnchor="page" w:x="6573" w:y="721"/>
            </w:pPr>
          </w:p>
        </w:tc>
        <w:tc>
          <w:tcPr>
            <w:tcW w:w="2999" w:type="dxa"/>
            <w:gridSpan w:val="2"/>
          </w:tcPr>
          <w:p w:rsidR="006E4E11" w:rsidRPr="004837B7"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4837B7">
        <w:tblPrEx>
          <w:tblCellMar>
            <w:top w:w="0" w:type="dxa"/>
            <w:bottom w:w="0" w:type="dxa"/>
          </w:tblCellMar>
        </w:tblPrEx>
        <w:trPr>
          <w:trHeight w:val="284"/>
        </w:trPr>
        <w:tc>
          <w:tcPr>
            <w:tcW w:w="4911" w:type="dxa"/>
          </w:tcPr>
          <w:p w:rsidR="006E4E11" w:rsidRPr="004837B7" w:rsidRDefault="00CD7FE6">
            <w:pPr>
              <w:pStyle w:val="Avsndare"/>
              <w:framePr w:h="2483" w:wrap="notBeside" w:x="1504"/>
              <w:rPr>
                <w:b/>
                <w:i w:val="0"/>
                <w:sz w:val="22"/>
              </w:rPr>
            </w:pPr>
            <w:r w:rsidRPr="004837B7">
              <w:rPr>
                <w:b/>
                <w:i w:val="0"/>
                <w:sz w:val="22"/>
              </w:rPr>
              <w:t>Justitiedepartementet</w:t>
            </w:r>
          </w:p>
        </w:tc>
      </w:tr>
      <w:tr w:rsidR="006E4E11" w:rsidRPr="004837B7">
        <w:tblPrEx>
          <w:tblCellMar>
            <w:top w:w="0" w:type="dxa"/>
            <w:bottom w:w="0" w:type="dxa"/>
          </w:tblCellMar>
        </w:tblPrEx>
        <w:trPr>
          <w:trHeight w:val="284"/>
        </w:trPr>
        <w:tc>
          <w:tcPr>
            <w:tcW w:w="4911" w:type="dxa"/>
          </w:tcPr>
          <w:p w:rsidR="006E4E11" w:rsidRPr="004837B7" w:rsidRDefault="006E4E11">
            <w:pPr>
              <w:pStyle w:val="Avsndare"/>
              <w:framePr w:h="2483" w:wrap="notBeside" w:x="1504"/>
              <w:rPr>
                <w:bCs/>
                <w:iCs/>
              </w:rPr>
            </w:pPr>
          </w:p>
        </w:tc>
      </w:tr>
      <w:tr w:rsidR="006E4E11" w:rsidRPr="004837B7">
        <w:tblPrEx>
          <w:tblCellMar>
            <w:top w:w="0" w:type="dxa"/>
            <w:bottom w:w="0" w:type="dxa"/>
          </w:tblCellMar>
        </w:tblPrEx>
        <w:trPr>
          <w:trHeight w:val="284"/>
        </w:trPr>
        <w:tc>
          <w:tcPr>
            <w:tcW w:w="4911" w:type="dxa"/>
          </w:tcPr>
          <w:p w:rsidR="006E4E11" w:rsidRPr="004837B7" w:rsidRDefault="0098052C">
            <w:pPr>
              <w:pStyle w:val="Avsndare"/>
              <w:framePr w:h="2483" w:wrap="notBeside" w:x="1504"/>
              <w:rPr>
                <w:bCs/>
                <w:iCs/>
              </w:rPr>
            </w:pPr>
            <w:r w:rsidRPr="004837B7">
              <w:rPr>
                <w:bCs/>
                <w:iCs/>
              </w:rPr>
              <w:t xml:space="preserve">Enheten för familjerätt och </w:t>
            </w:r>
            <w:r w:rsidR="00DB3F4D" w:rsidRPr="004837B7">
              <w:rPr>
                <w:bCs/>
                <w:iCs/>
              </w:rPr>
              <w:t>allmän förm</w:t>
            </w:r>
            <w:r w:rsidR="00DB3F4D" w:rsidRPr="004837B7">
              <w:rPr>
                <w:bCs/>
                <w:iCs/>
              </w:rPr>
              <w:t>ö</w:t>
            </w:r>
            <w:r w:rsidR="00DB3F4D" w:rsidRPr="004837B7">
              <w:rPr>
                <w:bCs/>
                <w:iCs/>
              </w:rPr>
              <w:t>genhetsrätt</w:t>
            </w:r>
          </w:p>
        </w:tc>
      </w:tr>
      <w:tr w:rsidR="006E4E11" w:rsidRPr="004837B7">
        <w:tblPrEx>
          <w:tblCellMar>
            <w:top w:w="0" w:type="dxa"/>
            <w:bottom w:w="0" w:type="dxa"/>
          </w:tblCellMar>
        </w:tblPrEx>
        <w:trPr>
          <w:trHeight w:val="284"/>
        </w:trPr>
        <w:tc>
          <w:tcPr>
            <w:tcW w:w="4911" w:type="dxa"/>
          </w:tcPr>
          <w:p w:rsidR="006E4E11" w:rsidRPr="004837B7" w:rsidRDefault="006E4E11">
            <w:pPr>
              <w:pStyle w:val="Avsndare"/>
              <w:framePr w:h="2483" w:wrap="notBeside" w:x="1504"/>
              <w:rPr>
                <w:bCs/>
                <w:iCs/>
              </w:rPr>
            </w:pPr>
          </w:p>
        </w:tc>
      </w:tr>
      <w:tr w:rsidR="006E4E11" w:rsidRPr="004837B7">
        <w:tblPrEx>
          <w:tblCellMar>
            <w:top w:w="0" w:type="dxa"/>
            <w:bottom w:w="0" w:type="dxa"/>
          </w:tblCellMar>
        </w:tblPrEx>
        <w:trPr>
          <w:trHeight w:val="284"/>
        </w:trPr>
        <w:tc>
          <w:tcPr>
            <w:tcW w:w="4911" w:type="dxa"/>
          </w:tcPr>
          <w:p w:rsidR="006E4E11" w:rsidRPr="004837B7" w:rsidRDefault="006E4E11">
            <w:pPr>
              <w:pStyle w:val="Avsndare"/>
              <w:framePr w:h="2483" w:wrap="notBeside" w:x="1504"/>
              <w:rPr>
                <w:bCs/>
                <w:iCs/>
              </w:rPr>
            </w:pPr>
          </w:p>
        </w:tc>
      </w:tr>
      <w:tr w:rsidR="006E4E11" w:rsidRPr="004837B7">
        <w:tblPrEx>
          <w:tblCellMar>
            <w:top w:w="0" w:type="dxa"/>
            <w:bottom w:w="0" w:type="dxa"/>
          </w:tblCellMar>
        </w:tblPrEx>
        <w:trPr>
          <w:trHeight w:val="284"/>
        </w:trPr>
        <w:tc>
          <w:tcPr>
            <w:tcW w:w="4911" w:type="dxa"/>
          </w:tcPr>
          <w:p w:rsidR="006E4E11" w:rsidRPr="004837B7" w:rsidRDefault="006E4E11">
            <w:pPr>
              <w:pStyle w:val="Avsndare"/>
              <w:framePr w:h="2483" w:wrap="notBeside" w:x="1504"/>
              <w:rPr>
                <w:bCs/>
                <w:iCs/>
              </w:rPr>
            </w:pPr>
          </w:p>
        </w:tc>
      </w:tr>
      <w:tr w:rsidR="006E4E11" w:rsidRPr="004837B7">
        <w:tblPrEx>
          <w:tblCellMar>
            <w:top w:w="0" w:type="dxa"/>
            <w:bottom w:w="0" w:type="dxa"/>
          </w:tblCellMar>
        </w:tblPrEx>
        <w:trPr>
          <w:trHeight w:val="284"/>
        </w:trPr>
        <w:tc>
          <w:tcPr>
            <w:tcW w:w="4911" w:type="dxa"/>
          </w:tcPr>
          <w:p w:rsidR="006E4E11" w:rsidRPr="004837B7" w:rsidRDefault="006E4E11">
            <w:pPr>
              <w:pStyle w:val="Avsndare"/>
              <w:framePr w:h="2483" w:wrap="notBeside" w:x="1504"/>
              <w:rPr>
                <w:bCs/>
                <w:iCs/>
              </w:rPr>
            </w:pPr>
          </w:p>
        </w:tc>
      </w:tr>
      <w:tr w:rsidR="006E4E11" w:rsidRPr="004837B7">
        <w:tblPrEx>
          <w:tblCellMar>
            <w:top w:w="0" w:type="dxa"/>
            <w:bottom w:w="0" w:type="dxa"/>
          </w:tblCellMar>
        </w:tblPrEx>
        <w:trPr>
          <w:trHeight w:val="284"/>
        </w:trPr>
        <w:tc>
          <w:tcPr>
            <w:tcW w:w="4911" w:type="dxa"/>
          </w:tcPr>
          <w:p w:rsidR="006E4E11" w:rsidRPr="004837B7" w:rsidRDefault="006E4E11">
            <w:pPr>
              <w:pStyle w:val="Avsndare"/>
              <w:framePr w:h="2483" w:wrap="notBeside" w:x="1504"/>
              <w:rPr>
                <w:bCs/>
                <w:iCs/>
              </w:rPr>
            </w:pPr>
          </w:p>
        </w:tc>
      </w:tr>
      <w:tr w:rsidR="006E4E11" w:rsidRPr="004837B7">
        <w:tblPrEx>
          <w:tblCellMar>
            <w:top w:w="0" w:type="dxa"/>
            <w:bottom w:w="0" w:type="dxa"/>
          </w:tblCellMar>
        </w:tblPrEx>
        <w:trPr>
          <w:trHeight w:val="284"/>
        </w:trPr>
        <w:tc>
          <w:tcPr>
            <w:tcW w:w="4911" w:type="dxa"/>
          </w:tcPr>
          <w:p w:rsidR="006E4E11" w:rsidRPr="004837B7" w:rsidRDefault="006E4E11">
            <w:pPr>
              <w:pStyle w:val="Avsndare"/>
              <w:framePr w:h="2483" w:wrap="notBeside" w:x="1504"/>
              <w:rPr>
                <w:bCs/>
                <w:iCs/>
              </w:rPr>
            </w:pPr>
          </w:p>
        </w:tc>
      </w:tr>
    </w:tbl>
    <w:p w:rsidR="006E4E11" w:rsidRPr="004837B7" w:rsidRDefault="006E4E11">
      <w:pPr>
        <w:framePr w:w="4400" w:h="2523" w:wrap="notBeside" w:vAnchor="page" w:hAnchor="page" w:x="6453" w:y="2445"/>
        <w:ind w:left="142"/>
        <w:rPr>
          <w:b/>
        </w:rPr>
      </w:pPr>
    </w:p>
    <w:p w:rsidR="00CD7FE6" w:rsidRPr="004837B7" w:rsidRDefault="00DB3F4D">
      <w:pPr>
        <w:pStyle w:val="RKrubrik"/>
        <w:pBdr>
          <w:bottom w:val="single" w:sz="6" w:space="1" w:color="auto"/>
        </w:pBdr>
      </w:pPr>
      <w:bookmarkStart w:id="0" w:name="bRubrik"/>
      <w:bookmarkEnd w:id="0"/>
      <w:r w:rsidRPr="004837B7">
        <w:t>Rådets möte (rättsliga och inrikes frågor</w:t>
      </w:r>
      <w:r w:rsidR="00CD7FE6" w:rsidRPr="004837B7">
        <w:t xml:space="preserve">) den </w:t>
      </w:r>
      <w:r w:rsidRPr="004837B7">
        <w:t xml:space="preserve">13-14 december 2011 </w:t>
      </w:r>
    </w:p>
    <w:p w:rsidR="00CD7FE6" w:rsidRPr="004837B7" w:rsidRDefault="00CD7FE6">
      <w:pPr>
        <w:pStyle w:val="RKnormal"/>
      </w:pPr>
    </w:p>
    <w:p w:rsidR="00CD7FE6" w:rsidRPr="004837B7" w:rsidRDefault="00DB3F4D" w:rsidP="00C66912">
      <w:pPr>
        <w:pStyle w:val="RKrubrik"/>
      </w:pPr>
      <w:r w:rsidRPr="004837B7">
        <w:t xml:space="preserve">Dagordningspunkt </w:t>
      </w:r>
      <w:r w:rsidR="00C66912" w:rsidRPr="004837B7">
        <w:t>17</w:t>
      </w:r>
    </w:p>
    <w:p w:rsidR="00C66912" w:rsidRPr="004837B7" w:rsidRDefault="00C66912" w:rsidP="00C66912">
      <w:pPr>
        <w:pStyle w:val="RKrubrik"/>
      </w:pPr>
      <w:r w:rsidRPr="004837B7">
        <w:t>Rubrik</w:t>
      </w:r>
    </w:p>
    <w:p w:rsidR="00CD7FE6" w:rsidRPr="004837B7" w:rsidRDefault="00DB3F4D">
      <w:pPr>
        <w:pStyle w:val="RKnormal"/>
      </w:pPr>
      <w:r w:rsidRPr="004837B7">
        <w:t>Förslag till Europaparlamentets och rådets förordning om beh</w:t>
      </w:r>
      <w:r w:rsidRPr="004837B7">
        <w:t>ö</w:t>
      </w:r>
      <w:r w:rsidRPr="004837B7">
        <w:t>righet, tillämplig lag, erkännande och verkställighet av domar och offic</w:t>
      </w:r>
      <w:r w:rsidRPr="004837B7">
        <w:t>i</w:t>
      </w:r>
      <w:r w:rsidRPr="004837B7">
        <w:t>ella handlingar i samband med arv och om inrättandet av ett europeiskt arvsintyg</w:t>
      </w:r>
    </w:p>
    <w:p w:rsidR="00DB3F4D" w:rsidRPr="004837B7" w:rsidRDefault="00DB3F4D">
      <w:pPr>
        <w:pStyle w:val="RKnormal"/>
      </w:pPr>
      <w:r w:rsidRPr="004837B7">
        <w:t>– Allmän överenskommelse om bestämmelserna</w:t>
      </w:r>
    </w:p>
    <w:p w:rsidR="00CD7FE6" w:rsidRPr="004837B7" w:rsidRDefault="00CD7FE6">
      <w:pPr>
        <w:pStyle w:val="RKnormal"/>
      </w:pPr>
    </w:p>
    <w:p w:rsidR="00CD7FE6" w:rsidRPr="004837B7" w:rsidRDefault="00C66912" w:rsidP="00C66912">
      <w:pPr>
        <w:pStyle w:val="RKrubrik"/>
      </w:pPr>
      <w:r w:rsidRPr="004837B7">
        <w:t>Dokument</w:t>
      </w:r>
    </w:p>
    <w:p w:rsidR="00CD7FE6" w:rsidRPr="004837B7" w:rsidRDefault="00AD30A7">
      <w:pPr>
        <w:pStyle w:val="RKnormal"/>
      </w:pPr>
      <w:r w:rsidRPr="004837B7">
        <w:t>17715/11 ADD 1 REV 1 JUSTCIV 337 CODEC 2237</w:t>
      </w:r>
    </w:p>
    <w:p w:rsidR="00AD30A7" w:rsidRPr="004837B7" w:rsidRDefault="00AD30A7">
      <w:pPr>
        <w:pStyle w:val="RKnormal"/>
      </w:pPr>
    </w:p>
    <w:p w:rsidR="00DB3F4D" w:rsidRPr="004837B7" w:rsidRDefault="00C66912" w:rsidP="00C66912">
      <w:pPr>
        <w:pStyle w:val="RKrubrik"/>
      </w:pPr>
      <w:r w:rsidRPr="004837B7">
        <w:t>Tidigare dokument</w:t>
      </w:r>
    </w:p>
    <w:p w:rsidR="00DB3F4D" w:rsidRPr="004837B7" w:rsidRDefault="00DB3F4D">
      <w:pPr>
        <w:pStyle w:val="RKnormal"/>
      </w:pPr>
      <w:r w:rsidRPr="004837B7">
        <w:t>17068/11 JUSTCIV 318 CODEC 2075 (ORDF:s arbetsdokument)</w:t>
      </w:r>
    </w:p>
    <w:p w:rsidR="00DB3F4D" w:rsidRPr="004837B7" w:rsidRDefault="00DB3F4D">
      <w:pPr>
        <w:pStyle w:val="RKnormal"/>
      </w:pPr>
      <w:r w:rsidRPr="004837B7">
        <w:t>14722/09 JUSTCIV 210 CODEC 1209 (KOM:s förslag till förordning, KOM (2009) 154 slutlig)</w:t>
      </w:r>
    </w:p>
    <w:p w:rsidR="00CD7FE6" w:rsidRPr="004837B7" w:rsidRDefault="00DB3F4D">
      <w:pPr>
        <w:pStyle w:val="RKnormal"/>
      </w:pPr>
      <w:r w:rsidRPr="004837B7">
        <w:t>Faktapromemoria, Justitiedepartementet 2009/10:FPM55</w:t>
      </w:r>
    </w:p>
    <w:p w:rsidR="00CD7FE6" w:rsidRPr="004837B7" w:rsidRDefault="00CD7FE6">
      <w:pPr>
        <w:pStyle w:val="RKnormal"/>
      </w:pPr>
    </w:p>
    <w:p w:rsidR="00CD7FE6" w:rsidRPr="004837B7" w:rsidRDefault="00CD7FE6" w:rsidP="00C66912">
      <w:pPr>
        <w:pStyle w:val="RKnormal"/>
      </w:pPr>
      <w:r w:rsidRPr="004837B7">
        <w:t>Tidigare beha</w:t>
      </w:r>
      <w:r w:rsidR="00C66912" w:rsidRPr="004837B7">
        <w:t>ndlad vid samråd med EU-nämnden:</w:t>
      </w:r>
    </w:p>
    <w:p w:rsidR="00DB3F4D" w:rsidRPr="004837B7" w:rsidRDefault="00DB3F4D" w:rsidP="00C66912">
      <w:pPr>
        <w:pStyle w:val="RKnormal"/>
      </w:pPr>
      <w:r w:rsidRPr="004837B7">
        <w:t>Arvsförordningen har behandlats i EU-nämnden inför RIF-rådet den 3-4 juni 2010, den 11-12 april 2011 och den 9-10 juni 2011.</w:t>
      </w:r>
    </w:p>
    <w:p w:rsidR="00CD7FE6" w:rsidRPr="004837B7" w:rsidRDefault="00CD7FE6" w:rsidP="00C66912">
      <w:pPr>
        <w:pStyle w:val="RKnormal"/>
      </w:pPr>
    </w:p>
    <w:p w:rsidR="00CD7FE6" w:rsidRPr="004837B7" w:rsidRDefault="00CD7FE6" w:rsidP="00C66912">
      <w:pPr>
        <w:pStyle w:val="RKnormal"/>
      </w:pPr>
      <w:r w:rsidRPr="004837B7">
        <w:rPr>
          <w:rStyle w:val="RKrubrikChar"/>
          <w:rFonts w:ascii="OrigGarmnd BT" w:hAnsi="OrigGarmnd BT"/>
          <w:b w:val="0"/>
          <w:sz w:val="24"/>
        </w:rPr>
        <w:t>Tidigare behandlad vid överläggning med eller informa</w:t>
      </w:r>
      <w:r w:rsidR="000E5F83" w:rsidRPr="004837B7">
        <w:rPr>
          <w:rStyle w:val="RKrubrikChar"/>
          <w:rFonts w:ascii="OrigGarmnd BT" w:hAnsi="OrigGarmnd BT"/>
          <w:b w:val="0"/>
          <w:sz w:val="24"/>
        </w:rPr>
        <w:t>tion till rik</w:t>
      </w:r>
      <w:r w:rsidR="000E5F83" w:rsidRPr="004837B7">
        <w:rPr>
          <w:rStyle w:val="RKrubrikChar"/>
          <w:rFonts w:ascii="OrigGarmnd BT" w:hAnsi="OrigGarmnd BT"/>
          <w:b w:val="0"/>
          <w:sz w:val="24"/>
        </w:rPr>
        <w:t>s</w:t>
      </w:r>
      <w:r w:rsidR="000E5F83" w:rsidRPr="004837B7">
        <w:rPr>
          <w:rStyle w:val="RKrubrikChar"/>
          <w:rFonts w:ascii="OrigGarmnd BT" w:hAnsi="OrigGarmnd BT"/>
          <w:b w:val="0"/>
          <w:sz w:val="24"/>
        </w:rPr>
        <w:t>dagsutskott</w:t>
      </w:r>
      <w:r w:rsidR="00C66912" w:rsidRPr="004837B7">
        <w:rPr>
          <w:rStyle w:val="RKrubrikChar"/>
          <w:rFonts w:ascii="OrigGarmnd BT" w:hAnsi="OrigGarmnd BT"/>
          <w:b w:val="0"/>
          <w:sz w:val="24"/>
        </w:rPr>
        <w:t>:</w:t>
      </w:r>
    </w:p>
    <w:p w:rsidR="000E5F83" w:rsidRPr="004837B7" w:rsidRDefault="000B5346">
      <w:pPr>
        <w:pStyle w:val="RKnormal"/>
      </w:pPr>
      <w:r w:rsidRPr="004837B7">
        <w:t xml:space="preserve">Civilutskottet har informerats om arvsförordningen den 3 november 2009, den 25 mars 2010, den 25 november 2010 och den 24 november 2011. </w:t>
      </w:r>
    </w:p>
    <w:p w:rsidR="00CD7FE6" w:rsidRPr="004837B7" w:rsidRDefault="00CD7FE6">
      <w:pPr>
        <w:pStyle w:val="RKrubrik"/>
      </w:pPr>
      <w:r w:rsidRPr="004837B7">
        <w:lastRenderedPageBreak/>
        <w:t>Bakgrund</w:t>
      </w:r>
    </w:p>
    <w:p w:rsidR="008B0A96" w:rsidRPr="004837B7" w:rsidRDefault="00B90333" w:rsidP="008B0A96">
      <w:pPr>
        <w:pStyle w:val="RKnormal"/>
      </w:pPr>
      <w:r w:rsidRPr="004837B7">
        <w:t>Sedan slutet av 2009 pågår förhandlingsarbetet med kommissionens fö</w:t>
      </w:r>
      <w:r w:rsidRPr="004837B7">
        <w:t>r</w:t>
      </w:r>
      <w:r w:rsidRPr="004837B7">
        <w:t>slag till en förordning om arv. Förslaget innehåller bestämmelser om</w:t>
      </w:r>
      <w:r w:rsidR="008B0A96" w:rsidRPr="004837B7">
        <w:t xml:space="preserve"> vilken domstol som ska vara behörig att handlägga gränsöverskr</w:t>
      </w:r>
      <w:r w:rsidR="008B0A96" w:rsidRPr="004837B7">
        <w:t>i</w:t>
      </w:r>
      <w:r w:rsidR="008B0A96" w:rsidRPr="004837B7">
        <w:t>dande arvsfrågor och vilket lands lag som ska tillämpas. Försl</w:t>
      </w:r>
      <w:r w:rsidRPr="004837B7">
        <w:t>aget i</w:t>
      </w:r>
      <w:r w:rsidRPr="004837B7">
        <w:t>n</w:t>
      </w:r>
      <w:r w:rsidRPr="004837B7">
        <w:t>nehåller också bestämmelser om erkännande och verkställig</w:t>
      </w:r>
      <w:r w:rsidR="008B0A96" w:rsidRPr="004837B7">
        <w:t xml:space="preserve">het av </w:t>
      </w:r>
      <w:r w:rsidR="00952B9B" w:rsidRPr="004837B7">
        <w:t>a</w:t>
      </w:r>
      <w:r w:rsidR="00952B9B" w:rsidRPr="004837B7">
        <w:t>v</w:t>
      </w:r>
      <w:r w:rsidR="00952B9B" w:rsidRPr="004837B7">
        <w:t>göranden</w:t>
      </w:r>
      <w:r w:rsidRPr="004837B7">
        <w:t xml:space="preserve"> och om införandet</w:t>
      </w:r>
      <w:r w:rsidR="008B0A96" w:rsidRPr="004837B7">
        <w:t xml:space="preserve"> av ett europeiskt</w:t>
      </w:r>
      <w:r w:rsidRPr="004837B7">
        <w:t xml:space="preserve"> arvs</w:t>
      </w:r>
      <w:r w:rsidR="008B0A96" w:rsidRPr="004837B7">
        <w:t>intyg</w:t>
      </w:r>
      <w:r w:rsidRPr="004837B7">
        <w:t xml:space="preserve"> (ett dokument som visar vilka som ärver en viss person eller har rätt att ta hand om kvarlåtensk</w:t>
      </w:r>
      <w:r w:rsidRPr="004837B7">
        <w:t>a</w:t>
      </w:r>
      <w:r w:rsidRPr="004837B7">
        <w:t>pen). Förslaget har lagts fram mot bakgrund av det stora antalet gränsöve</w:t>
      </w:r>
      <w:r w:rsidRPr="004837B7">
        <w:t>r</w:t>
      </w:r>
      <w:r w:rsidRPr="004837B7">
        <w:t>skridande arvsärenden i Europa. Förslaget syftar till att förenkla hante</w:t>
      </w:r>
      <w:r w:rsidRPr="004837B7">
        <w:t>r</w:t>
      </w:r>
      <w:r w:rsidRPr="004837B7">
        <w:t>ingen och öka rättssäkerheten utan att påverka medlemsstaternas mater</w:t>
      </w:r>
      <w:r w:rsidRPr="004837B7">
        <w:t>i</w:t>
      </w:r>
      <w:r w:rsidRPr="004837B7">
        <w:t xml:space="preserve">ella rätt. I dagsläget finns inga EU-regler på området. </w:t>
      </w:r>
      <w:r w:rsidR="008B0A96" w:rsidRPr="004837B7">
        <w:t xml:space="preserve"> </w:t>
      </w:r>
    </w:p>
    <w:p w:rsidR="008B0A96" w:rsidRPr="004837B7" w:rsidRDefault="008B0A96" w:rsidP="008B0A96">
      <w:pPr>
        <w:pStyle w:val="RKnormal"/>
      </w:pPr>
    </w:p>
    <w:p w:rsidR="008B0A96" w:rsidRPr="004837B7" w:rsidRDefault="008B0A96" w:rsidP="008B0A96">
      <w:pPr>
        <w:pStyle w:val="RKnormal"/>
      </w:pPr>
      <w:r w:rsidRPr="004837B7">
        <w:t>Förslaget väcker många komplexa frågeställningar</w:t>
      </w:r>
      <w:r w:rsidR="00B90333" w:rsidRPr="004837B7">
        <w:t>. I allmänhet är medlemsstaterna</w:t>
      </w:r>
      <w:r w:rsidRPr="004837B7">
        <w:t xml:space="preserve"> positivt instäl</w:t>
      </w:r>
      <w:r w:rsidR="00B90333" w:rsidRPr="004837B7">
        <w:t>lda till förslaget, men uppfatt</w:t>
      </w:r>
      <w:r w:rsidRPr="004837B7">
        <w:t xml:space="preserve">ningarna i olika frågor skiljer sig åt. </w:t>
      </w:r>
      <w:r w:rsidR="00B90333" w:rsidRPr="004837B7">
        <w:t>Förenade kungariket och Irland</w:t>
      </w:r>
      <w:r w:rsidRPr="004837B7">
        <w:t xml:space="preserve"> har </w:t>
      </w:r>
      <w:r w:rsidR="00B90333" w:rsidRPr="004837B7">
        <w:t xml:space="preserve">ännu </w:t>
      </w:r>
      <w:r w:rsidRPr="004837B7">
        <w:t>inte valt att låta sig omfattas av förordningens tillämpni</w:t>
      </w:r>
      <w:r w:rsidR="00B90333" w:rsidRPr="004837B7">
        <w:t>ngsområde och även Da</w:t>
      </w:r>
      <w:r w:rsidR="00B90333" w:rsidRPr="004837B7">
        <w:t>n</w:t>
      </w:r>
      <w:r w:rsidR="00B90333" w:rsidRPr="004837B7">
        <w:t>mark står utan</w:t>
      </w:r>
      <w:r w:rsidRPr="004837B7">
        <w:t xml:space="preserve">för. </w:t>
      </w:r>
    </w:p>
    <w:p w:rsidR="008B0A96" w:rsidRPr="004837B7" w:rsidRDefault="008B0A96" w:rsidP="008B0A96">
      <w:pPr>
        <w:pStyle w:val="RKnormal"/>
      </w:pPr>
    </w:p>
    <w:p w:rsidR="008B0A96" w:rsidRPr="004837B7" w:rsidRDefault="00B90333" w:rsidP="008B0A96">
      <w:pPr>
        <w:pStyle w:val="RKnormal"/>
      </w:pPr>
      <w:r w:rsidRPr="004837B7">
        <w:t>Under det spanska ordförandeskapet i EU (våren 2010)</w:t>
      </w:r>
      <w:r w:rsidR="008B0A96" w:rsidRPr="004837B7">
        <w:t xml:space="preserve"> nåddes politisk</w:t>
      </w:r>
      <w:r w:rsidRPr="004837B7">
        <w:t xml:space="preserve"> överenskommelse om vissa rikt</w:t>
      </w:r>
      <w:r w:rsidR="008B0A96" w:rsidRPr="004837B7">
        <w:t>linjer för det fortsatta förhandlingsa</w:t>
      </w:r>
      <w:r w:rsidR="008B0A96" w:rsidRPr="004837B7">
        <w:t>r</w:t>
      </w:r>
      <w:r w:rsidR="008B0A96" w:rsidRPr="004837B7">
        <w:t>betet, so</w:t>
      </w:r>
      <w:r w:rsidRPr="004837B7">
        <w:t xml:space="preserve">m dock var allmänt hållna. Politiskt nåddes även under </w:t>
      </w:r>
      <w:r w:rsidR="00445EB9" w:rsidRPr="004837B7">
        <w:t xml:space="preserve">det </w:t>
      </w:r>
      <w:r w:rsidRPr="004837B7">
        <w:t>unger</w:t>
      </w:r>
      <w:r w:rsidRPr="004837B7">
        <w:t>s</w:t>
      </w:r>
      <w:r w:rsidRPr="004837B7">
        <w:t>ka ordförandeskapet (våren 2011)</w:t>
      </w:r>
      <w:r w:rsidR="008B0A96" w:rsidRPr="004837B7">
        <w:t xml:space="preserve"> ö</w:t>
      </w:r>
      <w:r w:rsidRPr="004837B7">
        <w:t>verenskommelse om vissa riktlin</w:t>
      </w:r>
      <w:r w:rsidR="008B0A96" w:rsidRPr="004837B7">
        <w:t xml:space="preserve">jer när det gäller ett antal centrala frågeställningar. </w:t>
      </w:r>
    </w:p>
    <w:p w:rsidR="008B0A96" w:rsidRPr="004837B7" w:rsidRDefault="008B0A96" w:rsidP="008B0A96">
      <w:pPr>
        <w:pStyle w:val="RKnormal"/>
      </w:pPr>
    </w:p>
    <w:p w:rsidR="00CD7FE6" w:rsidRPr="004837B7" w:rsidRDefault="00B90333">
      <w:pPr>
        <w:pStyle w:val="RKnormal"/>
      </w:pPr>
      <w:r w:rsidRPr="004837B7">
        <w:t>Under det polska</w:t>
      </w:r>
      <w:r w:rsidR="008E4ADF" w:rsidRPr="004837B7">
        <w:t xml:space="preserve"> ordförandeskapet har det pågått ett intensivt fö</w:t>
      </w:r>
      <w:r w:rsidR="008E4ADF" w:rsidRPr="004837B7">
        <w:t>r</w:t>
      </w:r>
      <w:r w:rsidR="008E4ADF" w:rsidRPr="004837B7">
        <w:t>handlingsarbete främst utifrån det textförslag som utarbetades efter ovan nämnda po</w:t>
      </w:r>
      <w:r w:rsidR="00C4484E" w:rsidRPr="004837B7">
        <w:t>litiska överenskommelse. Ordförandeskapet</w:t>
      </w:r>
      <w:r w:rsidR="00952B9B" w:rsidRPr="004837B7">
        <w:t>, som a</w:t>
      </w:r>
      <w:r w:rsidR="00952B9B" w:rsidRPr="004837B7">
        <w:t>v</w:t>
      </w:r>
      <w:r w:rsidR="00952B9B" w:rsidRPr="004837B7">
        <w:t>ser att avsluta förhandlingsarbetet i rådet,</w:t>
      </w:r>
      <w:r w:rsidR="00C4484E" w:rsidRPr="004837B7">
        <w:t xml:space="preserve"> vill nu att ett nytt förslag till föror</w:t>
      </w:r>
      <w:r w:rsidR="00C4484E" w:rsidRPr="004837B7">
        <w:t>d</w:t>
      </w:r>
      <w:r w:rsidR="00C4484E" w:rsidRPr="004837B7">
        <w:t>ningstext ska diskuteras vid rådsmötet 13-14 december 2011 för att</w:t>
      </w:r>
      <w:r w:rsidR="00254DF2" w:rsidRPr="004837B7">
        <w:t xml:space="preserve"> därigenom nå en allmän</w:t>
      </w:r>
      <w:r w:rsidR="00C4484E" w:rsidRPr="004837B7">
        <w:t xml:space="preserve"> överenskommelse om b</w:t>
      </w:r>
      <w:r w:rsidR="00C4484E" w:rsidRPr="004837B7">
        <w:t>e</w:t>
      </w:r>
      <w:r w:rsidR="00C4484E" w:rsidRPr="004837B7">
        <w:t>stämmelserna.</w:t>
      </w:r>
    </w:p>
    <w:p w:rsidR="00CD7FE6" w:rsidRPr="004837B7" w:rsidRDefault="00CD7FE6">
      <w:pPr>
        <w:pStyle w:val="RKrubrik"/>
      </w:pPr>
      <w:r w:rsidRPr="004837B7">
        <w:t>Rättslig grund och beslutsförfarande</w:t>
      </w:r>
    </w:p>
    <w:p w:rsidR="00CD7FE6" w:rsidRPr="004837B7" w:rsidRDefault="00F92971">
      <w:pPr>
        <w:pStyle w:val="RKnormal"/>
      </w:pPr>
      <w:r w:rsidRPr="004837B7">
        <w:t>Den rättsliga grunden för förslaget är artiklarna 67 och 81 i fördraget om EU:s funktionssätt, EUF-fördraget (artiklarna 61 c och 67.5 EG). Enligt kommissionen utgör förslaget till förordning inte åtgärder som rör fa-miljerätten. Det innebär att rådet inte ska besluta med enhälli</w:t>
      </w:r>
      <w:r w:rsidRPr="004837B7">
        <w:t>g</w:t>
      </w:r>
      <w:r w:rsidRPr="004837B7">
        <w:t xml:space="preserve">het utan </w:t>
      </w:r>
      <w:r w:rsidR="00187AEF" w:rsidRPr="004837B7">
        <w:t>med kvalificerad majoritet. F</w:t>
      </w:r>
      <w:r w:rsidRPr="004837B7">
        <w:t>örslaget är föremål för medb</w:t>
      </w:r>
      <w:r w:rsidRPr="004837B7">
        <w:t>e</w:t>
      </w:r>
      <w:r w:rsidRPr="004837B7">
        <w:t>slutandeförf</w:t>
      </w:r>
      <w:r w:rsidRPr="004837B7">
        <w:t>a</w:t>
      </w:r>
      <w:r w:rsidRPr="004837B7">
        <w:t>rande</w:t>
      </w:r>
      <w:r w:rsidR="00187AEF" w:rsidRPr="004837B7">
        <w:t xml:space="preserve"> enligt det ordinarie lagstiftningsförfarandet</w:t>
      </w:r>
      <w:r w:rsidRPr="004837B7">
        <w:t xml:space="preserve">, dvs. </w:t>
      </w:r>
      <w:r w:rsidR="00187AEF" w:rsidRPr="004837B7">
        <w:t xml:space="preserve">både </w:t>
      </w:r>
      <w:r w:rsidRPr="004837B7">
        <w:t>Europaparla</w:t>
      </w:r>
      <w:r w:rsidR="00187AEF" w:rsidRPr="004837B7">
        <w:t>men</w:t>
      </w:r>
      <w:r w:rsidRPr="004837B7">
        <w:t>tet</w:t>
      </w:r>
      <w:r w:rsidR="00187AEF" w:rsidRPr="004837B7">
        <w:t>s</w:t>
      </w:r>
      <w:r w:rsidRPr="004837B7">
        <w:t xml:space="preserve"> och rådet</w:t>
      </w:r>
      <w:r w:rsidR="00187AEF" w:rsidRPr="004837B7">
        <w:t>s godkännande krävs för att försl</w:t>
      </w:r>
      <w:r w:rsidR="00187AEF" w:rsidRPr="004837B7">
        <w:t>a</w:t>
      </w:r>
      <w:r w:rsidR="00187AEF" w:rsidRPr="004837B7">
        <w:t>get ska antas</w:t>
      </w:r>
      <w:r w:rsidRPr="004837B7">
        <w:t>(arti-kel 294 EUF, tidigare a</w:t>
      </w:r>
      <w:r w:rsidRPr="004837B7">
        <w:t>r</w:t>
      </w:r>
      <w:r w:rsidRPr="004837B7">
        <w:t>tikel 251 EG).</w:t>
      </w:r>
    </w:p>
    <w:p w:rsidR="00CD7FE6" w:rsidRPr="004837B7" w:rsidRDefault="00CD7FE6">
      <w:pPr>
        <w:pStyle w:val="RKrubrik"/>
        <w:rPr>
          <w:i/>
          <w:iCs/>
        </w:rPr>
      </w:pPr>
      <w:r w:rsidRPr="004837B7">
        <w:rPr>
          <w:i/>
          <w:iCs/>
        </w:rPr>
        <w:t>Svensk ståndpunkt</w:t>
      </w:r>
    </w:p>
    <w:p w:rsidR="00CD7FE6" w:rsidRPr="004837B7" w:rsidRDefault="00906E90">
      <w:pPr>
        <w:pStyle w:val="RKnormal"/>
      </w:pPr>
      <w:r w:rsidRPr="004837B7">
        <w:t>Sverige kan till övervägande del</w:t>
      </w:r>
      <w:r w:rsidR="00F92971" w:rsidRPr="004837B7">
        <w:t xml:space="preserve"> stödja förslaget till förordningstext. Det finns dock några för Sverige särskilt viktiga frågor. Sverige bör </w:t>
      </w:r>
      <w:r w:rsidR="00A72356" w:rsidRPr="004837B7">
        <w:t>ve</w:t>
      </w:r>
      <w:r w:rsidR="00A72356" w:rsidRPr="004837B7">
        <w:t>r</w:t>
      </w:r>
      <w:r w:rsidR="00A72356" w:rsidRPr="004837B7">
        <w:t>ka för att dessa frågor löses ut på ett så bra sätt som möjligt</w:t>
      </w:r>
      <w:r w:rsidR="00F92971" w:rsidRPr="004837B7">
        <w:t>. Flera medlemsstater har uttryckt att det är för tidigt att avsluta f</w:t>
      </w:r>
      <w:r w:rsidR="00952B9B" w:rsidRPr="004837B7">
        <w:t>örhandlin</w:t>
      </w:r>
      <w:r w:rsidR="00952B9B" w:rsidRPr="004837B7">
        <w:t>g</w:t>
      </w:r>
      <w:r w:rsidR="00952B9B" w:rsidRPr="004837B7">
        <w:t>arna om förordningen</w:t>
      </w:r>
      <w:r w:rsidR="00F92971" w:rsidRPr="004837B7">
        <w:t xml:space="preserve"> eftersom så många frågor kva</w:t>
      </w:r>
      <w:r w:rsidR="00F92971" w:rsidRPr="004837B7">
        <w:t>r</w:t>
      </w:r>
      <w:r w:rsidR="00F92971" w:rsidRPr="004837B7">
        <w:t xml:space="preserve">står olösta. </w:t>
      </w:r>
    </w:p>
    <w:p w:rsidR="00F92971" w:rsidRPr="004837B7" w:rsidRDefault="00F92971">
      <w:pPr>
        <w:pStyle w:val="RKnormal"/>
      </w:pPr>
    </w:p>
    <w:p w:rsidR="00F92971" w:rsidRPr="004837B7" w:rsidRDefault="00F92971" w:rsidP="00514C69">
      <w:pPr>
        <w:pStyle w:val="RKnormal"/>
      </w:pPr>
      <w:r w:rsidRPr="004837B7">
        <w:t>Den första av de för Sverige viktiga frågorna är den om dödsboförval</w:t>
      </w:r>
      <w:r w:rsidRPr="004837B7">
        <w:t>t</w:t>
      </w:r>
      <w:r w:rsidRPr="004837B7">
        <w:t>ning. Sverige har under förhandlingarna pekat på svårigheterna att ti</w:t>
      </w:r>
      <w:r w:rsidRPr="004837B7">
        <w:t>l</w:t>
      </w:r>
      <w:r w:rsidRPr="004837B7">
        <w:t>lämpa utländsk rätt när det gälle</w:t>
      </w:r>
      <w:r w:rsidR="00906E90" w:rsidRPr="004837B7">
        <w:t>r frågor om förvaltning av kvarlåte</w:t>
      </w:r>
      <w:r w:rsidR="00906E90" w:rsidRPr="004837B7">
        <w:t>n</w:t>
      </w:r>
      <w:r w:rsidR="00906E90" w:rsidRPr="004837B7">
        <w:t>skap</w:t>
      </w:r>
      <w:r w:rsidRPr="004837B7">
        <w:t xml:space="preserve"> i Sverige. Enligt nuvarande svenska internationellt privaträttsliga b</w:t>
      </w:r>
      <w:r w:rsidRPr="004837B7">
        <w:t>e</w:t>
      </w:r>
      <w:r w:rsidRPr="004837B7">
        <w:t>stämmelser gäller att förfarandet vid boutredning, bodelning och arv</w:t>
      </w:r>
      <w:r w:rsidRPr="004837B7">
        <w:t>s</w:t>
      </w:r>
      <w:r w:rsidRPr="004837B7">
        <w:t>skifte beträffande egendom efter en avliden med hemvist här sker enligt ärvd</w:t>
      </w:r>
      <w:r w:rsidRPr="004837B7">
        <w:t>a</w:t>
      </w:r>
      <w:r w:rsidRPr="004837B7">
        <w:t xml:space="preserve">balken. När det däremot gäller de materiella frågorna, så som bl.a. vem som har rätt till arv och vem som ärver vad, kan dessa styras av utländsk lag. </w:t>
      </w:r>
      <w:r w:rsidR="00514C69" w:rsidRPr="004837B7">
        <w:t xml:space="preserve">Enligt de politiska riktlinjerna från i somras kommer dock alla aspekter av förvaltningen av kvarlåtenskapen </w:t>
      </w:r>
      <w:r w:rsidR="00906E90" w:rsidRPr="004837B7">
        <w:t>i pri</w:t>
      </w:r>
      <w:r w:rsidR="00906E90" w:rsidRPr="004837B7">
        <w:t>n</w:t>
      </w:r>
      <w:r w:rsidR="00906E90" w:rsidRPr="004837B7">
        <w:t xml:space="preserve">cip </w:t>
      </w:r>
      <w:r w:rsidR="00514C69" w:rsidRPr="004837B7">
        <w:t>att omfattas av den kommande förordningen och regleras av den lag som är tillämplig på arvet. Det angavs att ytterligare överväganden</w:t>
      </w:r>
      <w:r w:rsidR="00906E90" w:rsidRPr="004837B7">
        <w:t xml:space="preserve"> krävdes</w:t>
      </w:r>
      <w:r w:rsidR="00514C69" w:rsidRPr="004837B7">
        <w:t xml:space="preserve"> vad gäller möjliga undantag från denna princip och Sverige har, av såväl praktiska som pri</w:t>
      </w:r>
      <w:r w:rsidR="00514C69" w:rsidRPr="004837B7">
        <w:t>n</w:t>
      </w:r>
      <w:r w:rsidR="00514C69" w:rsidRPr="004837B7">
        <w:t>cipiella skäl, verkat för ett undantag. Det begränsade undantag som nu finns med i förordningstexten inn</w:t>
      </w:r>
      <w:r w:rsidR="00514C69" w:rsidRPr="004837B7">
        <w:t>e</w:t>
      </w:r>
      <w:r w:rsidR="00514C69" w:rsidRPr="004837B7">
        <w:t>bär at</w:t>
      </w:r>
      <w:r w:rsidR="00445EB9" w:rsidRPr="004837B7">
        <w:t>t om det finns arvsegendom i en</w:t>
      </w:r>
      <w:r w:rsidR="00514C69" w:rsidRPr="004837B7">
        <w:t xml:space="preserve"> </w:t>
      </w:r>
      <w:r w:rsidR="00C66912" w:rsidRPr="004837B7">
        <w:t>medlemsstat</w:t>
      </w:r>
      <w:r w:rsidR="00514C69" w:rsidRPr="004837B7">
        <w:t xml:space="preserve"> och de nationella reglerna i den </w:t>
      </w:r>
      <w:r w:rsidR="00C66912" w:rsidRPr="004837B7">
        <w:t>medlemsstaten</w:t>
      </w:r>
      <w:r w:rsidR="00514C69" w:rsidRPr="004837B7">
        <w:t xml:space="preserve"> kräver bou</w:t>
      </w:r>
      <w:r w:rsidR="00514C69" w:rsidRPr="004837B7">
        <w:t>t</w:t>
      </w:r>
      <w:r w:rsidR="00514C69" w:rsidRPr="004837B7">
        <w:t>redning och arvsskifte rörande egendomen, ska en boutredningsman kunna tillsättas enligt nationella regler</w:t>
      </w:r>
      <w:r w:rsidR="00906E90" w:rsidRPr="004837B7">
        <w:t xml:space="preserve"> även i de fall arvsärendet ska avgöras e</w:t>
      </w:r>
      <w:r w:rsidR="00906E90" w:rsidRPr="004837B7">
        <w:t>n</w:t>
      </w:r>
      <w:r w:rsidR="00906E90" w:rsidRPr="004837B7">
        <w:t>ligt utländsk rätt</w:t>
      </w:r>
      <w:r w:rsidR="00514C69" w:rsidRPr="004837B7">
        <w:t>. Boutredningsmannen ska, när det krävs för skydd av borgenärer, ha rätt att själv genomföra eller hos rätten ansöka om säkerhetsåtgä</w:t>
      </w:r>
      <w:r w:rsidR="00514C69" w:rsidRPr="004837B7">
        <w:t>r</w:t>
      </w:r>
      <w:r w:rsidR="00514C69" w:rsidRPr="004837B7">
        <w:t>der i enlighet med vad som föreskrivs i den nationella rätten. Boutre</w:t>
      </w:r>
      <w:r w:rsidR="00514C69" w:rsidRPr="004837B7">
        <w:t>d</w:t>
      </w:r>
      <w:r w:rsidR="00514C69" w:rsidRPr="004837B7">
        <w:t>ning</w:t>
      </w:r>
      <w:r w:rsidR="00514C69" w:rsidRPr="004837B7">
        <w:t>s</w:t>
      </w:r>
      <w:r w:rsidR="00514C69" w:rsidRPr="004837B7">
        <w:t>mannen får dock inte göra något som är oförenligt med vad som gäller enligt den tillämpliga lagen på arvet och ska samarbeta med b</w:t>
      </w:r>
      <w:r w:rsidR="00514C69" w:rsidRPr="004837B7">
        <w:t>e</w:t>
      </w:r>
      <w:r w:rsidR="00514C69" w:rsidRPr="004837B7">
        <w:t>höriga myndigheter.</w:t>
      </w:r>
      <w:r w:rsidR="00994494" w:rsidRPr="004837B7">
        <w:t xml:space="preserve"> </w:t>
      </w:r>
      <w:r w:rsidR="00906E90" w:rsidRPr="004837B7">
        <w:t>Något dödsbo i ärvdabalkens mening kommer dock inte uppstå i denna situation, utan äganderättens övergång till a</w:t>
      </w:r>
      <w:r w:rsidR="00906E90" w:rsidRPr="004837B7">
        <w:t>r</w:t>
      </w:r>
      <w:r w:rsidR="00906E90" w:rsidRPr="004837B7">
        <w:t xml:space="preserve">vingarna och ansvaret för skulder regleras i den rättsordning som är tillämplig på arvet. </w:t>
      </w:r>
      <w:r w:rsidR="00994494" w:rsidRPr="004837B7">
        <w:t>Att denna bestämmelse, som inte stöds av alla medlemsstater, finns med är ett a</w:t>
      </w:r>
      <w:r w:rsidR="00994494" w:rsidRPr="004837B7">
        <w:t>b</w:t>
      </w:r>
      <w:r w:rsidR="00994494" w:rsidRPr="004837B7">
        <w:t>solut minimum för Sverige. Från svensk synvinkel har vi dessutom verkat för att fler åtgärder ska få vi</w:t>
      </w:r>
      <w:r w:rsidR="00994494" w:rsidRPr="004837B7">
        <w:t>d</w:t>
      </w:r>
      <w:r w:rsidR="00994494" w:rsidRPr="004837B7">
        <w:t>tas och att även andra än borgenärer, t.ex. nyttjanderättsh</w:t>
      </w:r>
      <w:r w:rsidR="00994494" w:rsidRPr="004837B7">
        <w:t>a</w:t>
      </w:r>
      <w:r w:rsidR="00994494" w:rsidRPr="004837B7">
        <w:t>vare, ska kunna skyddas.</w:t>
      </w:r>
    </w:p>
    <w:p w:rsidR="00994494" w:rsidRPr="004837B7" w:rsidRDefault="00994494" w:rsidP="00514C69">
      <w:pPr>
        <w:pStyle w:val="RKnormal"/>
      </w:pPr>
    </w:p>
    <w:p w:rsidR="001F3DFC" w:rsidRPr="004837B7" w:rsidRDefault="00994494" w:rsidP="001F3DFC">
      <w:pPr>
        <w:pStyle w:val="RKnormal"/>
      </w:pPr>
      <w:r w:rsidRPr="004837B7">
        <w:t xml:space="preserve">En annan viktig fråga för Sverige är att </w:t>
      </w:r>
      <w:r w:rsidR="001F3DFC" w:rsidRPr="004837B7">
        <w:t xml:space="preserve">kunna fortsätta tillämpa </w:t>
      </w:r>
      <w:r w:rsidR="00906E90" w:rsidRPr="004837B7">
        <w:t>den no</w:t>
      </w:r>
      <w:r w:rsidR="00906E90" w:rsidRPr="004837B7">
        <w:t>r</w:t>
      </w:r>
      <w:r w:rsidR="00906E90" w:rsidRPr="004837B7">
        <w:t xml:space="preserve">diska </w:t>
      </w:r>
      <w:r w:rsidR="001F3DFC" w:rsidRPr="004837B7">
        <w:t>konventionen från 1934 om arv, testamente och boutredning (den nordiska arvskonventionen). Konventionen innehåller bestä</w:t>
      </w:r>
      <w:r w:rsidR="001F3DFC" w:rsidRPr="004837B7">
        <w:t>m</w:t>
      </w:r>
      <w:r w:rsidR="001F3DFC" w:rsidRPr="004837B7">
        <w:t>melser om behörighet, tillämplig lag samt erkännande och verkställi</w:t>
      </w:r>
      <w:r w:rsidR="001F3DFC" w:rsidRPr="004837B7">
        <w:t>g</w:t>
      </w:r>
      <w:r w:rsidR="001F3DFC" w:rsidRPr="004837B7">
        <w:t>het. Den no</w:t>
      </w:r>
      <w:r w:rsidR="001F3DFC" w:rsidRPr="004837B7">
        <w:t>r</w:t>
      </w:r>
      <w:r w:rsidR="001F3DFC" w:rsidRPr="004837B7">
        <w:t>diska arvskonventionen är ett praktiskt relevant regelverk. Under s</w:t>
      </w:r>
      <w:r w:rsidR="001F3DFC" w:rsidRPr="004837B7">
        <w:t>e</w:t>
      </w:r>
      <w:r w:rsidR="001F3DFC" w:rsidRPr="004837B7">
        <w:t>nare år har det dock funnits vissa behov av att modernisera konventionen. De no</w:t>
      </w:r>
      <w:r w:rsidR="001F3DFC" w:rsidRPr="004837B7">
        <w:t>r</w:t>
      </w:r>
      <w:r w:rsidR="001F3DFC" w:rsidRPr="004837B7">
        <w:t>diska länderna har därför enats om en reviderad text. Den nya texten har ännu inte antagits formellt. Samtliga nordiska länder ser stora fördelar med att även i for</w:t>
      </w:r>
      <w:r w:rsidR="001F3DFC" w:rsidRPr="004837B7">
        <w:t>t</w:t>
      </w:r>
      <w:r w:rsidR="001F3DFC" w:rsidRPr="004837B7">
        <w:t>sättningen kunna tillämpa moderna nordiska regler på området. Sverig</w:t>
      </w:r>
      <w:r w:rsidR="00A72356" w:rsidRPr="004837B7">
        <w:t>e har därför verkat för att</w:t>
      </w:r>
      <w:r w:rsidR="001F3DFC" w:rsidRPr="004837B7">
        <w:t xml:space="preserve"> den reviderade versi</w:t>
      </w:r>
      <w:r w:rsidR="001F3DFC" w:rsidRPr="004837B7">
        <w:t>o</w:t>
      </w:r>
      <w:r w:rsidR="00A72356" w:rsidRPr="004837B7">
        <w:t xml:space="preserve">nen i första hand ska kunna tillämpas. I andra hand har Sverige verkat för att den äldre versionen av konventionen ska kunna tillämpas. </w:t>
      </w:r>
    </w:p>
    <w:p w:rsidR="00CD7FE6" w:rsidRPr="004837B7" w:rsidRDefault="00CD7FE6">
      <w:pPr>
        <w:pStyle w:val="RKrubrik"/>
      </w:pPr>
      <w:r w:rsidRPr="004837B7">
        <w:t>Europaparlamentets inställning</w:t>
      </w:r>
    </w:p>
    <w:p w:rsidR="00CD7FE6" w:rsidRPr="004837B7" w:rsidRDefault="00937990">
      <w:pPr>
        <w:pStyle w:val="RKnormal"/>
      </w:pPr>
      <w:r w:rsidRPr="004837B7">
        <w:t xml:space="preserve">I Europaparlamentet </w:t>
      </w:r>
      <w:r w:rsidR="00B90333" w:rsidRPr="004837B7">
        <w:t>pågår den första läsningen av förslaget. JURI-utskottet lämnade sitt förslag till betänkande i februari 2011 och beslu-tade den 11 oktober 2011 om ett mandat för rapp</w:t>
      </w:r>
      <w:r w:rsidRPr="004837B7">
        <w:t xml:space="preserve">ortören </w:t>
      </w:r>
      <w:r w:rsidR="00952B9B" w:rsidRPr="004837B7">
        <w:t xml:space="preserve">att inleda </w:t>
      </w:r>
      <w:r w:rsidR="00B90333" w:rsidRPr="004837B7">
        <w:t>di</w:t>
      </w:r>
      <w:r w:rsidR="00B90333" w:rsidRPr="004837B7">
        <w:t>s</w:t>
      </w:r>
      <w:r w:rsidR="00B90333" w:rsidRPr="004837B7">
        <w:t>kussio</w:t>
      </w:r>
      <w:r w:rsidRPr="004837B7">
        <w:t>ner</w:t>
      </w:r>
      <w:r w:rsidR="00B90333" w:rsidRPr="004837B7">
        <w:t xml:space="preserve"> med rådet. </w:t>
      </w:r>
      <w:r w:rsidRPr="004837B7">
        <w:t>Under hösten 2011 har informella triloger hållits.</w:t>
      </w:r>
    </w:p>
    <w:p w:rsidR="00CD7FE6" w:rsidRPr="004837B7" w:rsidRDefault="00CD7FE6">
      <w:pPr>
        <w:pStyle w:val="RKrubrik"/>
        <w:rPr>
          <w:i/>
          <w:iCs/>
        </w:rPr>
      </w:pPr>
      <w:r w:rsidRPr="004837B7">
        <w:rPr>
          <w:i/>
          <w:iCs/>
        </w:rPr>
        <w:t>Förslaget</w:t>
      </w:r>
    </w:p>
    <w:p w:rsidR="00CD7FE6" w:rsidRPr="004837B7" w:rsidRDefault="00C325D4" w:rsidP="00C325D4">
      <w:pPr>
        <w:pStyle w:val="RKnormal"/>
      </w:pPr>
      <w:r w:rsidRPr="004837B7">
        <w:t>I förslaget regleras vilken domstol som ska vara behörig att handlägga gränsöverskridande arvsfrågor och vilket lands lag som ska tillämpas. När det gäller behörighet och tillämplig lag utgår förordningen från hemvistprincipen. Huvudregeln är att det medlemsland där den avli</w:t>
      </w:r>
      <w:r w:rsidRPr="004837B7">
        <w:t>d</w:t>
      </w:r>
      <w:r w:rsidRPr="004837B7">
        <w:t>ne hade hemvist vid dödsfallet ska ha b</w:t>
      </w:r>
      <w:r w:rsidRPr="004837B7">
        <w:t>e</w:t>
      </w:r>
      <w:r w:rsidRPr="004837B7">
        <w:t>hörighet och att det landets lag ska gälla. Tanken är att det, i så stor mån som möjligt endast ska vara en lag som är tillämplig. Det ska finnas möjlighet att välja lagen i det land man är medborg</w:t>
      </w:r>
      <w:r w:rsidRPr="004837B7">
        <w:t>a</w:t>
      </w:r>
      <w:r w:rsidRPr="004837B7">
        <w:t>re. Förslaget innehåller också bestämmelser om erkännande och verkstä</w:t>
      </w:r>
      <w:r w:rsidRPr="004837B7">
        <w:t>l</w:t>
      </w:r>
      <w:r w:rsidRPr="004837B7">
        <w:t>lighet av domar och officiella handlingar, som huvudsakligen bygger på de bestämmelser som finns i Bryssel I-förordningen. Vidare innebär förslaget inrättandet av ett europeiskt arvsintyg, en legitim</w:t>
      </w:r>
      <w:r w:rsidRPr="004837B7">
        <w:t>a</w:t>
      </w:r>
      <w:r w:rsidRPr="004837B7">
        <w:t xml:space="preserve">tionshandling som visar vilka som ärver en viss person eller som har rätt att förfoga över kvarlåtenskapen, och som ska gälla inom EU. </w:t>
      </w:r>
      <w:r w:rsidR="00952B9B" w:rsidRPr="004837B7">
        <w:t>För en</w:t>
      </w:r>
      <w:r w:rsidRPr="004837B7">
        <w:t xml:space="preserve"> närmare</w:t>
      </w:r>
      <w:r w:rsidR="00952B9B" w:rsidRPr="004837B7">
        <w:t xml:space="preserve"> </w:t>
      </w:r>
      <w:r w:rsidR="00937990" w:rsidRPr="004837B7">
        <w:t>beskrivning av fö</w:t>
      </w:r>
      <w:r w:rsidR="00937990" w:rsidRPr="004837B7">
        <w:t>r</w:t>
      </w:r>
      <w:r w:rsidR="00937990" w:rsidRPr="004837B7">
        <w:t>slaget hänvisas till faktapromemoria 2009/10:FPM55.</w:t>
      </w:r>
    </w:p>
    <w:p w:rsidR="00CD7FE6" w:rsidRPr="004837B7" w:rsidRDefault="00CD7FE6">
      <w:pPr>
        <w:pStyle w:val="RKrubrik"/>
        <w:rPr>
          <w:i/>
          <w:iCs/>
        </w:rPr>
      </w:pPr>
      <w:r w:rsidRPr="004837B7">
        <w:rPr>
          <w:i/>
          <w:iCs/>
        </w:rPr>
        <w:t>Gällande svenska regler och förslagets effekter på de</w:t>
      </w:r>
      <w:r w:rsidRPr="004837B7">
        <w:rPr>
          <w:i/>
          <w:iCs/>
        </w:rPr>
        <w:t>s</w:t>
      </w:r>
      <w:r w:rsidRPr="004837B7">
        <w:rPr>
          <w:i/>
          <w:iCs/>
        </w:rPr>
        <w:t>sa</w:t>
      </w:r>
    </w:p>
    <w:p w:rsidR="00CD7FE6" w:rsidRPr="004837B7" w:rsidRDefault="00937990">
      <w:pPr>
        <w:pStyle w:val="RKnormal"/>
      </w:pPr>
      <w:r w:rsidRPr="004837B7">
        <w:t>För en beskrivning av gällande svenska regler och hur de förhåller sig till förslaget till en arvsförordning hänvisas till faktapromemoria 2009/10:FPM55.</w:t>
      </w:r>
    </w:p>
    <w:p w:rsidR="00CD7FE6" w:rsidRPr="004837B7" w:rsidRDefault="00CD7FE6">
      <w:pPr>
        <w:pStyle w:val="RKrubrik"/>
      </w:pPr>
      <w:r w:rsidRPr="004837B7">
        <w:t>Ekonomiska konsekvenser</w:t>
      </w:r>
    </w:p>
    <w:p w:rsidR="00CD7FE6" w:rsidRPr="004837B7" w:rsidRDefault="00937990">
      <w:pPr>
        <w:pStyle w:val="RKnormal"/>
      </w:pPr>
      <w:r w:rsidRPr="004837B7">
        <w:t>De slutliga ekonomiska effekterna av förslaget till en arvsförordning kan i detta skede inte bedömas med säkerhet. Eventuella budgetära kons</w:t>
      </w:r>
      <w:r w:rsidRPr="004837B7">
        <w:t>e</w:t>
      </w:r>
      <w:r w:rsidRPr="004837B7">
        <w:t>kvenser bör dock kunna finansieras inom befintliga ramar (också för EU-budgeten).</w:t>
      </w:r>
    </w:p>
    <w:p w:rsidR="00CD7FE6" w:rsidRPr="004837B7" w:rsidRDefault="00CD7FE6">
      <w:pPr>
        <w:pStyle w:val="RKrubrik"/>
      </w:pPr>
    </w:p>
    <w:p w:rsidR="00CD7FE6" w:rsidRPr="004837B7" w:rsidRDefault="00CD7FE6">
      <w:pPr>
        <w:pStyle w:val="RKnormal"/>
      </w:pPr>
    </w:p>
    <w:p w:rsidR="00CD7FE6" w:rsidRPr="004837B7" w:rsidRDefault="00CD7FE6">
      <w:pPr>
        <w:pStyle w:val="RKnormal"/>
        <w:rPr>
          <w:i/>
          <w:iCs/>
        </w:rPr>
      </w:pPr>
    </w:p>
    <w:p w:rsidR="00CD7FE6" w:rsidRPr="004837B7" w:rsidRDefault="00CD7FE6">
      <w:pPr>
        <w:pStyle w:val="RKnormal"/>
        <w:ind w:left="-1134"/>
      </w:pPr>
    </w:p>
    <w:p w:rsidR="006E4E11" w:rsidRPr="004837B7" w:rsidRDefault="006E4E11">
      <w:pPr>
        <w:pStyle w:val="RKrubrik"/>
        <w:spacing w:before="0" w:after="0"/>
      </w:pPr>
    </w:p>
    <w:p w:rsidR="006E4E11" w:rsidRPr="004837B7" w:rsidRDefault="006E4E11">
      <w:pPr>
        <w:pStyle w:val="RKnormal"/>
      </w:pPr>
    </w:p>
    <w:p w:rsidR="00CD7FE6" w:rsidRPr="004837B7" w:rsidRDefault="00CD7FE6">
      <w:pPr>
        <w:pStyle w:val="RKnormal"/>
      </w:pPr>
    </w:p>
    <w:sectPr w:rsidR="00CD7FE6" w:rsidRPr="004837B7">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276B" w:rsidRPr="004837B7" w:rsidRDefault="00C1276B">
      <w:r w:rsidRPr="004837B7">
        <w:separator/>
      </w:r>
    </w:p>
  </w:endnote>
  <w:endnote w:type="continuationSeparator" w:id="0">
    <w:p w:rsidR="00C1276B" w:rsidRPr="004837B7" w:rsidRDefault="00C1276B">
      <w:r w:rsidRPr="004837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TradeGothic">
    <w:altName w:val="Calibri"/>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276B" w:rsidRPr="004837B7" w:rsidRDefault="00C1276B">
      <w:r w:rsidRPr="004837B7">
        <w:separator/>
      </w:r>
    </w:p>
  </w:footnote>
  <w:footnote w:type="continuationSeparator" w:id="0">
    <w:p w:rsidR="00C1276B" w:rsidRPr="004837B7" w:rsidRDefault="00C1276B">
      <w:r w:rsidRPr="004837B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003" w:rsidRPr="004837B7" w:rsidRDefault="00C44003">
    <w:pPr>
      <w:pStyle w:val="Sidhuvud"/>
      <w:framePr w:wrap="around" w:vAnchor="text" w:hAnchor="margin" w:xAlign="right" w:y="1"/>
      <w:rPr>
        <w:rStyle w:val="Sidnummer"/>
      </w:rPr>
    </w:pPr>
    <w:r w:rsidRPr="004837B7">
      <w:rPr>
        <w:rStyle w:val="Sidnummer"/>
      </w:rPr>
      <w:fldChar w:fldCharType="begin" w:fldLock="1"/>
    </w:r>
    <w:r w:rsidRPr="004837B7">
      <w:rPr>
        <w:rStyle w:val="Sidnummer"/>
      </w:rPr>
      <w:instrText xml:space="preserve">PAGE  </w:instrText>
    </w:r>
    <w:r w:rsidRPr="004837B7">
      <w:rPr>
        <w:rStyle w:val="Sidnummer"/>
      </w:rPr>
      <w:fldChar w:fldCharType="separate"/>
    </w:r>
    <w:r w:rsidR="00C9657C" w:rsidRPr="004837B7">
      <w:rPr>
        <w:rStyle w:val="Sidnummer"/>
      </w:rPr>
      <w:t>4</w:t>
    </w:r>
    <w:r w:rsidRPr="004837B7">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C44003" w:rsidRPr="004837B7">
      <w:tblPrEx>
        <w:tblCellMar>
          <w:top w:w="0" w:type="dxa"/>
          <w:bottom w:w="0" w:type="dxa"/>
        </w:tblCellMar>
      </w:tblPrEx>
      <w:trPr>
        <w:cantSplit/>
      </w:trPr>
      <w:tc>
        <w:tcPr>
          <w:tcW w:w="3119" w:type="dxa"/>
        </w:tcPr>
        <w:p w:rsidR="00C44003" w:rsidRPr="004837B7" w:rsidRDefault="00C44003">
          <w:pPr>
            <w:pStyle w:val="Sidhuvud"/>
            <w:spacing w:line="200" w:lineRule="atLeast"/>
            <w:ind w:right="357"/>
            <w:rPr>
              <w:rFonts w:ascii="TradeGothic" w:hAnsi="TradeGothic"/>
              <w:b/>
              <w:bCs/>
              <w:sz w:val="16"/>
            </w:rPr>
          </w:pPr>
        </w:p>
      </w:tc>
      <w:tc>
        <w:tcPr>
          <w:tcW w:w="4111" w:type="dxa"/>
          <w:tcMar>
            <w:left w:w="567" w:type="dxa"/>
          </w:tcMar>
        </w:tcPr>
        <w:p w:rsidR="00C44003" w:rsidRPr="004837B7" w:rsidRDefault="00C44003">
          <w:pPr>
            <w:pStyle w:val="Sidhuvud"/>
            <w:ind w:right="360"/>
          </w:pPr>
        </w:p>
      </w:tc>
      <w:tc>
        <w:tcPr>
          <w:tcW w:w="1525" w:type="dxa"/>
        </w:tcPr>
        <w:p w:rsidR="00C44003" w:rsidRPr="004837B7" w:rsidRDefault="00C44003">
          <w:pPr>
            <w:pStyle w:val="Sidhuvud"/>
            <w:ind w:right="360"/>
          </w:pPr>
        </w:p>
      </w:tc>
    </w:tr>
  </w:tbl>
  <w:p w:rsidR="00C44003" w:rsidRPr="004837B7" w:rsidRDefault="00C44003">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003" w:rsidRPr="004837B7" w:rsidRDefault="00C44003">
    <w:pPr>
      <w:pStyle w:val="Sidhuvud"/>
      <w:framePr w:wrap="around" w:vAnchor="text" w:hAnchor="margin" w:xAlign="right" w:y="1"/>
      <w:rPr>
        <w:rStyle w:val="Sidnummer"/>
      </w:rPr>
    </w:pPr>
    <w:r w:rsidRPr="004837B7">
      <w:rPr>
        <w:rStyle w:val="Sidnummer"/>
      </w:rPr>
      <w:fldChar w:fldCharType="begin" w:fldLock="1"/>
    </w:r>
    <w:r w:rsidRPr="004837B7">
      <w:rPr>
        <w:rStyle w:val="Sidnummer"/>
      </w:rPr>
      <w:instrText xml:space="preserve">PAGE  </w:instrText>
    </w:r>
    <w:r w:rsidRPr="004837B7">
      <w:rPr>
        <w:rStyle w:val="Sidnummer"/>
      </w:rPr>
      <w:fldChar w:fldCharType="separate"/>
    </w:r>
    <w:r w:rsidR="00C9657C" w:rsidRPr="004837B7">
      <w:rPr>
        <w:rStyle w:val="Sidnummer"/>
      </w:rPr>
      <w:t>5</w:t>
    </w:r>
    <w:r w:rsidRPr="004837B7">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C44003" w:rsidRPr="004837B7">
      <w:tblPrEx>
        <w:tblCellMar>
          <w:top w:w="0" w:type="dxa"/>
          <w:bottom w:w="0" w:type="dxa"/>
        </w:tblCellMar>
      </w:tblPrEx>
      <w:trPr>
        <w:cantSplit/>
      </w:trPr>
      <w:tc>
        <w:tcPr>
          <w:tcW w:w="3119" w:type="dxa"/>
        </w:tcPr>
        <w:p w:rsidR="00C44003" w:rsidRPr="004837B7" w:rsidRDefault="00C44003">
          <w:pPr>
            <w:pStyle w:val="Sidhuvud"/>
            <w:spacing w:line="200" w:lineRule="atLeast"/>
            <w:ind w:right="357"/>
            <w:rPr>
              <w:rFonts w:ascii="TradeGothic" w:hAnsi="TradeGothic"/>
              <w:b/>
              <w:bCs/>
              <w:sz w:val="16"/>
            </w:rPr>
          </w:pPr>
        </w:p>
      </w:tc>
      <w:tc>
        <w:tcPr>
          <w:tcW w:w="4111" w:type="dxa"/>
          <w:tcMar>
            <w:left w:w="567" w:type="dxa"/>
          </w:tcMar>
        </w:tcPr>
        <w:p w:rsidR="00C44003" w:rsidRPr="004837B7" w:rsidRDefault="00C44003">
          <w:pPr>
            <w:pStyle w:val="Sidhuvud"/>
            <w:ind w:right="360"/>
          </w:pPr>
        </w:p>
      </w:tc>
      <w:tc>
        <w:tcPr>
          <w:tcW w:w="1525" w:type="dxa"/>
        </w:tcPr>
        <w:p w:rsidR="00C44003" w:rsidRPr="004837B7" w:rsidRDefault="00C44003">
          <w:pPr>
            <w:pStyle w:val="Sidhuvud"/>
            <w:ind w:right="360"/>
          </w:pPr>
        </w:p>
      </w:tc>
    </w:tr>
  </w:tbl>
  <w:p w:rsidR="00C44003" w:rsidRPr="004837B7" w:rsidRDefault="00C44003">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003" w:rsidRPr="004837B7" w:rsidRDefault="004837B7">
    <w:pPr>
      <w:framePr w:w="2948" w:h="1321" w:hRule="exact" w:wrap="notBeside" w:vAnchor="page" w:hAnchor="page" w:x="1362" w:y="653"/>
    </w:pPr>
    <w:r w:rsidRPr="004837B7">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C44003" w:rsidRPr="004837B7" w:rsidRDefault="00C44003">
    <w:pPr>
      <w:pStyle w:val="RKrubrik"/>
      <w:keepNext w:val="0"/>
      <w:tabs>
        <w:tab w:val="clear" w:pos="1134"/>
        <w:tab w:val="clear" w:pos="2835"/>
      </w:tabs>
      <w:spacing w:before="0" w:after="0" w:line="320" w:lineRule="atLeast"/>
      <w:rPr>
        <w:bCs/>
      </w:rPr>
    </w:pPr>
  </w:p>
  <w:p w:rsidR="00C44003" w:rsidRPr="004837B7" w:rsidRDefault="00C44003">
    <w:pPr>
      <w:rPr>
        <w:rFonts w:ascii="TradeGothic" w:hAnsi="TradeGothic"/>
        <w:b/>
        <w:bCs/>
        <w:spacing w:val="12"/>
        <w:sz w:val="22"/>
      </w:rPr>
    </w:pPr>
  </w:p>
  <w:p w:rsidR="00C44003" w:rsidRPr="004837B7" w:rsidRDefault="00C44003">
    <w:pPr>
      <w:pStyle w:val="RKrubrik"/>
      <w:keepNext w:val="0"/>
      <w:tabs>
        <w:tab w:val="clear" w:pos="1134"/>
        <w:tab w:val="clear" w:pos="2835"/>
      </w:tabs>
      <w:spacing w:before="0" w:after="0" w:line="320" w:lineRule="atLeast"/>
      <w:rPr>
        <w:bCs/>
      </w:rPr>
    </w:pPr>
  </w:p>
  <w:p w:rsidR="00C44003" w:rsidRPr="004837B7" w:rsidRDefault="00C44003">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CD7FE6"/>
    <w:rsid w:val="000B5346"/>
    <w:rsid w:val="000E5F83"/>
    <w:rsid w:val="00150384"/>
    <w:rsid w:val="001805B7"/>
    <w:rsid w:val="00187AEF"/>
    <w:rsid w:val="001F3DFC"/>
    <w:rsid w:val="002301D0"/>
    <w:rsid w:val="00254DF2"/>
    <w:rsid w:val="002E0CC5"/>
    <w:rsid w:val="0034211A"/>
    <w:rsid w:val="00344B46"/>
    <w:rsid w:val="00445EB9"/>
    <w:rsid w:val="004837B7"/>
    <w:rsid w:val="004A328D"/>
    <w:rsid w:val="00514C69"/>
    <w:rsid w:val="0058762B"/>
    <w:rsid w:val="00685EA8"/>
    <w:rsid w:val="006E4E11"/>
    <w:rsid w:val="007242A3"/>
    <w:rsid w:val="00756F08"/>
    <w:rsid w:val="007606B4"/>
    <w:rsid w:val="007664F8"/>
    <w:rsid w:val="007A6855"/>
    <w:rsid w:val="007C499C"/>
    <w:rsid w:val="007E34AB"/>
    <w:rsid w:val="008B0A96"/>
    <w:rsid w:val="008B69B2"/>
    <w:rsid w:val="008E4ADF"/>
    <w:rsid w:val="00906E90"/>
    <w:rsid w:val="00937990"/>
    <w:rsid w:val="00952B9B"/>
    <w:rsid w:val="0098052C"/>
    <w:rsid w:val="00994494"/>
    <w:rsid w:val="009F782B"/>
    <w:rsid w:val="00A72356"/>
    <w:rsid w:val="00A77C50"/>
    <w:rsid w:val="00AD30A7"/>
    <w:rsid w:val="00B90333"/>
    <w:rsid w:val="00C1276B"/>
    <w:rsid w:val="00C325D4"/>
    <w:rsid w:val="00C44003"/>
    <w:rsid w:val="00C4484E"/>
    <w:rsid w:val="00C66912"/>
    <w:rsid w:val="00C9657C"/>
    <w:rsid w:val="00CD7FE6"/>
    <w:rsid w:val="00D01BF2"/>
    <w:rsid w:val="00D133D7"/>
    <w:rsid w:val="00D23711"/>
    <w:rsid w:val="00DB3F4D"/>
    <w:rsid w:val="00EC25F9"/>
    <w:rsid w:val="00ED583F"/>
    <w:rsid w:val="00F92971"/>
    <w:rsid w:val="00FD321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D3F4359-0245-45DA-9026-EDA7630D2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link w:val="RKrubrikChar"/>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C66912"/>
    <w:rPr>
      <w:rFonts w:ascii="OrigGarmnd BT" w:hAnsi="OrigGarmnd BT"/>
      <w:sz w:val="24"/>
      <w:lang w:val="sv-SE" w:eastAsia="en-US" w:bidi="ar-SA"/>
    </w:rPr>
  </w:style>
  <w:style w:type="character" w:customStyle="1" w:styleId="RKrubrikChar">
    <w:name w:val="RKrubrik Char"/>
    <w:basedOn w:val="RKnormalChar"/>
    <w:link w:val="RKrubrik"/>
    <w:rsid w:val="00C66912"/>
    <w:rPr>
      <w:rFonts w:ascii="TradeGothic" w:hAnsi="TradeGothic"/>
      <w:b/>
      <w:sz w:val="22"/>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1230</Words>
  <Characters>7469</Characters>
  <Application>Microsoft Office Word</Application>
  <DocSecurity>4</DocSecurity>
  <Lines>169</Lines>
  <Paragraphs>44</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2011-11-29T09:29:00Z</cp:lastPrinted>
  <dcterms:created xsi:type="dcterms:W3CDTF">2025-12-17T21:40:00Z</dcterms:created>
  <dcterms:modified xsi:type="dcterms:W3CDTF">2025-12-17T21:40:00Z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Justitiedepartementet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