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57A2E">
        <w:tblPrEx>
          <w:tblCellMar>
            <w:top w:w="0" w:type="dxa"/>
            <w:left w:w="0" w:type="dxa"/>
            <w:bottom w:w="0" w:type="dxa"/>
            <w:right w:w="0" w:type="dxa"/>
          </w:tblCellMar>
        </w:tblPrEx>
        <w:trPr>
          <w:gridAfter w:val="2"/>
          <w:wAfter w:w="1758" w:type="dxa"/>
          <w:cantSplit/>
          <w:trHeight w:val="1320"/>
        </w:trPr>
        <w:tc>
          <w:tcPr>
            <w:tcW w:w="5897" w:type="dxa"/>
          </w:tcPr>
          <w:p w:rsidR="00F82B7A" w:rsidRPr="00757A2E" w:rsidRDefault="00F82B7A">
            <w:pPr>
              <w:pStyle w:val="HuvudRubrik"/>
            </w:pPr>
            <w:r w:rsidRPr="00757A2E">
              <w:t>Regeringskansliet</w:t>
            </w:r>
          </w:p>
          <w:p w:rsidR="00F82B7A" w:rsidRPr="00757A2E" w:rsidRDefault="00F82B7A">
            <w:pPr>
              <w:pStyle w:val="HuvudRubrik"/>
            </w:pPr>
            <w:r w:rsidRPr="00757A2E">
              <w:t>Faktapromemoria  2010/11:FPM16</w:t>
            </w:r>
          </w:p>
        </w:tc>
      </w:tr>
      <w:tr w:rsidR="00000000" w:rsidRPr="00757A2E">
        <w:tblPrEx>
          <w:tblCellMar>
            <w:top w:w="0" w:type="dxa"/>
            <w:left w:w="0" w:type="dxa"/>
            <w:bottom w:w="0" w:type="dxa"/>
            <w:right w:w="0" w:type="dxa"/>
          </w:tblCellMar>
        </w:tblPrEx>
        <w:trPr>
          <w:gridAfter w:val="2"/>
          <w:wAfter w:w="1758" w:type="dxa"/>
          <w:cantSplit/>
          <w:trHeight w:val="240"/>
        </w:trPr>
        <w:tc>
          <w:tcPr>
            <w:tcW w:w="5897" w:type="dxa"/>
          </w:tcPr>
          <w:p w:rsidR="00F82B7A" w:rsidRPr="00757A2E" w:rsidRDefault="00F82B7A">
            <w:pPr>
              <w:pStyle w:val="HuvudRubrik"/>
              <w:rPr>
                <w:sz w:val="28"/>
              </w:rPr>
            </w:pPr>
            <w:r w:rsidRPr="00757A2E">
              <w:t>Unga på väg</w:t>
            </w:r>
          </w:p>
        </w:tc>
      </w:tr>
      <w:tr w:rsidR="00000000" w:rsidRPr="00757A2E">
        <w:tblPrEx>
          <w:tblCellMar>
            <w:top w:w="0" w:type="dxa"/>
            <w:left w:w="0" w:type="dxa"/>
            <w:bottom w:w="0" w:type="dxa"/>
            <w:right w:w="0" w:type="dxa"/>
          </w:tblCellMar>
        </w:tblPrEx>
        <w:trPr>
          <w:cantSplit/>
          <w:trHeight w:val="285"/>
        </w:trPr>
        <w:tc>
          <w:tcPr>
            <w:tcW w:w="7655" w:type="dxa"/>
            <w:gridSpan w:val="3"/>
          </w:tcPr>
          <w:p w:rsidR="00F82B7A" w:rsidRPr="00757A2E" w:rsidRDefault="00F82B7A">
            <w:pPr>
              <w:pStyle w:val="Departement"/>
              <w:rPr>
                <w:sz w:val="28"/>
              </w:rPr>
            </w:pPr>
            <w:r w:rsidRPr="00757A2E">
              <w:t>Utbildningsdepartementet</w:t>
            </w:r>
          </w:p>
        </w:tc>
      </w:tr>
      <w:tr w:rsidR="00000000" w:rsidRPr="00757A2E">
        <w:tblPrEx>
          <w:tblCellMar>
            <w:top w:w="0" w:type="dxa"/>
            <w:left w:w="0" w:type="dxa"/>
            <w:bottom w:w="0" w:type="dxa"/>
            <w:right w:w="0" w:type="dxa"/>
          </w:tblCellMar>
        </w:tblPrEx>
        <w:trPr>
          <w:cantSplit/>
          <w:trHeight w:val="240"/>
        </w:trPr>
        <w:tc>
          <w:tcPr>
            <w:tcW w:w="7655" w:type="dxa"/>
            <w:gridSpan w:val="3"/>
          </w:tcPr>
          <w:p w:rsidR="00F82B7A" w:rsidRPr="00757A2E" w:rsidRDefault="00F82B7A">
            <w:pPr>
              <w:pStyle w:val="Dokumentdatum"/>
            </w:pPr>
            <w:r w:rsidRPr="00757A2E">
              <w:t>2010-11-04</w:t>
            </w:r>
          </w:p>
        </w:tc>
      </w:tr>
      <w:tr w:rsidR="00000000" w:rsidRPr="00757A2E">
        <w:tblPrEx>
          <w:tblCellMar>
            <w:top w:w="0" w:type="dxa"/>
            <w:left w:w="0" w:type="dxa"/>
            <w:bottom w:w="0" w:type="dxa"/>
            <w:right w:w="0" w:type="dxa"/>
          </w:tblCellMar>
        </w:tblPrEx>
        <w:trPr>
          <w:cantSplit/>
          <w:trHeight w:val="726"/>
        </w:trPr>
        <w:tc>
          <w:tcPr>
            <w:tcW w:w="7655" w:type="dxa"/>
            <w:gridSpan w:val="3"/>
            <w:vAlign w:val="bottom"/>
          </w:tcPr>
          <w:p w:rsidR="00F82B7A" w:rsidRPr="00757A2E" w:rsidRDefault="00F82B7A">
            <w:pPr>
              <w:pStyle w:val="Dokumentbeteckning"/>
            </w:pPr>
            <w:r w:rsidRPr="00757A2E">
              <w:t>Dokumentbeteckning</w:t>
            </w:r>
          </w:p>
        </w:tc>
      </w:tr>
      <w:tr w:rsidR="00000000" w:rsidRPr="00757A2E">
        <w:tblPrEx>
          <w:tblCellMar>
            <w:top w:w="0" w:type="dxa"/>
            <w:left w:w="0" w:type="dxa"/>
            <w:bottom w:w="0" w:type="dxa"/>
            <w:right w:w="0" w:type="dxa"/>
          </w:tblCellMar>
        </w:tblPrEx>
        <w:trPr>
          <w:gridAfter w:val="1"/>
          <w:wAfter w:w="1560" w:type="dxa"/>
          <w:trHeight w:val="120"/>
        </w:trPr>
        <w:tc>
          <w:tcPr>
            <w:tcW w:w="6095" w:type="dxa"/>
            <w:gridSpan w:val="2"/>
          </w:tcPr>
          <w:p w:rsidR="00F82B7A" w:rsidRPr="00757A2E" w:rsidRDefault="00F82B7A">
            <w:bookmarkStart w:id="0" w:name="KomNr"/>
            <w:bookmarkEnd w:id="0"/>
            <w:r w:rsidRPr="00757A2E">
              <w:t>KOM (2010) 477</w:t>
            </w:r>
          </w:p>
        </w:tc>
      </w:tr>
      <w:tr w:rsidR="00000000" w:rsidRPr="00757A2E">
        <w:tblPrEx>
          <w:tblCellMar>
            <w:top w:w="0" w:type="dxa"/>
            <w:left w:w="0" w:type="dxa"/>
            <w:bottom w:w="0" w:type="dxa"/>
            <w:right w:w="0" w:type="dxa"/>
          </w:tblCellMar>
        </w:tblPrEx>
        <w:trPr>
          <w:gridAfter w:val="1"/>
          <w:wAfter w:w="1560" w:type="dxa"/>
          <w:trHeight w:val="120"/>
        </w:trPr>
        <w:tc>
          <w:tcPr>
            <w:tcW w:w="6095" w:type="dxa"/>
            <w:gridSpan w:val="2"/>
          </w:tcPr>
          <w:p w:rsidR="00F82B7A" w:rsidRPr="00757A2E" w:rsidRDefault="00F82B7A">
            <w:pPr>
              <w:pStyle w:val="Dokumentbeteckning-titel"/>
            </w:pPr>
            <w:r w:rsidRPr="00757A2E">
              <w:t>Meddelande från kommissionen till Europaparlamentet, rådet, europeiska Ekonomiska och sociala kommittén samt Regionkommittén Unga på väg Ett initiativ för att släppa fram potentialen hos ungdomar att uppnå smart och hållbar tillväxt för alla i Europeiska unionen</w:t>
            </w:r>
          </w:p>
        </w:tc>
      </w:tr>
    </w:tbl>
    <w:p w:rsidR="00F82B7A" w:rsidRPr="00757A2E" w:rsidRDefault="00F82B7A"/>
    <w:p w:rsidR="00F82B7A" w:rsidRPr="00757A2E" w:rsidRDefault="00F82B7A">
      <w:pPr>
        <w:pStyle w:val="Rubrik1"/>
        <w:numPr>
          <w:ilvl w:val="0"/>
          <w:numId w:val="0"/>
        </w:numPr>
      </w:pPr>
      <w:r w:rsidRPr="00757A2E">
        <w:t>Sammanfattning</w:t>
      </w:r>
    </w:p>
    <w:p w:rsidR="00F82B7A" w:rsidRPr="00757A2E" w:rsidRDefault="00F82B7A">
      <w:r w:rsidRPr="00757A2E">
        <w:t xml:space="preserve">I sitt meddelande om EU2020-strategin aviserade kommissionen sju s.k. flaggskepp som ska understödja arbetet med EU2020. Ett av dessa flaggskepp benämns </w:t>
      </w:r>
      <w:r w:rsidRPr="00757A2E">
        <w:rPr>
          <w:i/>
        </w:rPr>
        <w:t>”Youth on the move” – ”Unga på väg”</w:t>
      </w:r>
      <w:r w:rsidRPr="00757A2E">
        <w:t>.  Flaggskeppet innehåller 28 olika initiativ som på olika sätt ska stödja arbetet med att ge Europas  unga en utbildning av hög kvalité samt bra förutsättningar att lyckas på arbetsmarknaden.</w:t>
      </w:r>
    </w:p>
    <w:p w:rsidR="00F82B7A" w:rsidRPr="00757A2E" w:rsidRDefault="00F82B7A">
      <w:r w:rsidRPr="00757A2E">
        <w:t>Regeringen välkomnar förslaget. Det är bra med ett samlat grepp riktat mot unga. Vikten av samarbete mellan olika aktörer och olika nivåer understryks liksom vikten av att värna subsidiaritetsprincipen.</w:t>
      </w:r>
    </w:p>
    <w:p w:rsidR="00F82B7A" w:rsidRPr="00757A2E" w:rsidRDefault="00F82B7A">
      <w:r w:rsidRPr="00757A2E">
        <w:t xml:space="preserve">I </w:t>
      </w:r>
      <w:r w:rsidRPr="00757A2E">
        <w:rPr>
          <w:i/>
        </w:rPr>
        <w:t>Unga på väg</w:t>
      </w:r>
      <w:r w:rsidRPr="00757A2E">
        <w:t xml:space="preserve"> aviserar kommissionen flera meddelanden och rekommendationer.</w:t>
      </w:r>
      <w:r w:rsidRPr="00757A2E">
        <w:rPr>
          <w:i/>
        </w:rPr>
        <w:t xml:space="preserve"> </w:t>
      </w:r>
      <w:r w:rsidRPr="00757A2E">
        <w:t>Regeringen återkommer med specifika ståndpunkter allt eftersom de publiceras.</w:t>
      </w:r>
    </w:p>
    <w:p w:rsidR="00F82B7A" w:rsidRPr="00757A2E" w:rsidRDefault="00F82B7A">
      <w:pPr>
        <w:pStyle w:val="Rubrik1"/>
      </w:pPr>
      <w:r w:rsidRPr="00757A2E">
        <w:t>Förslaget</w:t>
      </w:r>
    </w:p>
    <w:p w:rsidR="00F82B7A" w:rsidRPr="00757A2E" w:rsidRDefault="00F82B7A">
      <w:pPr>
        <w:pStyle w:val="Rubrik2"/>
      </w:pPr>
      <w:r w:rsidRPr="00757A2E">
        <w:t>Ärendets bakgrund</w:t>
      </w:r>
    </w:p>
    <w:p w:rsidR="00F82B7A" w:rsidRPr="00757A2E" w:rsidRDefault="00F82B7A">
      <w:pPr>
        <w:rPr>
          <w:b/>
          <w:i/>
        </w:rPr>
      </w:pPr>
      <w:r w:rsidRPr="00757A2E">
        <w:t xml:space="preserve">Kommissionens presenterade ett meddelande om </w:t>
      </w:r>
      <w:r w:rsidRPr="00757A2E">
        <w:rPr>
          <w:i/>
        </w:rPr>
        <w:t>Unga på väg</w:t>
      </w:r>
      <w:r w:rsidRPr="00757A2E">
        <w:t xml:space="preserve"> den 15 september. Meddelandet har till del sin bakgrund i grönboken om mobilitet. Flera insatser som omnämndes i grönboken kan nu återfinnas i </w:t>
      </w:r>
      <w:r w:rsidRPr="00757A2E">
        <w:rPr>
          <w:i/>
        </w:rPr>
        <w:t>Unga på väg</w:t>
      </w:r>
    </w:p>
    <w:p w:rsidR="00F82B7A" w:rsidRPr="00757A2E" w:rsidRDefault="00F82B7A"/>
    <w:p w:rsidR="00F82B7A" w:rsidRPr="00757A2E" w:rsidRDefault="00F82B7A">
      <w:pPr>
        <w:pStyle w:val="Rubrik2"/>
      </w:pPr>
      <w:r w:rsidRPr="00757A2E">
        <w:lastRenderedPageBreak/>
        <w:t>Förslagets innehåll</w:t>
      </w:r>
    </w:p>
    <w:p w:rsidR="00F82B7A" w:rsidRPr="00757A2E" w:rsidRDefault="00F82B7A"/>
    <w:p w:rsidR="00F82B7A" w:rsidRPr="00757A2E" w:rsidRDefault="00F82B7A">
      <w:r w:rsidRPr="00757A2E">
        <w:t xml:space="preserve">Europas framtid är beroende av våra ungdomar. Syftet med </w:t>
      </w:r>
      <w:r w:rsidRPr="00757A2E">
        <w:rPr>
          <w:i/>
        </w:rPr>
        <w:t>Unga på väg</w:t>
      </w:r>
      <w:r w:rsidRPr="00757A2E">
        <w:t xml:space="preserve"> är att på alla nivåer höja den europeiska utbildningens kvalitet så att ungdomar står väl rustade för att lyckas i kunskapssamhället samt att skapa bästa möjliga förutsättningar för att de ska lyckas på arbetsmarknaden. Flaggskeppet är ramverk som dels innehåller nya insatser dels stärker redan existerande aktiviteter. </w:t>
      </w:r>
    </w:p>
    <w:p w:rsidR="00F82B7A" w:rsidRPr="00757A2E" w:rsidRDefault="00F82B7A">
      <w:r w:rsidRPr="00757A2E">
        <w:t>Alla nuvarande program som stödjer unga, utbildning och mobilitet ska granskas för att se hur de kan stödja alla olika aktiviteter och initiativ som planeras inom ramen för ”Unga</w:t>
      </w:r>
      <w:r w:rsidRPr="00757A2E">
        <w:t xml:space="preserve"> på väg”.  Ett av målen med </w:t>
      </w:r>
      <w:r w:rsidRPr="00757A2E">
        <w:rPr>
          <w:i/>
        </w:rPr>
        <w:t xml:space="preserve">Unga på väg </w:t>
      </w:r>
      <w:r w:rsidRPr="00757A2E">
        <w:t>är att alla unga i Europa ska ges möjlighet till rörlighet antingen i utbildningssyfte eller för att praktisera eller arbeta i ett annat land</w:t>
      </w:r>
    </w:p>
    <w:p w:rsidR="00F82B7A" w:rsidRPr="00757A2E" w:rsidRDefault="00F82B7A">
      <w:pPr>
        <w:rPr>
          <w:b/>
          <w:bCs/>
          <w:i/>
          <w:iCs/>
        </w:rPr>
      </w:pPr>
      <w:r w:rsidRPr="00757A2E">
        <w:rPr>
          <w:b/>
          <w:bCs/>
          <w:i/>
          <w:iCs/>
        </w:rPr>
        <w:t>Inititativet har fyra huvudinriktningar</w:t>
      </w:r>
    </w:p>
    <w:p w:rsidR="00F82B7A" w:rsidRPr="00757A2E" w:rsidRDefault="00F82B7A">
      <w:pPr>
        <w:numPr>
          <w:ilvl w:val="0"/>
          <w:numId w:val="7"/>
        </w:numPr>
        <w:spacing w:line="240" w:lineRule="auto"/>
      </w:pPr>
      <w:r w:rsidRPr="00757A2E">
        <w:t xml:space="preserve">Smart tillväxt och en tillväxt för alla ställer krav på ett system för det </w:t>
      </w:r>
      <w:r w:rsidRPr="00757A2E">
        <w:rPr>
          <w:i/>
        </w:rPr>
        <w:t>livslånga lärandet med fokus på nyckelkompetenserna</w:t>
      </w:r>
      <w:r w:rsidRPr="00757A2E">
        <w:t>. Här återfinns målet att reducera de tidiga avhoppen från utbildning (early school leavers) till 10%. Andra aktiviteter som presenteras är en högnivå grupp kring skriv och läskunnighet, ett meddelande om att stärka utbildningen för små barn (early childhood care and education)  och också insatser för att stärka kvalitetsarbetet med lärlingsplatser</w:t>
      </w:r>
    </w:p>
    <w:p w:rsidR="00F82B7A" w:rsidRPr="00757A2E" w:rsidRDefault="00F82B7A">
      <w:pPr>
        <w:numPr>
          <w:ilvl w:val="0"/>
          <w:numId w:val="7"/>
        </w:numPr>
        <w:spacing w:line="240" w:lineRule="auto"/>
      </w:pPr>
      <w:r w:rsidRPr="00757A2E">
        <w:t>Högre utbildning; Antalet och andelen ungdomar med högre utbildning ska öka, 40% ska ha eftergymnasial utbildn</w:t>
      </w:r>
      <w:r w:rsidRPr="00757A2E">
        <w:t xml:space="preserve">ing. En ny agenda ska utarbetas med syfte att </w:t>
      </w:r>
      <w:r w:rsidRPr="00757A2E">
        <w:rPr>
          <w:i/>
        </w:rPr>
        <w:t>modernisera den högre utbildningen och göra den mer attraktiv</w:t>
      </w:r>
      <w:r w:rsidRPr="00757A2E">
        <w:t xml:space="preserve">. Rörlighet för studenter och forskare beskrivs som ett viktigt verktyg för att den högre utbildningen ska bli mer attraktiv och öppen mot världen. En studie som undersöker hur en ranking av universitet kan ske ska initieras  </w:t>
      </w:r>
    </w:p>
    <w:p w:rsidR="00F82B7A" w:rsidRPr="00757A2E" w:rsidRDefault="00F82B7A">
      <w:pPr>
        <w:numPr>
          <w:ilvl w:val="0"/>
          <w:numId w:val="7"/>
        </w:numPr>
        <w:spacing w:line="240" w:lineRule="auto"/>
      </w:pPr>
      <w:r w:rsidRPr="00757A2E">
        <w:t xml:space="preserve">Mobilitet; </w:t>
      </w:r>
      <w:r w:rsidRPr="00757A2E">
        <w:rPr>
          <w:i/>
        </w:rPr>
        <w:t>Alla unga i Europa ska ges möjlighet att ha del av sin utbildning eller praktik i ett annat land</w:t>
      </w:r>
      <w:r w:rsidRPr="00757A2E">
        <w:t>. Alla hinder för ungas möjlighet att arbeta i ett annat land ska minimeras. De möjligheter som finns redan idag i olika program ska ses över. En webbplats har redan skapats som ger information om möjligheterna till mobilitet för studier, praktik och arbete i andra länder</w:t>
      </w:r>
    </w:p>
    <w:p w:rsidR="00F82B7A" w:rsidRPr="00757A2E" w:rsidRDefault="00F82B7A">
      <w:pPr>
        <w:numPr>
          <w:ilvl w:val="0"/>
          <w:numId w:val="7"/>
        </w:numPr>
        <w:spacing w:line="240" w:lineRule="auto"/>
      </w:pPr>
      <w:r w:rsidRPr="00757A2E">
        <w:t xml:space="preserve">Ett ramverk med åtgärder på såväl nationell som europeisk nivå för att </w:t>
      </w:r>
      <w:r w:rsidRPr="00757A2E">
        <w:rPr>
          <w:i/>
        </w:rPr>
        <w:t>minska ungdomsarbetslösheten</w:t>
      </w:r>
      <w:r w:rsidRPr="00757A2E">
        <w:t>. Särskilt fokus riktas mot arbetsförmedling samt en ”ungdomsgaranti” med syfte att efter avslutad skolgång snabbt få in unga på arbetsmarknaden, i studier eller aktiva åtgärder</w:t>
      </w:r>
    </w:p>
    <w:p w:rsidR="00F82B7A" w:rsidRPr="00757A2E" w:rsidRDefault="00F82B7A"/>
    <w:p w:rsidR="00F82B7A" w:rsidRPr="00757A2E" w:rsidRDefault="00F82B7A">
      <w:r w:rsidRPr="00757A2E">
        <w:t>Totalt presenteras 28 initiativ i meddelandet. Några av dem är redan presenterade t.ex. en webbsida och rekommendationer om mobilitet eller beslutade t.ex. utbildningsmålen, medan andra kommer att utvecklas i framtida meddelanden och rekommendationer som kommissionen publicerar.</w:t>
      </w:r>
    </w:p>
    <w:p w:rsidR="00F82B7A" w:rsidRPr="00757A2E" w:rsidRDefault="00F82B7A"/>
    <w:p w:rsidR="00F82B7A" w:rsidRPr="00757A2E" w:rsidRDefault="00F82B7A">
      <w:pPr>
        <w:pStyle w:val="Rubrik2"/>
      </w:pPr>
      <w:r w:rsidRPr="00757A2E">
        <w:t>Gällande svenska regler och förslagets effekt på dessa</w:t>
      </w:r>
    </w:p>
    <w:p w:rsidR="00F82B7A" w:rsidRPr="00757A2E" w:rsidRDefault="00F82B7A">
      <w:r w:rsidRPr="00757A2E">
        <w:t>Det finns för närvarande inte några förslag som påverkar svensk rätt</w:t>
      </w:r>
    </w:p>
    <w:p w:rsidR="00F82B7A" w:rsidRPr="00757A2E" w:rsidRDefault="00F82B7A">
      <w:pPr>
        <w:pStyle w:val="Rubrik2"/>
      </w:pPr>
      <w:r w:rsidRPr="00757A2E">
        <w:t>Budgetära konsekvenser / Konsekvensanalys</w:t>
      </w:r>
    </w:p>
    <w:p w:rsidR="00F82B7A" w:rsidRPr="00757A2E" w:rsidRDefault="00F82B7A">
      <w:r w:rsidRPr="00757A2E">
        <w:t>Meddelandet har inte några budgetära konsekvenser. Däremot kan det bli akutellt för de meddelande och rekommendationer som följer.</w:t>
      </w:r>
    </w:p>
    <w:p w:rsidR="00F82B7A" w:rsidRPr="00757A2E" w:rsidRDefault="00F82B7A"/>
    <w:p w:rsidR="00F82B7A" w:rsidRPr="00757A2E" w:rsidRDefault="00F82B7A">
      <w:pPr>
        <w:pStyle w:val="Rubrik1"/>
      </w:pPr>
      <w:r w:rsidRPr="00757A2E">
        <w:t>Ståndpunkter</w:t>
      </w:r>
    </w:p>
    <w:p w:rsidR="00F82B7A" w:rsidRPr="00757A2E" w:rsidRDefault="00F82B7A">
      <w:pPr>
        <w:pStyle w:val="Rubrik2"/>
      </w:pPr>
      <w:r w:rsidRPr="00757A2E">
        <w:t>Preliminär svensk ståndpunkt</w:t>
      </w:r>
    </w:p>
    <w:p w:rsidR="00F82B7A" w:rsidRPr="00757A2E" w:rsidRDefault="00F82B7A">
      <w:r w:rsidRPr="00757A2E">
        <w:t xml:space="preserve">Regeringen välkomnar meddelandet och ser positivt på att kommissionen tar ett initiativ för att samla alla resurser för att stärka ungdomars ställning. </w:t>
      </w:r>
      <w:r w:rsidRPr="00757A2E">
        <w:rPr>
          <w:i/>
        </w:rPr>
        <w:t>Unga på väg</w:t>
      </w:r>
      <w:r w:rsidRPr="00757A2E">
        <w:t xml:space="preserve"> är en viktig del i strävan att uppnå EU2020-strategins målsättningar.</w:t>
      </w:r>
    </w:p>
    <w:p w:rsidR="00F82B7A" w:rsidRPr="00757A2E" w:rsidRDefault="00F82B7A">
      <w:r w:rsidRPr="00757A2E">
        <w:t xml:space="preserve">Initiativet innehåller en lång rad insatser och berör också aktiviteter som reser frågan om vad som är lämpligt att hantera på en europeisk nivå, exempelvis frågan om europeiska studielån och ungdomsgaranti. </w:t>
      </w:r>
    </w:p>
    <w:p w:rsidR="00F82B7A" w:rsidRPr="00757A2E" w:rsidRDefault="00F82B7A">
      <w:r w:rsidRPr="00757A2E">
        <w:t>Initiativet innehåller även förslag till insatser där det är viktigt att i förhandlingar framgent ta hänsyn till medlemsstaternas olika traditioner på arbetsmarknaden vad gäller bl.a. lönebildning och parternas roll.</w:t>
      </w:r>
    </w:p>
    <w:p w:rsidR="00F82B7A" w:rsidRPr="00757A2E" w:rsidRDefault="00F82B7A">
      <w:r w:rsidRPr="00757A2E">
        <w:t>Samordning av insatserna kommer att vara mycket viktig, liksom samarbete med berörda aktörer på olika nivåer.</w:t>
      </w:r>
    </w:p>
    <w:p w:rsidR="00F82B7A" w:rsidRPr="00757A2E" w:rsidRDefault="00F82B7A">
      <w:r w:rsidRPr="00757A2E">
        <w:t>Regeringen återkommer med specifika ståndpunkter utifrån de meddelanden och rekommendationer som kommissionen publicerar.</w:t>
      </w:r>
    </w:p>
    <w:p w:rsidR="00F82B7A" w:rsidRPr="00757A2E" w:rsidRDefault="00F82B7A">
      <w:pPr>
        <w:pStyle w:val="Rubrik2"/>
      </w:pPr>
      <w:r w:rsidRPr="00757A2E">
        <w:t>Medlemsstaternas ståndpunkter</w:t>
      </w:r>
    </w:p>
    <w:p w:rsidR="00F82B7A" w:rsidRPr="00757A2E" w:rsidRDefault="00F82B7A">
      <w:r w:rsidRPr="00757A2E">
        <w:t>Inte kända</w:t>
      </w:r>
    </w:p>
    <w:p w:rsidR="00F82B7A" w:rsidRPr="00757A2E" w:rsidRDefault="00F82B7A">
      <w:pPr>
        <w:pStyle w:val="Rubrik2"/>
      </w:pPr>
      <w:r w:rsidRPr="00757A2E">
        <w:t>Institutionernas ståndpunkter</w:t>
      </w:r>
    </w:p>
    <w:p w:rsidR="00F82B7A" w:rsidRPr="00757A2E" w:rsidRDefault="00F82B7A">
      <w:r w:rsidRPr="00757A2E">
        <w:t>-</w:t>
      </w:r>
    </w:p>
    <w:p w:rsidR="00F82B7A" w:rsidRPr="00757A2E" w:rsidRDefault="00F82B7A">
      <w:pPr>
        <w:pStyle w:val="Rubrik2"/>
      </w:pPr>
      <w:r w:rsidRPr="00757A2E">
        <w:t>Remissinstansernas ståndpunkter</w:t>
      </w:r>
    </w:p>
    <w:p w:rsidR="00F82B7A" w:rsidRPr="00757A2E" w:rsidRDefault="00F82B7A">
      <w:r w:rsidRPr="00757A2E">
        <w:t>-</w:t>
      </w:r>
    </w:p>
    <w:p w:rsidR="00F82B7A" w:rsidRPr="00757A2E" w:rsidRDefault="00F82B7A">
      <w:pPr>
        <w:pStyle w:val="Rubrik1"/>
      </w:pPr>
      <w:r w:rsidRPr="00757A2E">
        <w:t>Förslagets förutsättningar</w:t>
      </w:r>
    </w:p>
    <w:p w:rsidR="00F82B7A" w:rsidRPr="00757A2E" w:rsidRDefault="00F82B7A">
      <w:pPr>
        <w:pStyle w:val="Rubrik2"/>
      </w:pPr>
      <w:r w:rsidRPr="00757A2E">
        <w:t>Rättslig grund och beslutsförfarande</w:t>
      </w:r>
    </w:p>
    <w:p w:rsidR="00F82B7A" w:rsidRPr="00757A2E" w:rsidRDefault="00F82B7A">
      <w:r w:rsidRPr="00757A2E">
        <w:t>Inte aktuellt, eftersom förslaget inte utgör bindande lagstiftning.</w:t>
      </w:r>
    </w:p>
    <w:p w:rsidR="00F82B7A" w:rsidRPr="00757A2E" w:rsidRDefault="00F82B7A">
      <w:pPr>
        <w:pStyle w:val="Rubrik2"/>
      </w:pPr>
      <w:r w:rsidRPr="00757A2E">
        <w:t>Subsidiaritets- och proportionalitetsprincipen</w:t>
      </w:r>
    </w:p>
    <w:p w:rsidR="00F82B7A" w:rsidRPr="00757A2E" w:rsidRDefault="00F82B7A">
      <w:r w:rsidRPr="00757A2E">
        <w:t xml:space="preserve">Kommissionens bedömning är att förslagen är förenliga med subsidiaritets- och proportionalitetsprincipen. Regeringen undersöker hur vi ställer oss till initiativen med hänsyn till detta. </w:t>
      </w:r>
    </w:p>
    <w:p w:rsidR="00F82B7A" w:rsidRPr="00757A2E" w:rsidRDefault="00F82B7A"/>
    <w:p w:rsidR="00F82B7A" w:rsidRPr="00757A2E" w:rsidRDefault="00F82B7A">
      <w:pPr>
        <w:pStyle w:val="Rubrik1"/>
      </w:pPr>
      <w:r w:rsidRPr="00757A2E">
        <w:t>Övrigt</w:t>
      </w:r>
    </w:p>
    <w:p w:rsidR="00F82B7A" w:rsidRPr="00757A2E" w:rsidRDefault="00F82B7A">
      <w:pPr>
        <w:pStyle w:val="Rubrik2"/>
      </w:pPr>
      <w:r w:rsidRPr="00757A2E">
        <w:t>Fortsatt behandling av ärendet</w:t>
      </w:r>
    </w:p>
    <w:p w:rsidR="00F82B7A" w:rsidRPr="00757A2E" w:rsidRDefault="00F82B7A">
      <w:r w:rsidRPr="00757A2E">
        <w:rPr>
          <w:i/>
        </w:rPr>
        <w:t xml:space="preserve">Unga på väg </w:t>
      </w:r>
      <w:r w:rsidRPr="00757A2E">
        <w:t>är föremål för rådsslutsatser i Rådet för utbildning, ungdom och kultur. Rådsslutsatser förväntas antas vid mötet den 19 november. De olika initiativen kommer sedan att återkomma i meddelanden och rekommendationer från kommissionen och tillfälle ges då för alla medlemsstater att ge synpunkter.</w:t>
      </w:r>
    </w:p>
    <w:p w:rsidR="00F82B7A" w:rsidRPr="00757A2E" w:rsidRDefault="00F82B7A">
      <w:pPr>
        <w:pStyle w:val="Rubrik2"/>
      </w:pPr>
      <w:r w:rsidRPr="00757A2E">
        <w:t>Fackuttryck/termer</w:t>
      </w:r>
    </w:p>
    <w:p w:rsidR="00F82B7A" w:rsidRPr="00757A2E" w:rsidRDefault="00F82B7A">
      <w:r w:rsidRPr="00757A2E">
        <w:t>-</w:t>
      </w:r>
    </w:p>
    <w:sectPr w:rsidR="00F82B7A" w:rsidRPr="00757A2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2B7A" w:rsidRPr="00757A2E" w:rsidRDefault="00F82B7A">
      <w:r w:rsidRPr="00757A2E">
        <w:separator/>
      </w:r>
    </w:p>
  </w:endnote>
  <w:endnote w:type="continuationSeparator" w:id="0">
    <w:p w:rsidR="00F82B7A" w:rsidRPr="00757A2E" w:rsidRDefault="00F82B7A">
      <w:r w:rsidRPr="00757A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F82B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F82B7A">
    <w:pPr>
      <w:pStyle w:val="SidfotH"/>
      <w:framePr w:wrap="around"/>
    </w:pPr>
    <w:r w:rsidRPr="00757A2E">
      <w:t>4</w:t>
    </w:r>
  </w:p>
  <w:p w:rsidR="00F82B7A" w:rsidRPr="00757A2E" w:rsidRDefault="00F82B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F82B7A">
    <w:pPr>
      <w:pStyle w:val="SidfotH"/>
      <w:framePr w:wrap="around"/>
    </w:pPr>
    <w:r w:rsidRPr="00757A2E">
      <w:t>1</w:t>
    </w:r>
  </w:p>
  <w:p w:rsidR="00F82B7A" w:rsidRPr="00757A2E" w:rsidRDefault="00F82B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2B7A" w:rsidRPr="00757A2E" w:rsidRDefault="00F82B7A">
      <w:r w:rsidRPr="00757A2E">
        <w:separator/>
      </w:r>
    </w:p>
  </w:footnote>
  <w:footnote w:type="continuationSeparator" w:id="0">
    <w:p w:rsidR="00F82B7A" w:rsidRPr="00757A2E" w:rsidRDefault="00F82B7A">
      <w:r w:rsidRPr="00757A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F82B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F82B7A">
    <w:pPr>
      <w:pStyle w:val="Kantrubrik"/>
      <w:framePr w:h="1157" w:hRule="exact" w:wrap="around" w:y="738"/>
    </w:pPr>
    <w:r w:rsidRPr="00757A2E">
      <w:t>2010/11:FPM16</w:t>
    </w:r>
  </w:p>
  <w:p w:rsidR="00F82B7A" w:rsidRPr="00757A2E" w:rsidRDefault="00F82B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B7A" w:rsidRPr="00757A2E" w:rsidRDefault="00757A2E">
    <w:pPr>
      <w:pStyle w:val="Sidhuvud"/>
    </w:pPr>
    <w:r w:rsidRPr="00757A2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32107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2B7A" w:rsidRDefault="00F82B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4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F82B7A" w:rsidRDefault="00F82B7A">
                    <w:pPr>
                      <w:pStyle w:val="Logo"/>
                    </w:pPr>
                    <w:r>
                      <w:object w:dxaOrig="840" w:dyaOrig="1545">
                        <v:shape id="_x0000_i1025" type="#_x0000_t75" style="width:42pt;height:77.15pt" filled="t">
                          <v:imagedata r:id="rId1" o:title=""/>
                        </v:shape>
                        <o:OLEObject Type="Embed" ProgID="Word.Picture.8" ShapeID="_x0000_i1025" DrawAspect="Content" ObjectID="_182752124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C9010CB"/>
    <w:multiLevelType w:val="hybridMultilevel"/>
    <w:tmpl w:val="4668772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3014245">
    <w:abstractNumId w:val="5"/>
  </w:num>
  <w:num w:numId="2" w16cid:durableId="109326134">
    <w:abstractNumId w:val="1"/>
  </w:num>
  <w:num w:numId="3" w16cid:durableId="1831169559">
    <w:abstractNumId w:val="3"/>
  </w:num>
  <w:num w:numId="4" w16cid:durableId="1172112106">
    <w:abstractNumId w:val="4"/>
  </w:num>
  <w:num w:numId="5" w16cid:durableId="2007785426">
    <w:abstractNumId w:val="6"/>
  </w:num>
  <w:num w:numId="6" w16cid:durableId="984699380">
    <w:abstractNumId w:val="0"/>
  </w:num>
  <w:num w:numId="7" w16cid:durableId="129821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Utbildningsdepartementet"/>
    <w:docVar w:name="DepWeb" w:val="Utbildningsdepartementet"/>
    <w:docVar w:name="GDB1" w:val="KOM (2010) 47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Unga på väg Ett initiativ för att släppa fram potentialen hos ungdomar att uppnå smart och hållbar tillväxt för alla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77"/>
    <w:docVar w:name="Nr" w:val="16"/>
    <w:docVar w:name="RD_APPVERSION" w:val="3.00"/>
    <w:docVar w:name="Rub" w:val="Unga på väg"/>
    <w:docVar w:name="UppDat" w:val="2010-11-04"/>
    <w:docVar w:name="Utsk" w:val="Utbildningsutskottet"/>
  </w:docVars>
  <w:rsids>
    <w:rsidRoot w:val="00357491"/>
    <w:rsid w:val="00357491"/>
    <w:rsid w:val="00757A2E"/>
    <w:rsid w:val="00F82B7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DF38DE8-C34F-4DB3-88C9-51255857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882</Words>
  <Characters>5259</Characters>
  <Application>Microsoft Office Word</Application>
  <DocSecurity>4</DocSecurity>
  <Lines>122</Lines>
  <Paragraphs>59</Paragraphs>
  <ScaleCrop>false</ScaleCrop>
  <HeadingPairs>
    <vt:vector size="2" baseType="variant">
      <vt:variant>
        <vt:lpstr>Rubrik</vt:lpstr>
      </vt:variant>
      <vt:variant>
        <vt:i4>1</vt:i4>
      </vt:variant>
    </vt:vector>
  </HeadingPairs>
  <TitlesOfParts>
    <vt:vector size="1" baseType="lpstr">
      <vt:lpstr>FPM_201011__16</vt:lpstr>
    </vt:vector>
  </TitlesOfParts>
  <Company>RD-DTSL</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FPM_201011__16</dc:title>
  <dc:subject>FPM_201011__16</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2010-11-04T15:14:00Z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 (2010) 477</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Unga på väg</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