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150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5 juli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15.00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Bordläggning av förslag till statsminister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onsdagen den 9, torsdagen den 10, fredagen den 11 och måndagen den 14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förändring i regeringens sammansättning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Jennie Nilsson (S) har entledigats som statsråd fr.o.m. den 30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Jennie Nilsson (S) fr.o.m. den 30 juni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 Sara Heikkinen Breitholtz (S) uppdrag som statsrådsersättare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Paula Örn (S) som ersättare fr.o.m. den 1 juli t.o.m. den 1 december under Aylin Fazelians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namnändring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Marianne Pettersson (S) har bytt namn till Marianne Fundahn (S)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2020/21:FPM116 Meddelande om ett modernt regelverk för företagsbeskattning i EU </w:t>
            </w:r>
            <w:r>
              <w:rPr>
                <w:i/>
                <w:iCs/>
                <w:rtl w:val="0"/>
              </w:rPr>
              <w:t>C(2021) 3484, COM(2021) 251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2021:22 Kostnadskontroll i infrastrukturinvesteringar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5 juli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2021-07-05</SAFIR_Sammantradesdatum_Doc>
    <SAFIR_SammantradeID xmlns="C07A1A6C-0B19-41D9-BDF8-F523BA3921EB">5cbd3fd2-7395-4b0e-bfa0-f267a9fca2f5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3326BB-DA85-4A84-8A77-D6E3BE642F2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5 juli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