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413F8" w:rsidRPr="006A4743">
        <w:tblPrEx>
          <w:tblCellMar>
            <w:top w:w="0" w:type="dxa"/>
            <w:bottom w:w="0" w:type="dxa"/>
          </w:tblCellMar>
        </w:tblPrEx>
        <w:tc>
          <w:tcPr>
            <w:tcW w:w="2268" w:type="dxa"/>
          </w:tcPr>
          <w:p w:rsidR="00B413F8" w:rsidRPr="006A4743" w:rsidRDefault="00B413F8">
            <w:pPr>
              <w:framePr w:w="4400" w:h="1644" w:wrap="notBeside" w:vAnchor="page" w:hAnchor="page" w:x="6573" w:y="721"/>
              <w:rPr>
                <w:rFonts w:ascii="TradeGothic" w:hAnsi="TradeGothic"/>
                <w:i/>
                <w:sz w:val="18"/>
              </w:rPr>
            </w:pPr>
          </w:p>
        </w:tc>
        <w:tc>
          <w:tcPr>
            <w:tcW w:w="2347" w:type="dxa"/>
            <w:gridSpan w:val="2"/>
          </w:tcPr>
          <w:p w:rsidR="00B413F8" w:rsidRPr="006A4743" w:rsidRDefault="00B413F8">
            <w:pPr>
              <w:framePr w:w="4400" w:h="1644" w:wrap="notBeside" w:vAnchor="page" w:hAnchor="page" w:x="6573" w:y="721"/>
              <w:rPr>
                <w:rFonts w:ascii="TradeGothic" w:hAnsi="TradeGothic"/>
                <w:i/>
                <w:sz w:val="18"/>
              </w:rPr>
            </w:pPr>
          </w:p>
        </w:tc>
      </w:tr>
      <w:tr w:rsidR="00B413F8" w:rsidRPr="006A4743">
        <w:tblPrEx>
          <w:tblCellMar>
            <w:top w:w="0" w:type="dxa"/>
            <w:bottom w:w="0" w:type="dxa"/>
          </w:tblCellMar>
        </w:tblPrEx>
        <w:trPr>
          <w:cantSplit/>
        </w:trPr>
        <w:tc>
          <w:tcPr>
            <w:tcW w:w="4615" w:type="dxa"/>
            <w:gridSpan w:val="3"/>
          </w:tcPr>
          <w:p w:rsidR="00B413F8" w:rsidRPr="006A4743" w:rsidRDefault="00B413F8">
            <w:pPr>
              <w:framePr w:w="4400" w:h="1644" w:wrap="notBeside" w:vAnchor="page" w:hAnchor="page" w:x="6573" w:y="721"/>
              <w:rPr>
                <w:rFonts w:ascii="TradeGothic" w:hAnsi="TradeGothic"/>
                <w:b/>
                <w:sz w:val="22"/>
              </w:rPr>
            </w:pPr>
            <w:r w:rsidRPr="006A4743">
              <w:rPr>
                <w:rFonts w:ascii="TradeGothic" w:hAnsi="TradeGothic"/>
                <w:b/>
                <w:sz w:val="22"/>
              </w:rPr>
              <w:t>Rådspromemoria</w:t>
            </w:r>
          </w:p>
        </w:tc>
      </w:tr>
      <w:tr w:rsidR="00B413F8" w:rsidRPr="006A4743">
        <w:tblPrEx>
          <w:tblCellMar>
            <w:top w:w="0" w:type="dxa"/>
            <w:bottom w:w="0" w:type="dxa"/>
          </w:tblCellMar>
        </w:tblPrEx>
        <w:tc>
          <w:tcPr>
            <w:tcW w:w="3402" w:type="dxa"/>
            <w:gridSpan w:val="2"/>
          </w:tcPr>
          <w:p w:rsidR="00B413F8" w:rsidRPr="006A4743" w:rsidRDefault="00B413F8">
            <w:pPr>
              <w:framePr w:w="4400" w:h="1644" w:wrap="notBeside" w:vAnchor="page" w:hAnchor="page" w:x="6573" w:y="721"/>
            </w:pPr>
          </w:p>
        </w:tc>
        <w:tc>
          <w:tcPr>
            <w:tcW w:w="1213" w:type="dxa"/>
          </w:tcPr>
          <w:p w:rsidR="00B413F8" w:rsidRPr="006A4743" w:rsidRDefault="00B413F8">
            <w:pPr>
              <w:framePr w:w="4400" w:h="1644" w:wrap="notBeside" w:vAnchor="page" w:hAnchor="page" w:x="6573" w:y="721"/>
            </w:pPr>
          </w:p>
        </w:tc>
      </w:tr>
      <w:tr w:rsidR="00B413F8" w:rsidRPr="006A4743">
        <w:tblPrEx>
          <w:tblCellMar>
            <w:top w:w="0" w:type="dxa"/>
            <w:bottom w:w="0" w:type="dxa"/>
          </w:tblCellMar>
        </w:tblPrEx>
        <w:tc>
          <w:tcPr>
            <w:tcW w:w="2268" w:type="dxa"/>
          </w:tcPr>
          <w:p w:rsidR="00B413F8" w:rsidRPr="006A4743" w:rsidRDefault="00B413F8">
            <w:pPr>
              <w:framePr w:w="4400" w:h="1644" w:wrap="notBeside" w:vAnchor="page" w:hAnchor="page" w:x="6573" w:y="721"/>
            </w:pPr>
            <w:r w:rsidRPr="006A4743">
              <w:t>200</w:t>
            </w:r>
            <w:r w:rsidR="00BD6831" w:rsidRPr="006A4743">
              <w:t>7</w:t>
            </w:r>
            <w:r w:rsidRPr="006A4743">
              <w:t>-</w:t>
            </w:r>
            <w:r w:rsidR="00540788" w:rsidRPr="006A4743">
              <w:t>11</w:t>
            </w:r>
            <w:r w:rsidRPr="006A4743">
              <w:t>-</w:t>
            </w:r>
            <w:r w:rsidR="00540788" w:rsidRPr="006A4743">
              <w:t>14</w:t>
            </w:r>
          </w:p>
        </w:tc>
        <w:tc>
          <w:tcPr>
            <w:tcW w:w="2347" w:type="dxa"/>
            <w:gridSpan w:val="2"/>
          </w:tcPr>
          <w:p w:rsidR="00B413F8" w:rsidRPr="006A4743" w:rsidRDefault="00B413F8">
            <w:pPr>
              <w:framePr w:w="4400" w:h="1644" w:wrap="notBeside" w:vAnchor="page" w:hAnchor="page" w:x="6573" w:y="721"/>
            </w:pPr>
          </w:p>
        </w:tc>
      </w:tr>
      <w:tr w:rsidR="00B413F8" w:rsidRPr="006A4743">
        <w:tblPrEx>
          <w:tblCellMar>
            <w:top w:w="0" w:type="dxa"/>
            <w:bottom w:w="0" w:type="dxa"/>
          </w:tblCellMar>
        </w:tblPrEx>
        <w:tc>
          <w:tcPr>
            <w:tcW w:w="2268" w:type="dxa"/>
          </w:tcPr>
          <w:p w:rsidR="00B413F8" w:rsidRPr="006A4743" w:rsidRDefault="00B413F8">
            <w:pPr>
              <w:framePr w:w="4400" w:h="1644" w:wrap="notBeside" w:vAnchor="page" w:hAnchor="page" w:x="6573" w:y="721"/>
            </w:pPr>
          </w:p>
        </w:tc>
        <w:tc>
          <w:tcPr>
            <w:tcW w:w="2347" w:type="dxa"/>
            <w:gridSpan w:val="2"/>
          </w:tcPr>
          <w:p w:rsidR="00B413F8" w:rsidRPr="006A4743" w:rsidRDefault="00B413F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413F8" w:rsidRPr="006A4743">
        <w:tblPrEx>
          <w:tblCellMar>
            <w:top w:w="0" w:type="dxa"/>
            <w:bottom w:w="0" w:type="dxa"/>
          </w:tblCellMar>
        </w:tblPrEx>
        <w:trPr>
          <w:trHeight w:val="284"/>
        </w:trPr>
        <w:tc>
          <w:tcPr>
            <w:tcW w:w="4911" w:type="dxa"/>
          </w:tcPr>
          <w:p w:rsidR="00B413F8" w:rsidRPr="006A4743" w:rsidRDefault="00B413F8">
            <w:pPr>
              <w:pStyle w:val="Avsndare"/>
              <w:framePr w:h="2483" w:wrap="notBeside" w:x="1504"/>
              <w:rPr>
                <w:b/>
                <w:i w:val="0"/>
                <w:sz w:val="22"/>
              </w:rPr>
            </w:pPr>
            <w:r w:rsidRPr="006A4743">
              <w:rPr>
                <w:b/>
                <w:i w:val="0"/>
                <w:sz w:val="22"/>
              </w:rPr>
              <w:t>Näringsdepartementet</w:t>
            </w:r>
          </w:p>
        </w:tc>
      </w:tr>
      <w:tr w:rsidR="00B413F8" w:rsidRPr="006A4743">
        <w:tblPrEx>
          <w:tblCellMar>
            <w:top w:w="0" w:type="dxa"/>
            <w:bottom w:w="0" w:type="dxa"/>
          </w:tblCellMar>
        </w:tblPrEx>
        <w:trPr>
          <w:trHeight w:val="284"/>
        </w:trPr>
        <w:tc>
          <w:tcPr>
            <w:tcW w:w="4911" w:type="dxa"/>
          </w:tcPr>
          <w:p w:rsidR="00B413F8" w:rsidRPr="006A4743" w:rsidRDefault="00B413F8">
            <w:pPr>
              <w:pStyle w:val="Avsndare"/>
              <w:framePr w:h="2483" w:wrap="notBeside" w:x="1504"/>
              <w:rPr>
                <w:bCs/>
                <w:iCs/>
              </w:rPr>
            </w:pPr>
          </w:p>
        </w:tc>
      </w:tr>
      <w:tr w:rsidR="00B413F8" w:rsidRPr="006A4743">
        <w:tblPrEx>
          <w:tblCellMar>
            <w:top w:w="0" w:type="dxa"/>
            <w:bottom w:w="0" w:type="dxa"/>
          </w:tblCellMar>
        </w:tblPrEx>
        <w:trPr>
          <w:trHeight w:val="284"/>
        </w:trPr>
        <w:tc>
          <w:tcPr>
            <w:tcW w:w="4911" w:type="dxa"/>
          </w:tcPr>
          <w:p w:rsidR="00B413F8" w:rsidRPr="006A4743" w:rsidRDefault="00B413F8">
            <w:pPr>
              <w:pStyle w:val="Avsndare"/>
              <w:framePr w:h="2483" w:wrap="notBeside" w:x="1504"/>
              <w:rPr>
                <w:bCs/>
                <w:iCs/>
              </w:rPr>
            </w:pPr>
          </w:p>
        </w:tc>
      </w:tr>
      <w:tr w:rsidR="00B413F8" w:rsidRPr="006A4743">
        <w:tblPrEx>
          <w:tblCellMar>
            <w:top w:w="0" w:type="dxa"/>
            <w:bottom w:w="0" w:type="dxa"/>
          </w:tblCellMar>
        </w:tblPrEx>
        <w:trPr>
          <w:trHeight w:val="284"/>
        </w:trPr>
        <w:tc>
          <w:tcPr>
            <w:tcW w:w="4911" w:type="dxa"/>
          </w:tcPr>
          <w:p w:rsidR="00B413F8" w:rsidRPr="006A4743" w:rsidRDefault="00B413F8">
            <w:pPr>
              <w:pStyle w:val="Avsndare"/>
              <w:framePr w:h="2483" w:wrap="notBeside" w:x="1504"/>
              <w:rPr>
                <w:bCs/>
                <w:iCs/>
              </w:rPr>
            </w:pPr>
          </w:p>
        </w:tc>
      </w:tr>
      <w:tr w:rsidR="00B413F8" w:rsidRPr="006A4743">
        <w:tblPrEx>
          <w:tblCellMar>
            <w:top w:w="0" w:type="dxa"/>
            <w:bottom w:w="0" w:type="dxa"/>
          </w:tblCellMar>
        </w:tblPrEx>
        <w:trPr>
          <w:trHeight w:val="284"/>
        </w:trPr>
        <w:tc>
          <w:tcPr>
            <w:tcW w:w="4911" w:type="dxa"/>
          </w:tcPr>
          <w:p w:rsidR="00B413F8" w:rsidRPr="006A4743" w:rsidRDefault="00B413F8">
            <w:pPr>
              <w:pStyle w:val="Avsndare"/>
              <w:framePr w:h="2483" w:wrap="notBeside" w:x="1504"/>
              <w:rPr>
                <w:bCs/>
                <w:iCs/>
              </w:rPr>
            </w:pPr>
          </w:p>
        </w:tc>
      </w:tr>
      <w:tr w:rsidR="00B413F8" w:rsidRPr="006A4743">
        <w:tblPrEx>
          <w:tblCellMar>
            <w:top w:w="0" w:type="dxa"/>
            <w:bottom w:w="0" w:type="dxa"/>
          </w:tblCellMar>
        </w:tblPrEx>
        <w:trPr>
          <w:trHeight w:val="284"/>
        </w:trPr>
        <w:tc>
          <w:tcPr>
            <w:tcW w:w="4911" w:type="dxa"/>
          </w:tcPr>
          <w:p w:rsidR="00B413F8" w:rsidRPr="006A4743" w:rsidRDefault="00B413F8">
            <w:pPr>
              <w:pStyle w:val="Avsndare"/>
              <w:framePr w:h="2483" w:wrap="notBeside" w:x="1504"/>
              <w:rPr>
                <w:bCs/>
                <w:iCs/>
              </w:rPr>
            </w:pPr>
          </w:p>
        </w:tc>
      </w:tr>
      <w:tr w:rsidR="00B413F8" w:rsidRPr="006A4743">
        <w:tblPrEx>
          <w:tblCellMar>
            <w:top w:w="0" w:type="dxa"/>
            <w:bottom w:w="0" w:type="dxa"/>
          </w:tblCellMar>
        </w:tblPrEx>
        <w:trPr>
          <w:trHeight w:val="284"/>
        </w:trPr>
        <w:tc>
          <w:tcPr>
            <w:tcW w:w="4911" w:type="dxa"/>
          </w:tcPr>
          <w:p w:rsidR="00B413F8" w:rsidRPr="006A4743" w:rsidRDefault="00B413F8">
            <w:pPr>
              <w:pStyle w:val="Avsndare"/>
              <w:framePr w:h="2483" w:wrap="notBeside" w:x="1504"/>
              <w:rPr>
                <w:bCs/>
                <w:iCs/>
              </w:rPr>
            </w:pPr>
          </w:p>
        </w:tc>
      </w:tr>
      <w:tr w:rsidR="00B413F8" w:rsidRPr="006A4743">
        <w:tblPrEx>
          <w:tblCellMar>
            <w:top w:w="0" w:type="dxa"/>
            <w:bottom w:w="0" w:type="dxa"/>
          </w:tblCellMar>
        </w:tblPrEx>
        <w:trPr>
          <w:trHeight w:val="284"/>
        </w:trPr>
        <w:tc>
          <w:tcPr>
            <w:tcW w:w="4911" w:type="dxa"/>
          </w:tcPr>
          <w:p w:rsidR="00B413F8" w:rsidRPr="006A4743" w:rsidRDefault="00B413F8">
            <w:pPr>
              <w:pStyle w:val="Avsndare"/>
              <w:framePr w:h="2483" w:wrap="notBeside" w:x="1504"/>
              <w:rPr>
                <w:bCs/>
                <w:iCs/>
              </w:rPr>
            </w:pPr>
          </w:p>
        </w:tc>
      </w:tr>
      <w:tr w:rsidR="00B413F8" w:rsidRPr="006A4743">
        <w:tblPrEx>
          <w:tblCellMar>
            <w:top w:w="0" w:type="dxa"/>
            <w:bottom w:w="0" w:type="dxa"/>
          </w:tblCellMar>
        </w:tblPrEx>
        <w:trPr>
          <w:trHeight w:val="284"/>
        </w:trPr>
        <w:tc>
          <w:tcPr>
            <w:tcW w:w="4911" w:type="dxa"/>
          </w:tcPr>
          <w:p w:rsidR="00B413F8" w:rsidRPr="006A4743" w:rsidRDefault="00B413F8">
            <w:pPr>
              <w:pStyle w:val="Avsndare"/>
              <w:framePr w:h="2483" w:wrap="notBeside" w:x="1504"/>
              <w:rPr>
                <w:bCs/>
                <w:iCs/>
              </w:rPr>
            </w:pPr>
          </w:p>
        </w:tc>
      </w:tr>
    </w:tbl>
    <w:p w:rsidR="00B413F8" w:rsidRPr="006A4743" w:rsidRDefault="00B413F8">
      <w:pPr>
        <w:framePr w:w="4400" w:h="2523" w:wrap="notBeside" w:vAnchor="page" w:hAnchor="page" w:x="6453" w:y="2445"/>
        <w:ind w:left="142"/>
        <w:rPr>
          <w:b/>
        </w:rPr>
      </w:pPr>
    </w:p>
    <w:p w:rsidR="00B413F8" w:rsidRPr="006A4743" w:rsidRDefault="00B413F8">
      <w:pPr>
        <w:pStyle w:val="RKrubrik"/>
        <w:pBdr>
          <w:bottom w:val="single" w:sz="6" w:space="1" w:color="auto"/>
        </w:pBdr>
      </w:pPr>
      <w:bookmarkStart w:id="0" w:name="bRubrik"/>
      <w:bookmarkEnd w:id="0"/>
      <w:r w:rsidRPr="006A4743">
        <w:t>Rådets möte (</w:t>
      </w:r>
      <w:r w:rsidR="00BD6831" w:rsidRPr="006A4743">
        <w:t>transporter</w:t>
      </w:r>
      <w:r w:rsidRPr="006A4743">
        <w:t xml:space="preserve">) den </w:t>
      </w:r>
      <w:r w:rsidR="00540788" w:rsidRPr="006A4743">
        <w:t>29-30 november</w:t>
      </w:r>
      <w:r w:rsidR="00BD6831" w:rsidRPr="006A4743">
        <w:t xml:space="preserve"> 2007</w:t>
      </w:r>
    </w:p>
    <w:p w:rsidR="00B413F8" w:rsidRPr="006A4743" w:rsidRDefault="00B413F8">
      <w:pPr>
        <w:pStyle w:val="RKnormal"/>
      </w:pPr>
    </w:p>
    <w:p w:rsidR="00B413F8" w:rsidRPr="006A4743" w:rsidRDefault="00B413F8">
      <w:pPr>
        <w:pStyle w:val="RKnormal"/>
      </w:pPr>
      <w:r w:rsidRPr="006A4743">
        <w:t xml:space="preserve">Dagordningspunkt </w:t>
      </w:r>
      <w:r w:rsidR="00540788" w:rsidRPr="006A4743">
        <w:t>19</w:t>
      </w:r>
      <w:r w:rsidR="00DE7160" w:rsidRPr="006A4743">
        <w:t xml:space="preserve"> (</w:t>
      </w:r>
      <w:r w:rsidR="00540788" w:rsidRPr="006A4743">
        <w:t>a</w:t>
      </w:r>
      <w:r w:rsidR="00DE7160" w:rsidRPr="006A4743">
        <w:t>)</w:t>
      </w:r>
    </w:p>
    <w:p w:rsidR="00B413F8" w:rsidRPr="006A4743" w:rsidRDefault="00B413F8">
      <w:pPr>
        <w:pStyle w:val="RKnormal"/>
      </w:pPr>
    </w:p>
    <w:p w:rsidR="00B413F8" w:rsidRPr="006A4743" w:rsidRDefault="00B413F8">
      <w:pPr>
        <w:pStyle w:val="RKnormal"/>
      </w:pPr>
      <w:r w:rsidRPr="006A4743">
        <w:t>Rubrik:</w:t>
      </w:r>
      <w:r w:rsidR="00DE7160" w:rsidRPr="006A4743">
        <w:t xml:space="preserve"> Externa relationer – utkast till beslut av rådet och representanter för EU:s medlemsländers regeringar om bemyndigande för kommissionen att inleda förhandlingar med </w:t>
      </w:r>
      <w:r w:rsidR="00540788" w:rsidRPr="006A4743">
        <w:t>Jordanien om att etablera ett Europa-Medelhavet</w:t>
      </w:r>
      <w:r w:rsidR="00DE7160" w:rsidRPr="006A4743">
        <w:t xml:space="preserve"> luftfarts</w:t>
      </w:r>
      <w:r w:rsidR="00540788" w:rsidRPr="006A4743">
        <w:t>avtal</w:t>
      </w:r>
      <w:r w:rsidR="00DE7160" w:rsidRPr="006A4743">
        <w:t>.</w:t>
      </w:r>
    </w:p>
    <w:p w:rsidR="00B413F8" w:rsidRPr="006A4743" w:rsidRDefault="00B413F8">
      <w:pPr>
        <w:pStyle w:val="RKnormal"/>
      </w:pPr>
    </w:p>
    <w:p w:rsidR="00B413F8" w:rsidRPr="006A4743" w:rsidRDefault="00B413F8">
      <w:pPr>
        <w:pStyle w:val="RKnormal"/>
      </w:pPr>
      <w:r w:rsidRPr="006A4743">
        <w:t>Dokument:</w:t>
      </w:r>
      <w:r w:rsidR="00DE7160" w:rsidRPr="006A4743">
        <w:t xml:space="preserve"> </w:t>
      </w:r>
      <w:r w:rsidR="00540788" w:rsidRPr="006A4743">
        <w:t>14875</w:t>
      </w:r>
      <w:r w:rsidR="00DE7160" w:rsidRPr="006A4743">
        <w:t xml:space="preserve">/07 AVIATION </w:t>
      </w:r>
      <w:r w:rsidR="00540788" w:rsidRPr="006A4743">
        <w:t>192</w:t>
      </w:r>
      <w:r w:rsidR="00DE7160" w:rsidRPr="006A4743">
        <w:t xml:space="preserve"> RELEX </w:t>
      </w:r>
      <w:r w:rsidR="00540788" w:rsidRPr="006A4743">
        <w:t>8</w:t>
      </w:r>
      <w:r w:rsidR="00DE7160" w:rsidRPr="006A4743">
        <w:t xml:space="preserve">17 </w:t>
      </w:r>
    </w:p>
    <w:p w:rsidR="00B413F8" w:rsidRPr="006A4743" w:rsidRDefault="00B413F8">
      <w:pPr>
        <w:pStyle w:val="RKnormal"/>
      </w:pPr>
    </w:p>
    <w:p w:rsidR="00B413F8" w:rsidRPr="006A4743" w:rsidRDefault="00B413F8">
      <w:pPr>
        <w:pStyle w:val="RKrubrik"/>
      </w:pPr>
      <w:r w:rsidRPr="006A4743">
        <w:t>Bakgrund</w:t>
      </w:r>
    </w:p>
    <w:p w:rsidR="00540788" w:rsidRPr="006A4743" w:rsidRDefault="00540788">
      <w:pPr>
        <w:pStyle w:val="RKnormal"/>
      </w:pPr>
      <w:r w:rsidRPr="006A4743">
        <w:t>I februari 2004 överlämnade kommissionen till rådet ett förslag om bemyndigande för kommissionen att inleda luftfartsförhandlingar med bl.a. Marocko, Libanon och Jordanien. Kommissionen har tidigare fått mandat att förhandla med Marocko och ett avtal med detta land föreligger.</w:t>
      </w:r>
    </w:p>
    <w:p w:rsidR="009415F1" w:rsidRPr="006A4743" w:rsidRDefault="009415F1">
      <w:pPr>
        <w:pStyle w:val="RKnormal"/>
      </w:pPr>
    </w:p>
    <w:p w:rsidR="00B413F8" w:rsidRPr="006A4743" w:rsidRDefault="008414DC">
      <w:pPr>
        <w:pStyle w:val="RKnormal"/>
      </w:pPr>
      <w:r w:rsidRPr="006A4743">
        <w:t>Det övergripande målet med kommissionens förslag är att</w:t>
      </w:r>
      <w:r w:rsidR="009415F1" w:rsidRPr="006A4743">
        <w:t>, baserat på de nära relationerna mellan gemenskapen och Jordanien och på målen i handlingsplanen EU-Jordanien, öppna marknaderna mellan parterna där båda sidors flygbolag kan konkurrera fritt och på lika villkor och i enlighet med harmoniserade regler baserade på gemenskapslagstiftningen</w:t>
      </w:r>
      <w:r w:rsidRPr="006A4743">
        <w:t>.</w:t>
      </w:r>
    </w:p>
    <w:p w:rsidR="008414DC" w:rsidRPr="006A4743" w:rsidRDefault="008414DC">
      <w:pPr>
        <w:pStyle w:val="RKnormal"/>
      </w:pPr>
    </w:p>
    <w:p w:rsidR="005F3ABD" w:rsidRPr="006A4743" w:rsidRDefault="005F3ABD">
      <w:pPr>
        <w:pStyle w:val="RKnormal"/>
      </w:pPr>
      <w:r w:rsidRPr="006A4743">
        <w:t xml:space="preserve">Ett gemenskapsavtal med </w:t>
      </w:r>
      <w:r w:rsidR="009415F1" w:rsidRPr="006A4743">
        <w:t>Jordanien</w:t>
      </w:r>
      <w:r w:rsidRPr="006A4743">
        <w:t xml:space="preserve"> skulle ersätta </w:t>
      </w:r>
      <w:r w:rsidR="009415F1" w:rsidRPr="006A4743">
        <w:t>relevanta bestämmelser i de bi</w:t>
      </w:r>
      <w:r w:rsidRPr="006A4743">
        <w:t>laterala avtal</w:t>
      </w:r>
      <w:r w:rsidR="009415F1" w:rsidRPr="006A4743">
        <w:t>en</w:t>
      </w:r>
      <w:r w:rsidRPr="006A4743">
        <w:t xml:space="preserve"> mellan medlemsstater</w:t>
      </w:r>
      <w:r w:rsidR="009415F1" w:rsidRPr="006A4743">
        <w:t>na</w:t>
      </w:r>
      <w:r w:rsidRPr="006A4743">
        <w:t xml:space="preserve"> och </w:t>
      </w:r>
      <w:r w:rsidR="009415F1" w:rsidRPr="006A4743">
        <w:t>Jordanien.</w:t>
      </w:r>
    </w:p>
    <w:p w:rsidR="00B413F8" w:rsidRPr="006A4743" w:rsidRDefault="00B413F8">
      <w:pPr>
        <w:pStyle w:val="RKnormal"/>
      </w:pPr>
    </w:p>
    <w:p w:rsidR="00B413F8" w:rsidRPr="006A4743" w:rsidRDefault="00B413F8">
      <w:pPr>
        <w:pStyle w:val="RKrubrik"/>
      </w:pPr>
      <w:r w:rsidRPr="006A4743">
        <w:t>Rättslig grund och beslutsförfarande</w:t>
      </w:r>
    </w:p>
    <w:p w:rsidR="00B413F8" w:rsidRPr="006A4743" w:rsidRDefault="00DE7160">
      <w:pPr>
        <w:pStyle w:val="RKnormal"/>
      </w:pPr>
      <w:r w:rsidRPr="006A4743">
        <w:t>Artikel 300.1 i fördraget; kvalificerad majoritet</w:t>
      </w:r>
    </w:p>
    <w:p w:rsidR="00B413F8" w:rsidRPr="006A4743" w:rsidRDefault="00B413F8">
      <w:pPr>
        <w:pStyle w:val="RKrubrik"/>
        <w:rPr>
          <w:i/>
          <w:iCs/>
        </w:rPr>
      </w:pPr>
      <w:r w:rsidRPr="006A4743">
        <w:rPr>
          <w:i/>
          <w:iCs/>
        </w:rPr>
        <w:t>Svensk ståndpunkt</w:t>
      </w:r>
    </w:p>
    <w:p w:rsidR="00B413F8" w:rsidRPr="006A4743" w:rsidRDefault="005F3ABD">
      <w:pPr>
        <w:pStyle w:val="RKnormal"/>
      </w:pPr>
      <w:r w:rsidRPr="006A4743">
        <w:t xml:space="preserve">Sverige stöder kommissionens förslag till mandat att förhandla med </w:t>
      </w:r>
      <w:r w:rsidR="00540788" w:rsidRPr="006A4743">
        <w:t>Jordanien</w:t>
      </w:r>
      <w:r w:rsidRPr="006A4743">
        <w:t>.</w:t>
      </w:r>
    </w:p>
    <w:p w:rsidR="00B413F8" w:rsidRPr="006A4743" w:rsidRDefault="00B413F8">
      <w:pPr>
        <w:pStyle w:val="RKnormal"/>
      </w:pPr>
    </w:p>
    <w:p w:rsidR="00B413F8" w:rsidRPr="006A4743" w:rsidRDefault="00B413F8">
      <w:pPr>
        <w:pStyle w:val="RKrubrik"/>
        <w:rPr>
          <w:i/>
          <w:iCs/>
        </w:rPr>
      </w:pPr>
      <w:r w:rsidRPr="006A4743">
        <w:rPr>
          <w:i/>
          <w:iCs/>
        </w:rPr>
        <w:t>Förslaget</w:t>
      </w:r>
    </w:p>
    <w:p w:rsidR="005F3ABD" w:rsidRPr="006A4743" w:rsidRDefault="005F3ABD" w:rsidP="005F3ABD">
      <w:pPr>
        <w:pStyle w:val="RKnormal"/>
      </w:pPr>
      <w:r w:rsidRPr="006A4743">
        <w:t>Enligt förslaget till förhandlingsdirektiv skall avtalet</w:t>
      </w:r>
      <w:r w:rsidR="00124334" w:rsidRPr="006A4743">
        <w:t xml:space="preserve"> bl.a.</w:t>
      </w:r>
    </w:p>
    <w:p w:rsidR="005F3ABD" w:rsidRPr="006A4743" w:rsidRDefault="00EF06DC" w:rsidP="005F3ABD">
      <w:pPr>
        <w:pStyle w:val="RKnormal"/>
        <w:numPr>
          <w:ilvl w:val="0"/>
          <w:numId w:val="1"/>
        </w:numPr>
      </w:pPr>
      <w:r w:rsidRPr="006A4743">
        <w:t>vara i överensstämmelse med gemenskapsrätten</w:t>
      </w:r>
    </w:p>
    <w:p w:rsidR="00EF06DC" w:rsidRPr="006A4743" w:rsidRDefault="00EF06DC" w:rsidP="005F3ABD">
      <w:pPr>
        <w:pStyle w:val="RKnormal"/>
        <w:numPr>
          <w:ilvl w:val="0"/>
          <w:numId w:val="1"/>
        </w:numPr>
      </w:pPr>
      <w:r w:rsidRPr="006A4743">
        <w:t>innehålla adekvata mekanismer för informationsutbyte, med syfte att skapa ömsesidigt förtroende för att bestämmelserna uppfylls och för att skapa ett ”level playing field”</w:t>
      </w:r>
    </w:p>
    <w:p w:rsidR="00EF06DC" w:rsidRPr="006A4743" w:rsidRDefault="00EF06DC" w:rsidP="005F3ABD">
      <w:pPr>
        <w:pStyle w:val="RKnormal"/>
        <w:numPr>
          <w:ilvl w:val="0"/>
          <w:numId w:val="1"/>
        </w:numPr>
      </w:pPr>
      <w:r w:rsidRPr="006A4743">
        <w:t>innehålla stränga krav på flygsäkerhet och luftfartsskydd</w:t>
      </w:r>
    </w:p>
    <w:p w:rsidR="00EF06DC" w:rsidRPr="006A4743" w:rsidRDefault="00EF06DC" w:rsidP="005F3ABD">
      <w:pPr>
        <w:pStyle w:val="RKnormal"/>
        <w:numPr>
          <w:ilvl w:val="0"/>
          <w:numId w:val="1"/>
        </w:numPr>
      </w:pPr>
      <w:r w:rsidRPr="006A4743">
        <w:t>säkerställa flexibilitet för EU att vidta åtgärder på miljöområdet, särskilt när det gäller klimatfrågor, luftkvalitet och flygbuller</w:t>
      </w:r>
    </w:p>
    <w:p w:rsidR="00EF06DC" w:rsidRPr="006A4743" w:rsidRDefault="00EF06DC" w:rsidP="00EF06DC">
      <w:pPr>
        <w:pStyle w:val="RKnormal"/>
        <w:numPr>
          <w:ilvl w:val="0"/>
          <w:numId w:val="1"/>
        </w:numPr>
      </w:pPr>
      <w:r w:rsidRPr="006A4743">
        <w:t>inte förhindra beskattning av flygbränsle</w:t>
      </w:r>
      <w:r w:rsidR="00124334" w:rsidRPr="006A4743">
        <w:t>,</w:t>
      </w:r>
    </w:p>
    <w:p w:rsidR="00124334" w:rsidRPr="006A4743" w:rsidRDefault="00124334" w:rsidP="00EF06DC">
      <w:pPr>
        <w:pStyle w:val="RKnormal"/>
        <w:numPr>
          <w:ilvl w:val="0"/>
          <w:numId w:val="1"/>
        </w:numPr>
      </w:pPr>
      <w:r w:rsidRPr="006A4743">
        <w:t>syfte till att associera Jordanien i implementeringen av Single European Sky, och</w:t>
      </w:r>
    </w:p>
    <w:p w:rsidR="00124334" w:rsidRPr="006A4743" w:rsidRDefault="00124334" w:rsidP="00EF06DC">
      <w:pPr>
        <w:pStyle w:val="RKnormal"/>
        <w:numPr>
          <w:ilvl w:val="0"/>
          <w:numId w:val="1"/>
        </w:numPr>
      </w:pPr>
      <w:r w:rsidRPr="006A4743">
        <w:t>innehålla bestämmelser om konkurrens och statsstöd</w:t>
      </w:r>
    </w:p>
    <w:p w:rsidR="00124334" w:rsidRPr="006A4743" w:rsidRDefault="00124334" w:rsidP="00EF06DC">
      <w:pPr>
        <w:pStyle w:val="RKnormal"/>
      </w:pPr>
    </w:p>
    <w:p w:rsidR="00EF06DC" w:rsidRPr="006A4743" w:rsidRDefault="00124334" w:rsidP="00EF06DC">
      <w:pPr>
        <w:pStyle w:val="RKnormal"/>
      </w:pPr>
      <w:r w:rsidRPr="006A4743">
        <w:t>Vid genomförandet av dessa direktiv skall avtalet medge nödvändig flexibilitet när det gäller övergångsperioder, särskilt när det gäller Jordaniens behov av att införa minimistandards för flygsäkerhet och luftfartsskydd.</w:t>
      </w:r>
    </w:p>
    <w:p w:rsidR="00EF06DC" w:rsidRPr="006A4743" w:rsidRDefault="00EF06DC" w:rsidP="00EF06DC">
      <w:pPr>
        <w:pStyle w:val="RKnormal"/>
      </w:pPr>
    </w:p>
    <w:p w:rsidR="00EF06DC" w:rsidRPr="006A4743" w:rsidRDefault="00EF06DC" w:rsidP="00EF06DC">
      <w:pPr>
        <w:pStyle w:val="RKnormal"/>
      </w:pPr>
      <w:r w:rsidRPr="006A4743">
        <w:t>Kommissionen skall under förhandlingarna biträdas av en Särskild kommitté, bestående av företrädare för medlemsstaterna. Kommissionen skall regelbundet informera rådet om hur förhandlingarna fortlöper, och, i förekommande fall, om de problem som uppkommer.</w:t>
      </w:r>
    </w:p>
    <w:p w:rsidR="00B413F8" w:rsidRPr="006A4743" w:rsidRDefault="00B413F8">
      <w:pPr>
        <w:pStyle w:val="RKnormal"/>
      </w:pPr>
    </w:p>
    <w:p w:rsidR="00B413F8" w:rsidRPr="006A4743" w:rsidRDefault="00B413F8">
      <w:pPr>
        <w:pStyle w:val="RKrubrik"/>
        <w:rPr>
          <w:i/>
          <w:iCs/>
        </w:rPr>
      </w:pPr>
      <w:r w:rsidRPr="006A4743">
        <w:rPr>
          <w:i/>
          <w:iCs/>
        </w:rPr>
        <w:t>Gällande svenska regler och förslagets effekter på dessa</w:t>
      </w:r>
    </w:p>
    <w:p w:rsidR="00B413F8" w:rsidRPr="006A4743" w:rsidRDefault="00DD7F51">
      <w:pPr>
        <w:pStyle w:val="RKnormal"/>
      </w:pPr>
      <w:r w:rsidRPr="006A4743">
        <w:t xml:space="preserve">Relationerna mellan Sverige och </w:t>
      </w:r>
      <w:r w:rsidR="00540788" w:rsidRPr="006A4743">
        <w:t>Jordanien</w:t>
      </w:r>
      <w:r w:rsidRPr="006A4743">
        <w:t xml:space="preserve"> på luftfartsområdet styrs idag av ett bilateralt luftfartsavtal</w:t>
      </w:r>
      <w:r w:rsidR="00124334" w:rsidRPr="006A4743">
        <w:t>.</w:t>
      </w:r>
      <w:r w:rsidRPr="006A4743">
        <w:t xml:space="preserve"> </w:t>
      </w:r>
    </w:p>
    <w:p w:rsidR="00B413F8" w:rsidRPr="006A4743" w:rsidRDefault="00B413F8">
      <w:pPr>
        <w:pStyle w:val="RKrubrik"/>
      </w:pPr>
      <w:r w:rsidRPr="006A4743">
        <w:t>Ekonomiska konsekvenser</w:t>
      </w:r>
    </w:p>
    <w:p w:rsidR="00B413F8" w:rsidRPr="006A4743" w:rsidRDefault="00DD7F51">
      <w:pPr>
        <w:pStyle w:val="RKnormal"/>
      </w:pPr>
      <w:r w:rsidRPr="006A4743">
        <w:t xml:space="preserve">Inga egentliga statsfinansiella konsekvenser förutses. De svenska flygbolagen ges utökade möjligheter att beflyga </w:t>
      </w:r>
      <w:r w:rsidR="00540788" w:rsidRPr="006A4743">
        <w:t>Jordanien.</w:t>
      </w:r>
    </w:p>
    <w:p w:rsidR="00B413F8" w:rsidRPr="006A4743" w:rsidRDefault="00B413F8">
      <w:pPr>
        <w:pStyle w:val="RKnormal"/>
      </w:pPr>
    </w:p>
    <w:p w:rsidR="00B413F8" w:rsidRPr="006A4743" w:rsidRDefault="00B413F8">
      <w:pPr>
        <w:pStyle w:val="RKnormal"/>
        <w:rPr>
          <w:i/>
          <w:iCs/>
        </w:rPr>
      </w:pPr>
    </w:p>
    <w:p w:rsidR="00B413F8" w:rsidRPr="006A4743" w:rsidRDefault="00B413F8">
      <w:pPr>
        <w:pStyle w:val="RKnormal"/>
        <w:ind w:left="-1134"/>
      </w:pPr>
    </w:p>
    <w:p w:rsidR="00B413F8" w:rsidRPr="006A4743" w:rsidRDefault="00B413F8">
      <w:pPr>
        <w:pStyle w:val="RKrubrik"/>
        <w:spacing w:before="0" w:after="0"/>
      </w:pPr>
    </w:p>
    <w:p w:rsidR="00B413F8" w:rsidRPr="006A4743" w:rsidRDefault="00B413F8">
      <w:pPr>
        <w:pStyle w:val="RKnormal"/>
      </w:pPr>
    </w:p>
    <w:p w:rsidR="00B413F8" w:rsidRPr="006A4743" w:rsidRDefault="00B413F8">
      <w:pPr>
        <w:pStyle w:val="RKnormal"/>
      </w:pPr>
    </w:p>
    <w:sectPr w:rsidR="00B413F8" w:rsidRPr="006A474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4B5" w:rsidRPr="006A4743" w:rsidRDefault="006524B5">
      <w:r w:rsidRPr="006A4743">
        <w:separator/>
      </w:r>
    </w:p>
  </w:endnote>
  <w:endnote w:type="continuationSeparator" w:id="0">
    <w:p w:rsidR="006524B5" w:rsidRPr="006A4743" w:rsidRDefault="006524B5">
      <w:r w:rsidRPr="006A47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4B5" w:rsidRPr="006A4743" w:rsidRDefault="006524B5">
      <w:r w:rsidRPr="006A4743">
        <w:separator/>
      </w:r>
    </w:p>
  </w:footnote>
  <w:footnote w:type="continuationSeparator" w:id="0">
    <w:p w:rsidR="006524B5" w:rsidRPr="006A4743" w:rsidRDefault="006524B5">
      <w:r w:rsidRPr="006A47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3F8" w:rsidRPr="006A4743" w:rsidRDefault="00B413F8">
    <w:pPr>
      <w:pStyle w:val="Sidhuvud"/>
      <w:framePr w:wrap="around" w:vAnchor="text" w:hAnchor="margin" w:xAlign="right" w:y="1"/>
      <w:rPr>
        <w:rStyle w:val="Sidnummer"/>
      </w:rPr>
    </w:pPr>
    <w:r w:rsidRPr="006A4743">
      <w:rPr>
        <w:rStyle w:val="Sidnummer"/>
      </w:rPr>
      <w:fldChar w:fldCharType="begin" w:fldLock="1"/>
    </w:r>
    <w:r w:rsidRPr="006A4743">
      <w:rPr>
        <w:rStyle w:val="Sidnummer"/>
      </w:rPr>
      <w:instrText xml:space="preserve">PAGE  </w:instrText>
    </w:r>
    <w:r w:rsidRPr="006A4743">
      <w:rPr>
        <w:rStyle w:val="Sidnummer"/>
      </w:rPr>
      <w:fldChar w:fldCharType="separate"/>
    </w:r>
    <w:r w:rsidR="00124334" w:rsidRPr="006A4743">
      <w:rPr>
        <w:rStyle w:val="Sidnummer"/>
      </w:rPr>
      <w:t>2</w:t>
    </w:r>
    <w:r w:rsidRPr="006A4743">
      <w:rPr>
        <w:rStyle w:val="Sidnummer"/>
      </w:rPr>
      <w:fldChar w:fldCharType="end"/>
    </w:r>
  </w:p>
  <w:p w:rsidR="00B413F8" w:rsidRPr="006A4743" w:rsidRDefault="00B413F8">
    <w:pPr>
      <w:pStyle w:val="Sidhuvud"/>
      <w:ind w:right="360"/>
    </w:pPr>
  </w:p>
  <w:p w:rsidR="00B413F8" w:rsidRPr="006A4743" w:rsidRDefault="00B413F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3F8" w:rsidRPr="006A4743" w:rsidRDefault="00B413F8">
    <w:pPr>
      <w:pStyle w:val="Sidhuvud"/>
      <w:framePr w:wrap="around" w:vAnchor="text" w:hAnchor="margin" w:xAlign="right" w:y="1"/>
      <w:rPr>
        <w:rStyle w:val="Sidnummer"/>
      </w:rPr>
    </w:pPr>
    <w:r w:rsidRPr="006A4743">
      <w:rPr>
        <w:rStyle w:val="Sidnummer"/>
      </w:rPr>
      <w:fldChar w:fldCharType="begin" w:fldLock="1"/>
    </w:r>
    <w:r w:rsidRPr="006A4743">
      <w:rPr>
        <w:rStyle w:val="Sidnummer"/>
      </w:rPr>
      <w:instrText xml:space="preserve">PAGE  </w:instrText>
    </w:r>
    <w:r w:rsidRPr="006A4743">
      <w:rPr>
        <w:rStyle w:val="Sidnummer"/>
      </w:rPr>
      <w:fldChar w:fldCharType="separate"/>
    </w:r>
    <w:r w:rsidR="00124334" w:rsidRPr="006A4743">
      <w:rPr>
        <w:rStyle w:val="Sidnummer"/>
      </w:rPr>
      <w:t>3</w:t>
    </w:r>
    <w:r w:rsidRPr="006A4743">
      <w:rPr>
        <w:rStyle w:val="Sidnummer"/>
      </w:rPr>
      <w:fldChar w:fldCharType="end"/>
    </w:r>
  </w:p>
  <w:p w:rsidR="00B413F8" w:rsidRPr="006A4743" w:rsidRDefault="00B413F8">
    <w:pPr>
      <w:pStyle w:val="Sidhuvud"/>
      <w:ind w:right="360"/>
    </w:pPr>
  </w:p>
  <w:p w:rsidR="00B413F8" w:rsidRPr="006A4743" w:rsidRDefault="00B413F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3F8" w:rsidRPr="006A4743" w:rsidRDefault="006A4743">
    <w:pPr>
      <w:framePr w:w="2948" w:h="1321" w:hRule="exact" w:wrap="notBeside" w:vAnchor="page" w:hAnchor="page" w:x="1362" w:y="653"/>
    </w:pPr>
    <w:r w:rsidRPr="006A474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413F8" w:rsidRPr="006A4743" w:rsidRDefault="00B413F8">
    <w:pPr>
      <w:pStyle w:val="RKrubrik"/>
      <w:keepNext w:val="0"/>
      <w:tabs>
        <w:tab w:val="clear" w:pos="1134"/>
        <w:tab w:val="clear" w:pos="2835"/>
      </w:tabs>
      <w:spacing w:before="0" w:after="0" w:line="320" w:lineRule="atLeast"/>
      <w:rPr>
        <w:bCs/>
      </w:rPr>
    </w:pPr>
  </w:p>
  <w:p w:rsidR="00B413F8" w:rsidRPr="006A4743" w:rsidRDefault="00B413F8">
    <w:pPr>
      <w:rPr>
        <w:rFonts w:ascii="TradeGothic" w:hAnsi="TradeGothic"/>
        <w:b/>
        <w:bCs/>
        <w:spacing w:val="12"/>
        <w:sz w:val="22"/>
      </w:rPr>
    </w:pPr>
  </w:p>
  <w:p w:rsidR="00B413F8" w:rsidRPr="006A4743" w:rsidRDefault="00B413F8">
    <w:pPr>
      <w:pStyle w:val="RKrubrik"/>
      <w:keepNext w:val="0"/>
      <w:tabs>
        <w:tab w:val="clear" w:pos="1134"/>
        <w:tab w:val="clear" w:pos="2835"/>
      </w:tabs>
      <w:spacing w:before="0" w:after="0" w:line="320" w:lineRule="atLeast"/>
      <w:rPr>
        <w:bCs/>
      </w:rPr>
    </w:pPr>
  </w:p>
  <w:p w:rsidR="00B413F8" w:rsidRPr="006A4743" w:rsidRDefault="00B413F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04C83"/>
    <w:multiLevelType w:val="hybridMultilevel"/>
    <w:tmpl w:val="1D8AB5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3211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D6831"/>
    <w:rsid w:val="00124334"/>
    <w:rsid w:val="004531AC"/>
    <w:rsid w:val="00540788"/>
    <w:rsid w:val="005F3ABD"/>
    <w:rsid w:val="00607973"/>
    <w:rsid w:val="006524B5"/>
    <w:rsid w:val="006A4743"/>
    <w:rsid w:val="008414DC"/>
    <w:rsid w:val="009415F1"/>
    <w:rsid w:val="009E709E"/>
    <w:rsid w:val="00B413F8"/>
    <w:rsid w:val="00BD6831"/>
    <w:rsid w:val="00DD7F51"/>
    <w:rsid w:val="00DE7160"/>
    <w:rsid w:val="00EF06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A03449-2A5C-4A0A-8BAB-B9247F78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357</Words>
  <Characters>2491</Characters>
  <Application>Microsoft Office Word</Application>
  <DocSecurity>4</DocSecurity>
  <Lines>88</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2025-12-17T13:18:00Z</dcterms:created>
  <dcterms:modified xsi:type="dcterms:W3CDTF">2025-12-17T13:18:00Z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