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2459B">
        <w:tblPrEx>
          <w:tblCellMar>
            <w:top w:w="0" w:type="dxa"/>
            <w:bottom w:w="0" w:type="dxa"/>
          </w:tblCellMar>
        </w:tblPrEx>
        <w:trPr>
          <w:cantSplit/>
          <w:trHeight w:hRule="exact" w:val="1260"/>
        </w:trPr>
        <w:tc>
          <w:tcPr>
            <w:tcW w:w="6024" w:type="dxa"/>
            <w:gridSpan w:val="2"/>
            <w:vMerge w:val="restart"/>
          </w:tcPr>
          <w:p w:rsidR="00B0654C" w:rsidRPr="00F2459B" w:rsidRDefault="00B0654C">
            <w:pPr>
              <w:pStyle w:val="HuvudRubrik"/>
            </w:pPr>
            <w:bookmarkStart w:id="0" w:name="BetänkandeRubrik"/>
            <w:bookmarkEnd w:id="0"/>
            <w:r w:rsidRPr="00F2459B">
              <w:t>Arbetsmarknadsutskottets betänkande</w:t>
            </w:r>
            <w:r w:rsidR="00F2459B" w:rsidRPr="00F2459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24059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0654C" w:rsidRDefault="00B065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5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0654C" w:rsidRDefault="00B0654C">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581" r:id="rId8"/>
                              </w:object>
                            </w:r>
                          </w:p>
                        </w:txbxContent>
                      </v:textbox>
                      <w10:wrap anchorx="page" anchory="page"/>
                    </v:shape>
                  </w:pict>
                </mc:Fallback>
              </mc:AlternateContent>
            </w:r>
          </w:p>
          <w:p w:rsidR="00B0654C" w:rsidRPr="00F2459B" w:rsidRDefault="00B0654C">
            <w:pPr>
              <w:pStyle w:val="HuvudRubrikRad2"/>
            </w:pPr>
            <w:bookmarkStart w:id="17" w:name="BetänkandeNr"/>
            <w:bookmarkEnd w:id="17"/>
            <w:r w:rsidRPr="00F2459B">
              <w:t>1999/2000:AU4</w:t>
            </w:r>
          </w:p>
          <w:p w:rsidR="00B0654C" w:rsidRPr="00F2459B" w:rsidRDefault="00B0654C">
            <w:pPr>
              <w:pStyle w:val="BetnkandeRubrik"/>
            </w:pPr>
            <w:bookmarkStart w:id="18" w:name="Huvudrubrik"/>
            <w:bookmarkEnd w:id="18"/>
            <w:r w:rsidRPr="00F2459B">
              <w:t>Utvidgning av lagen om europeiska företagsråd till att avse Storbritannien</w:t>
            </w:r>
          </w:p>
        </w:tc>
        <w:tc>
          <w:tcPr>
            <w:tcW w:w="1559" w:type="dxa"/>
            <w:tcBorders>
              <w:bottom w:val="nil"/>
            </w:tcBorders>
          </w:tcPr>
          <w:p w:rsidR="00B0654C" w:rsidRPr="00F2459B" w:rsidRDefault="00B0654C">
            <w:pPr>
              <w:spacing w:before="0" w:line="230" w:lineRule="auto"/>
              <w:rPr>
                <w:sz w:val="24"/>
              </w:rPr>
            </w:pPr>
          </w:p>
        </w:tc>
      </w:tr>
      <w:tr w:rsidR="00000000" w:rsidRPr="00F2459B">
        <w:tblPrEx>
          <w:tblCellMar>
            <w:top w:w="0" w:type="dxa"/>
            <w:bottom w:w="0" w:type="dxa"/>
          </w:tblCellMar>
        </w:tblPrEx>
        <w:trPr>
          <w:cantSplit/>
          <w:trHeight w:hRule="exact" w:val="240"/>
        </w:trPr>
        <w:tc>
          <w:tcPr>
            <w:tcW w:w="6024" w:type="dxa"/>
            <w:gridSpan w:val="2"/>
            <w:vMerge/>
            <w:tcBorders>
              <w:top w:val="nil"/>
              <w:bottom w:val="nil"/>
            </w:tcBorders>
          </w:tcPr>
          <w:p w:rsidR="00B0654C" w:rsidRPr="00F2459B" w:rsidRDefault="00B0654C">
            <w:pPr>
              <w:spacing w:before="40" w:after="900" w:line="280" w:lineRule="exact"/>
              <w:jc w:val="left"/>
              <w:rPr>
                <w:sz w:val="28"/>
              </w:rPr>
            </w:pPr>
          </w:p>
        </w:tc>
        <w:tc>
          <w:tcPr>
            <w:tcW w:w="1559" w:type="dxa"/>
          </w:tcPr>
          <w:p w:rsidR="00B0654C" w:rsidRPr="00F2459B" w:rsidRDefault="00B0654C">
            <w:pPr>
              <w:pStyle w:val="rtal"/>
            </w:pPr>
            <w:r w:rsidRPr="00F2459B">
              <w:t>1999/2000</w:t>
            </w:r>
          </w:p>
        </w:tc>
      </w:tr>
      <w:tr w:rsidR="00000000" w:rsidRPr="00F2459B">
        <w:tblPrEx>
          <w:tblCellMar>
            <w:top w:w="0" w:type="dxa"/>
            <w:bottom w:w="0" w:type="dxa"/>
          </w:tblCellMar>
        </w:tblPrEx>
        <w:trPr>
          <w:cantSplit/>
          <w:trHeight w:val="560"/>
        </w:trPr>
        <w:tc>
          <w:tcPr>
            <w:tcW w:w="6024" w:type="dxa"/>
            <w:gridSpan w:val="2"/>
            <w:vMerge/>
            <w:tcBorders>
              <w:top w:val="nil"/>
              <w:bottom w:val="single" w:sz="6" w:space="0" w:color="auto"/>
            </w:tcBorders>
          </w:tcPr>
          <w:p w:rsidR="00B0654C" w:rsidRPr="00F2459B" w:rsidRDefault="00B0654C">
            <w:pPr>
              <w:spacing w:before="40" w:after="900" w:line="280" w:lineRule="exact"/>
              <w:jc w:val="left"/>
              <w:rPr>
                <w:sz w:val="28"/>
              </w:rPr>
            </w:pPr>
          </w:p>
        </w:tc>
        <w:tc>
          <w:tcPr>
            <w:tcW w:w="1559" w:type="dxa"/>
            <w:tcBorders>
              <w:bottom w:val="single" w:sz="6" w:space="0" w:color="auto"/>
            </w:tcBorders>
          </w:tcPr>
          <w:p w:rsidR="00B0654C" w:rsidRPr="00F2459B" w:rsidRDefault="00B0654C">
            <w:pPr>
              <w:pStyle w:val="rtal"/>
            </w:pPr>
            <w:r w:rsidRPr="00F2459B">
              <w:t>AU4</w:t>
            </w:r>
          </w:p>
        </w:tc>
      </w:tr>
      <w:tr w:rsidR="00000000" w:rsidRPr="00F2459B">
        <w:tblPrEx>
          <w:tblCellMar>
            <w:top w:w="0" w:type="dxa"/>
            <w:bottom w:w="0" w:type="dxa"/>
          </w:tblCellMar>
        </w:tblPrEx>
        <w:trPr>
          <w:cantSplit/>
          <w:trHeight w:hRule="exact" w:val="660"/>
        </w:trPr>
        <w:tc>
          <w:tcPr>
            <w:tcW w:w="3012" w:type="dxa"/>
          </w:tcPr>
          <w:p w:rsidR="00B0654C" w:rsidRPr="00F2459B" w:rsidRDefault="00B0654C">
            <w:pPr>
              <w:pStyle w:val="StatusSida1"/>
            </w:pPr>
          </w:p>
        </w:tc>
        <w:tc>
          <w:tcPr>
            <w:tcW w:w="3012" w:type="dxa"/>
          </w:tcPr>
          <w:p w:rsidR="00B0654C" w:rsidRPr="00F2459B" w:rsidRDefault="00B0654C">
            <w:pPr>
              <w:pStyle w:val="UtskriftsdatumSida1"/>
              <w:rPr>
                <w:b/>
                <w:sz w:val="16"/>
              </w:rPr>
            </w:pPr>
          </w:p>
        </w:tc>
        <w:tc>
          <w:tcPr>
            <w:tcW w:w="1559" w:type="dxa"/>
          </w:tcPr>
          <w:p w:rsidR="00B0654C" w:rsidRPr="00F2459B" w:rsidRDefault="00B0654C"/>
        </w:tc>
      </w:tr>
    </w:tbl>
    <w:p w:rsidR="00B0654C" w:rsidRPr="00F2459B" w:rsidRDefault="00B0654C">
      <w:pPr>
        <w:pStyle w:val="Rubrik1"/>
      </w:pPr>
      <w:bookmarkStart w:id="19" w:name="Textstart"/>
      <w:bookmarkStart w:id="20" w:name="_Toc467483053"/>
      <w:bookmarkEnd w:id="19"/>
      <w:r w:rsidRPr="00F2459B">
        <w:t>Propositionen</w:t>
      </w:r>
      <w:bookmarkEnd w:id="20"/>
    </w:p>
    <w:p w:rsidR="00B0654C" w:rsidRPr="00F2459B" w:rsidRDefault="00B0654C">
      <w:r w:rsidRPr="00F2459B">
        <w:t>1999/2000:16 vari yrkas att riksdagen antar regeringens förslag till lag om ändring i lagen (1996:359) om europeiska för</w:t>
      </w:r>
      <w:r w:rsidRPr="00F2459B">
        <w:t>e</w:t>
      </w:r>
      <w:r w:rsidRPr="00F2459B">
        <w:t>tagsråd.</w:t>
      </w:r>
    </w:p>
    <w:p w:rsidR="00B0654C" w:rsidRPr="00F2459B" w:rsidRDefault="00B0654C">
      <w:pPr>
        <w:pStyle w:val="Rubrik1"/>
      </w:pPr>
      <w:bookmarkStart w:id="21" w:name="_Toc467483054"/>
      <w:r w:rsidRPr="00F2459B">
        <w:t>Utskottet</w:t>
      </w:r>
      <w:bookmarkEnd w:id="21"/>
    </w:p>
    <w:p w:rsidR="00B0654C" w:rsidRPr="00F2459B" w:rsidRDefault="00B0654C">
      <w:pPr>
        <w:pStyle w:val="Rubrik2"/>
        <w:spacing w:before="123"/>
      </w:pPr>
      <w:bookmarkStart w:id="22" w:name="_Toc467483055"/>
      <w:r w:rsidRPr="00F2459B">
        <w:t>Bakgrund</w:t>
      </w:r>
      <w:bookmarkEnd w:id="22"/>
    </w:p>
    <w:p w:rsidR="00B0654C" w:rsidRPr="00F2459B" w:rsidRDefault="00B0654C">
      <w:r w:rsidRPr="00F2459B">
        <w:t>Den 22 september 1994 antog Europeiska unionens råd direktivet om eur</w:t>
      </w:r>
      <w:r w:rsidRPr="00F2459B">
        <w:t>o</w:t>
      </w:r>
      <w:r w:rsidRPr="00F2459B">
        <w:t>peiska företagsråd (95/45/EG). Frågan om införande av EG-regler om m</w:t>
      </w:r>
      <w:r w:rsidRPr="00F2459B">
        <w:t>e</w:t>
      </w:r>
      <w:r w:rsidRPr="00F2459B">
        <w:t>d</w:t>
      </w:r>
      <w:r w:rsidRPr="00F2459B">
        <w:softHyphen/>
        <w:t>inflytande för arbetstagare hade dessförinnan diskuterats sedan början av 1970-talet. I frågan om ett mer strukturellt medinflytande, särskilt i multin</w:t>
      </w:r>
      <w:r w:rsidRPr="00F2459B">
        <w:t>a</w:t>
      </w:r>
      <w:r w:rsidRPr="00F2459B">
        <w:t>tionella företag och företagsgrupper, hade flera förslag lagts fram i skilda sammanhang. De förslag som lades fram av kommissionen 1990 och 1991 kunde endast antas enhälligt. Någon enighet hade dock inte kunnat uppnås. Först i och med Europeiska unionens upprättande den 1 november 1993 b</w:t>
      </w:r>
      <w:r w:rsidRPr="00F2459B">
        <w:t>lev det möjligt att komma vidare i frågan. Då kunde den ordning användas som föreskrivs i Protokollet om socialpolitik, vilket innebar att direktiv kunde antas trots att Storbritannien stod utanför. 1994 års direktiv om europeiska företagsråd antogs i enli</w:t>
      </w:r>
      <w:r w:rsidRPr="00F2459B">
        <w:t>g</w:t>
      </w:r>
      <w:r w:rsidRPr="00F2459B">
        <w:t>het med denna procedur.</w:t>
      </w:r>
    </w:p>
    <w:p w:rsidR="00B0654C" w:rsidRPr="00F2459B" w:rsidRDefault="00B0654C">
      <w:pPr>
        <w:pStyle w:val="Normaltindrag"/>
      </w:pPr>
      <w:r w:rsidRPr="00F2459B">
        <w:t>Direktivet genomfördes i Sverige genom lagen om europeiska företagsråd, som trädde i kraft den 22 september 1996. Lagen tar sikte på större företag och företagsgrupper som verkar i minst två EES-länder. I lagen avses med EES-länder</w:t>
      </w:r>
      <w:r w:rsidRPr="00F2459B">
        <w:t xml:space="preserve"> dels staterna i Europeiska unionen utom Förenade kungariket Storbritannien och Nordirland (Storbritannien), dels de övriga stater som omfattas av EES-avtalet. Direktivet och lagen syftar till att ge arbetstagare i sådana företag och företagsgrupper möjlighet till information och samråd med den centrala ledningen för företaget eller för företagsgruppen. Lagen gäller i princip inte om det vid lagens ikraftträdande redan fanns ett avtal om gränsöverskridande information och samråd som omfattar alla gemenskap</w:t>
      </w:r>
      <w:r w:rsidRPr="00F2459B">
        <w:t>s</w:t>
      </w:r>
      <w:r w:rsidRPr="00F2459B">
        <w:t xml:space="preserve">företagets eller företagsgruppens arbetstagare i EES-länderna enligt den nyss angivna definitionen. I sådant fall gäller endast lagens regler om skadestånd och rättegång (39–41 §§). </w:t>
      </w:r>
    </w:p>
    <w:p w:rsidR="00B0654C" w:rsidRPr="00F2459B" w:rsidRDefault="00B0654C">
      <w:pPr>
        <w:pStyle w:val="Normaltindrag"/>
      </w:pPr>
      <w:r w:rsidRPr="00F2459B">
        <w:t>Vid Europeiska rådets möte i Amsterdam i juni 1997 noterades att reg</w:t>
      </w:r>
      <w:r w:rsidRPr="00F2459B">
        <w:t>e</w:t>
      </w:r>
      <w:r w:rsidRPr="00F2459B">
        <w:t>ringskonferensen enats om att införliva avtalet om socialpolitik med fö</w:t>
      </w:r>
      <w:r w:rsidRPr="00F2459B">
        <w:t>r</w:t>
      </w:r>
      <w:r w:rsidRPr="00F2459B">
        <w:t>dra</w:t>
      </w:r>
      <w:r w:rsidRPr="00F2459B">
        <w:lastRenderedPageBreak/>
        <w:t>get. Genom att anta det s.k. utvidgningsdirektivet den 15 december sa</w:t>
      </w:r>
      <w:r w:rsidRPr="00F2459B">
        <w:t>m</w:t>
      </w:r>
      <w:r w:rsidRPr="00F2459B">
        <w:t>ma år gavs rättslig verkan åt Storbritanniens önskan att godta de direktiv som hade antagits i enlighet med den nyssnämnda proceduren i avtalet om socia</w:t>
      </w:r>
      <w:r w:rsidRPr="00F2459B">
        <w:t>l</w:t>
      </w:r>
      <w:r w:rsidRPr="00F2459B">
        <w:t>politik. Enligt utvidgningsdirektivet (97/74/EG) skall direktivet om europ</w:t>
      </w:r>
      <w:r w:rsidRPr="00F2459B">
        <w:t>e</w:t>
      </w:r>
      <w:r w:rsidRPr="00F2459B">
        <w:t>iska för</w:t>
      </w:r>
      <w:r w:rsidRPr="00F2459B">
        <w:t>e</w:t>
      </w:r>
      <w:r w:rsidRPr="00F2459B">
        <w:t>tagsråd även gälla Storbritannien.</w:t>
      </w:r>
    </w:p>
    <w:p w:rsidR="00B0654C" w:rsidRPr="00F2459B" w:rsidRDefault="00B0654C">
      <w:pPr>
        <w:pStyle w:val="Rubrik2"/>
      </w:pPr>
      <w:bookmarkStart w:id="23" w:name="_Toc467483056"/>
      <w:r w:rsidRPr="00F2459B">
        <w:t>Genomförandet av utvidgningsdirektivet</w:t>
      </w:r>
      <w:bookmarkEnd w:id="23"/>
    </w:p>
    <w:p w:rsidR="00B0654C" w:rsidRPr="00F2459B" w:rsidRDefault="00B0654C">
      <w:r w:rsidRPr="00F2459B">
        <w:t>Genom det i propositionen framlagda lagförslaget genomförs 1997 års u</w:t>
      </w:r>
      <w:r w:rsidRPr="00F2459B">
        <w:t>t</w:t>
      </w:r>
      <w:r w:rsidRPr="00F2459B">
        <w:t>vidgningsdirektiv. Lagens geografiska tillämpningsområde utvidgas till att avse Storbritannien. Det sker genom en ändring av den ovannämnda defin</w:t>
      </w:r>
      <w:r w:rsidRPr="00F2459B">
        <w:t>i</w:t>
      </w:r>
      <w:r w:rsidRPr="00F2459B">
        <w:t>tionen av EES-länder.</w:t>
      </w:r>
    </w:p>
    <w:p w:rsidR="00B0654C" w:rsidRPr="00F2459B" w:rsidRDefault="00B0654C">
      <w:pPr>
        <w:pStyle w:val="Normaltindrag"/>
      </w:pPr>
      <w:r w:rsidRPr="00F2459B">
        <w:t>Utvidgningen väcker frågan hur lagen skall tillämpas i förhållande till a</w:t>
      </w:r>
      <w:r w:rsidRPr="00F2459B">
        <w:t>v</w:t>
      </w:r>
      <w:r w:rsidRPr="00F2459B">
        <w:t>tal om gränsöverskridande information och samråd. I fråga om sådana avtal innebär den nuvarande lagens 6 § att endast skadestånds- och rättegångsre</w:t>
      </w:r>
      <w:r w:rsidRPr="00F2459B">
        <w:t>g</w:t>
      </w:r>
      <w:r w:rsidRPr="00F2459B">
        <w:t>lerna gäller om avtalet fanns vid tidpunkten för lagens ikraftträdande och omfattade alla företagets/företagsgruppens arbetstagare i EES-länderna enligt den särskilda definitionen, dvs. EES-länderna utom Storbrita</w:t>
      </w:r>
      <w:r w:rsidRPr="00F2459B">
        <w:t>n</w:t>
      </w:r>
      <w:r w:rsidRPr="00F2459B">
        <w:t xml:space="preserve">nien, ”6 §-avtal”. Vad först gäller företag och företagsgrupper som har ett sådant avtal som gällde redan när 1996 års lag trädde i kraft, ”gällande </w:t>
      </w:r>
      <w:r w:rsidRPr="00F2459B">
        <w:t xml:space="preserve">6 §-avtal”, kan två fall tänkas. Om företaget/företagsgruppen </w:t>
      </w:r>
      <w:r w:rsidRPr="00F2459B">
        <w:rPr>
          <w:i/>
        </w:rPr>
        <w:t xml:space="preserve">inte har </w:t>
      </w:r>
      <w:r w:rsidRPr="00F2459B">
        <w:t>någon verksamhet i Sto</w:t>
      </w:r>
      <w:r w:rsidRPr="00F2459B">
        <w:t>r</w:t>
      </w:r>
      <w:r w:rsidRPr="00F2459B">
        <w:t>britannien gäller även fortsättningsvis endast skadestånds- och rättegång</w:t>
      </w:r>
      <w:r w:rsidRPr="00F2459B">
        <w:t>s</w:t>
      </w:r>
      <w:r w:rsidRPr="00F2459B">
        <w:t xml:space="preserve">reglerna, vilket framgår av en redaktionell ändring i lagens 6 §. I det fall att företaget/företagsgruppen </w:t>
      </w:r>
      <w:r w:rsidRPr="00F2459B">
        <w:rPr>
          <w:i/>
        </w:rPr>
        <w:t xml:space="preserve">har </w:t>
      </w:r>
      <w:r w:rsidRPr="00F2459B">
        <w:t>verksamhet i Storbritannien ges en möjlighet att fram till den 1 juli 2000 justera 6 §-avtalet så det även avser arbetstagarna i Storbritannien. Även i sådant fall gäller endast skadestånds- och rättegång</w:t>
      </w:r>
      <w:r w:rsidRPr="00F2459B">
        <w:t>s</w:t>
      </w:r>
      <w:r w:rsidRPr="00F2459B">
        <w:t>reglerna i lagen, vilket reg</w:t>
      </w:r>
      <w:r w:rsidRPr="00F2459B">
        <w:t>leras i en ny paragraf, 6 a §.</w:t>
      </w:r>
    </w:p>
    <w:p w:rsidR="00B0654C" w:rsidRPr="00F2459B" w:rsidRDefault="00B0654C">
      <w:pPr>
        <w:pStyle w:val="Normaltindrag"/>
      </w:pPr>
      <w:r w:rsidRPr="00F2459B">
        <w:t>Utvidgningen kan även komma att innebära att företag/företagsgrupper som inte tidigare omfattats av lagen nu kommer att göra det. I detta fall, dvs. när lagen blir tillämplig enbart till följd av utvidgningen, innebär propositi</w:t>
      </w:r>
      <w:r w:rsidRPr="00F2459B">
        <w:t>o</w:t>
      </w:r>
      <w:r w:rsidRPr="00F2459B">
        <w:t>nen att ett avtal i princip kan ersätta lagens regler om avtalet omfattar alla gemenskapsföretagets/företagsgruppens arbetstagare i EES-länderna och gäller när de nya lagreglerna träder i kraft, ”nya 6 §-avtal”. Detta regleras i en ny 6 b §.</w:t>
      </w:r>
    </w:p>
    <w:p w:rsidR="00B0654C" w:rsidRPr="00F2459B" w:rsidRDefault="00B0654C">
      <w:pPr>
        <w:pStyle w:val="Normaltindrag"/>
      </w:pPr>
      <w:r w:rsidRPr="00F2459B">
        <w:t>Enligt nuvarande lagreglering kan 6 §-avtal förnyas inom en sexmån</w:t>
      </w:r>
      <w:r w:rsidRPr="00F2459B">
        <w:t>a</w:t>
      </w:r>
      <w:r w:rsidRPr="00F2459B">
        <w:t>dersperiod från avtalets upphörande. Såväl gällande 6 §-avtal inklusive såd</w:t>
      </w:r>
      <w:r w:rsidRPr="00F2459B">
        <w:t>a</w:t>
      </w:r>
      <w:r w:rsidRPr="00F2459B">
        <w:t>na som justerats till att avse Storbritannien som nya 6 §-avtal skall även fortsättningsvis kunna förnyas med den följden att endast skadestånds- och rä</w:t>
      </w:r>
      <w:r w:rsidRPr="00F2459B">
        <w:t>t</w:t>
      </w:r>
      <w:r w:rsidRPr="00F2459B">
        <w:t xml:space="preserve">tegångsreglerna i lagen gäller. </w:t>
      </w:r>
    </w:p>
    <w:p w:rsidR="00B0654C" w:rsidRPr="00F2459B" w:rsidRDefault="00B0654C">
      <w:pPr>
        <w:pStyle w:val="Normaltindrag"/>
      </w:pPr>
      <w:r w:rsidRPr="00F2459B">
        <w:t>Lagen skall även i fortsättningen kunna ersättas av kollektivavtal under vissa förutsättningar, s.k. EG-spärr.</w:t>
      </w:r>
    </w:p>
    <w:p w:rsidR="00B0654C" w:rsidRPr="00F2459B" w:rsidRDefault="00B0654C">
      <w:pPr>
        <w:pStyle w:val="Normaltindrag"/>
      </w:pPr>
      <w:r w:rsidRPr="00F2459B">
        <w:t>Lagändringarna förslås träda i kraft den 1 mars 2000.</w:t>
      </w:r>
    </w:p>
    <w:p w:rsidR="00B0654C" w:rsidRPr="00F2459B" w:rsidRDefault="00B0654C">
      <w:r w:rsidRPr="00F2459B">
        <w:t>Ingen motion har väckts med anledning av propositionen.</w:t>
      </w:r>
    </w:p>
    <w:p w:rsidR="00B0654C" w:rsidRPr="00F2459B" w:rsidRDefault="00B0654C">
      <w:r w:rsidRPr="00F2459B">
        <w:t>Utskottet har ingen erinran mot propositionen och föreslår därför att riksd</w:t>
      </w:r>
      <w:r w:rsidRPr="00F2459B">
        <w:t>a</w:t>
      </w:r>
      <w:r w:rsidRPr="00F2459B">
        <w:t>gen antar regeringens lagförslag.</w:t>
      </w:r>
    </w:p>
    <w:p w:rsidR="00B0654C" w:rsidRPr="00F2459B" w:rsidRDefault="00B0654C">
      <w:pPr>
        <w:pStyle w:val="Rubrik2"/>
      </w:pPr>
      <w:bookmarkStart w:id="24" w:name="_Toc467483057"/>
      <w:r w:rsidRPr="00F2459B">
        <w:t>Hemställan</w:t>
      </w:r>
      <w:bookmarkEnd w:id="24"/>
    </w:p>
    <w:p w:rsidR="00B0654C" w:rsidRPr="00F2459B" w:rsidRDefault="00B0654C">
      <w:r w:rsidRPr="00F2459B">
        <w:t>Utskottet hemställer</w:t>
      </w:r>
    </w:p>
    <w:p w:rsidR="00B0654C" w:rsidRPr="00F2459B" w:rsidRDefault="00B0654C">
      <w:pPr>
        <w:pStyle w:val="hembetr"/>
      </w:pPr>
      <w:r w:rsidRPr="00F2459B">
        <w:t xml:space="preserve">beträffande </w:t>
      </w:r>
      <w:r w:rsidRPr="00F2459B">
        <w:rPr>
          <w:i/>
        </w:rPr>
        <w:t>utvidgning av lagen om europeiska företagsråd</w:t>
      </w:r>
    </w:p>
    <w:p w:rsidR="00B0654C" w:rsidRPr="00F2459B" w:rsidRDefault="00B0654C">
      <w:pPr>
        <w:pStyle w:val="hemtext"/>
      </w:pPr>
      <w:r w:rsidRPr="00F2459B">
        <w:t>att riksdagen antar det i propositionen enligt bilaga framlagda försl</w:t>
      </w:r>
      <w:r w:rsidRPr="00F2459B">
        <w:t>a</w:t>
      </w:r>
      <w:r w:rsidRPr="00F2459B">
        <w:t xml:space="preserve">get till lag om ändring i lagen (1996:359) om europeiska företagsråd.       </w:t>
      </w:r>
      <w:bookmarkStart w:id="25" w:name="RESPARTI001"/>
      <w:bookmarkEnd w:id="25"/>
    </w:p>
    <w:p w:rsidR="00B0654C" w:rsidRPr="00F2459B" w:rsidRDefault="00B0654C">
      <w:pPr>
        <w:pStyle w:val="Stockholm"/>
      </w:pPr>
      <w:r w:rsidRPr="00F2459B">
        <w:t>Stockholm den 16 november 1999</w:t>
      </w:r>
    </w:p>
    <w:p w:rsidR="00B0654C" w:rsidRPr="00F2459B" w:rsidRDefault="00B0654C">
      <w:pPr>
        <w:pStyle w:val="Vgnar"/>
      </w:pPr>
      <w:r w:rsidRPr="00F2459B">
        <w:t>På arbetsmarknadsutskottets vägnar</w:t>
      </w:r>
    </w:p>
    <w:p w:rsidR="00B0654C" w:rsidRPr="00F2459B" w:rsidRDefault="00B0654C">
      <w:pPr>
        <w:pStyle w:val="Ordfnamn"/>
      </w:pPr>
      <w:bookmarkStart w:id="26" w:name="Ordförande"/>
      <w:bookmarkEnd w:id="26"/>
      <w:r w:rsidRPr="00F2459B">
        <w:t xml:space="preserve">Johnny Ahlqvist </w:t>
      </w:r>
    </w:p>
    <w:p w:rsidR="00B0654C" w:rsidRPr="00F2459B" w:rsidRDefault="00B0654C">
      <w:pPr>
        <w:pStyle w:val="Deltagare"/>
      </w:pPr>
      <w:bookmarkStart w:id="27" w:name="Deltagare"/>
      <w:bookmarkEnd w:id="27"/>
      <w:r w:rsidRPr="00F2459B">
        <w:t>I beslutet har deltagit: Johnny Ahlqvist (s), Hans Andersson (v), Margareta Andersson (c), Mikael Odenberg (m), Björn Kaaling (s), Martin Nilsson (s), Stefan Attefall (kd), Laila Bjurling (s), Patrik Norinder (m), Camilla Sköld Jansson (v), Christel Anderberg (m), Barbro Feltzing (mp), Elver Jonsson (fp), Anders Karlsson (s), Henrik Westman (m), Cinnika Beiming (s) och Rosita Runegrund (kd).</w:t>
      </w:r>
    </w:p>
    <w:p w:rsidR="00B0654C" w:rsidRPr="00F2459B" w:rsidRDefault="00B0654C">
      <w:pPr>
        <w:pStyle w:val="Normaltindrag"/>
        <w:sectPr w:rsidR="00000000" w:rsidRPr="00F2459B">
          <w:headerReference w:type="default" r:id="rId9"/>
          <w:footerReference w:type="default" r:id="rId10"/>
          <w:pgSz w:w="11906" w:h="16838" w:code="9"/>
          <w:pgMar w:top="567" w:right="4876" w:bottom="4508" w:left="1134" w:header="227" w:footer="227" w:gutter="0"/>
          <w:cols w:space="720"/>
        </w:sectPr>
      </w:pPr>
    </w:p>
    <w:p w:rsidR="00B0654C" w:rsidRPr="00F2459B" w:rsidRDefault="00B0654C">
      <w:pPr>
        <w:pStyle w:val="Rubrik2"/>
        <w:spacing w:before="0" w:after="360"/>
      </w:pPr>
      <w:bookmarkStart w:id="28" w:name="_Toc467483058"/>
      <w:r w:rsidRPr="00F2459B">
        <w:t>Förslag till lag om ändring i lagen (1996:359) om europeiska företagsråd</w:t>
      </w:r>
      <w:bookmarkEnd w:id="28"/>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F2459B">
        <w:tblPrEx>
          <w:tblCellMar>
            <w:top w:w="0" w:type="dxa"/>
            <w:bottom w:w="0" w:type="dxa"/>
          </w:tblCellMar>
        </w:tblPrEx>
        <w:trPr>
          <w:cantSplit/>
        </w:trPr>
        <w:tc>
          <w:tcPr>
            <w:tcW w:w="6036" w:type="dxa"/>
            <w:gridSpan w:val="2"/>
          </w:tcPr>
          <w:p w:rsidR="00B0654C" w:rsidRPr="00F2459B" w:rsidRDefault="00B0654C">
            <w:pPr>
              <w:pStyle w:val="Lagtext"/>
              <w:rPr>
                <w:snapToGrid w:val="0"/>
                <w:lang w:eastAsia="sv-SE"/>
              </w:rPr>
            </w:pPr>
            <w:r w:rsidRPr="00F2459B">
              <w:rPr>
                <w:snapToGrid w:val="0"/>
                <w:lang w:eastAsia="sv-SE"/>
              </w:rPr>
              <w:t>Härigenom föreskrivs</w:t>
            </w:r>
            <w:r w:rsidRPr="00F2459B">
              <w:rPr>
                <w:rStyle w:val="Fotnotsreferens"/>
              </w:rPr>
              <w:t>1</w:t>
            </w:r>
            <w:r w:rsidRPr="00F2459B">
              <w:rPr>
                <w:snapToGrid w:val="0"/>
                <w:sz w:val="16"/>
                <w:lang w:eastAsia="sv-SE"/>
              </w:rPr>
              <w:t xml:space="preserve"> </w:t>
            </w:r>
            <w:r w:rsidRPr="00F2459B">
              <w:rPr>
                <w:snapToGrid w:val="0"/>
                <w:lang w:eastAsia="sv-SE"/>
              </w:rPr>
              <w:t>i fråga om lagen (1996:359) om europeiska företag</w:t>
            </w:r>
            <w:r w:rsidRPr="00F2459B">
              <w:rPr>
                <w:snapToGrid w:val="0"/>
                <w:lang w:eastAsia="sv-SE"/>
              </w:rPr>
              <w:t>s</w:t>
            </w:r>
            <w:r w:rsidRPr="00F2459B">
              <w:rPr>
                <w:snapToGrid w:val="0"/>
                <w:lang w:eastAsia="sv-SE"/>
              </w:rPr>
              <w:t>råd</w:t>
            </w:r>
          </w:p>
          <w:p w:rsidR="00B0654C" w:rsidRPr="00F2459B" w:rsidRDefault="00B0654C">
            <w:pPr>
              <w:pStyle w:val="Lagtext"/>
              <w:rPr>
                <w:snapToGrid w:val="0"/>
                <w:lang w:eastAsia="sv-SE"/>
              </w:rPr>
            </w:pPr>
            <w:r w:rsidRPr="00F2459B">
              <w:rPr>
                <w:rFonts w:ascii="TimesNewRoman,Italic" w:hAnsi="TimesNewRoman,Italic"/>
                <w:i/>
                <w:snapToGrid w:val="0"/>
                <w:lang w:eastAsia="sv-SE"/>
              </w:rPr>
              <w:t xml:space="preserve">dels </w:t>
            </w:r>
            <w:r w:rsidRPr="00F2459B">
              <w:rPr>
                <w:snapToGrid w:val="0"/>
                <w:lang w:eastAsia="sv-SE"/>
              </w:rPr>
              <w:t>att 3, 6, 7 och 23 §§ skall ha följande lydelse,</w:t>
            </w:r>
          </w:p>
          <w:p w:rsidR="00B0654C" w:rsidRPr="00F2459B" w:rsidRDefault="00B0654C">
            <w:pPr>
              <w:pStyle w:val="Lagtext"/>
            </w:pPr>
            <w:r w:rsidRPr="00F2459B">
              <w:rPr>
                <w:rFonts w:ascii="TimesNewRoman,Italic" w:hAnsi="TimesNewRoman,Italic"/>
                <w:i/>
                <w:snapToGrid w:val="0"/>
                <w:lang w:eastAsia="sv-SE"/>
              </w:rPr>
              <w:t xml:space="preserve">dels </w:t>
            </w:r>
            <w:r w:rsidRPr="00F2459B">
              <w:rPr>
                <w:snapToGrid w:val="0"/>
                <w:lang w:eastAsia="sv-SE"/>
              </w:rPr>
              <w:t xml:space="preserve">att det i lagen skall införas tre nya paragrafer, 6 a–6 c §§, av följande </w:t>
            </w:r>
            <w:r w:rsidRPr="00F2459B">
              <w:t>lydelse.</w:t>
            </w:r>
          </w:p>
        </w:tc>
      </w:tr>
      <w:tr w:rsidR="00000000" w:rsidRPr="00F2459B">
        <w:tblPrEx>
          <w:tblCellMar>
            <w:top w:w="0" w:type="dxa"/>
            <w:bottom w:w="0" w:type="dxa"/>
          </w:tblCellMar>
        </w:tblPrEx>
        <w:tc>
          <w:tcPr>
            <w:tcW w:w="3018" w:type="dxa"/>
          </w:tcPr>
          <w:p w:rsidR="00B0654C" w:rsidRPr="00F2459B" w:rsidRDefault="00B0654C">
            <w:pPr>
              <w:pStyle w:val="Lagtext"/>
              <w:spacing w:before="120"/>
              <w:rPr>
                <w:i/>
              </w:rPr>
            </w:pPr>
            <w:r w:rsidRPr="00F2459B">
              <w:rPr>
                <w:i/>
              </w:rPr>
              <w:t>Nuvarande lydelse</w:t>
            </w:r>
          </w:p>
        </w:tc>
        <w:tc>
          <w:tcPr>
            <w:tcW w:w="3018" w:type="dxa"/>
          </w:tcPr>
          <w:p w:rsidR="00B0654C" w:rsidRPr="00F2459B" w:rsidRDefault="00B0654C">
            <w:pPr>
              <w:pStyle w:val="Lagtext"/>
              <w:spacing w:before="120"/>
              <w:rPr>
                <w:i/>
              </w:rPr>
            </w:pPr>
            <w:r w:rsidRPr="00F2459B">
              <w:rPr>
                <w:i/>
              </w:rPr>
              <w:t>Föreslagen lydelse</w:t>
            </w:r>
          </w:p>
        </w:tc>
      </w:tr>
      <w:tr w:rsidR="00000000" w:rsidRPr="00F2459B">
        <w:tblPrEx>
          <w:tblCellMar>
            <w:top w:w="0" w:type="dxa"/>
            <w:bottom w:w="0" w:type="dxa"/>
          </w:tblCellMar>
        </w:tblPrEx>
        <w:trPr>
          <w:cantSplit/>
        </w:trPr>
        <w:tc>
          <w:tcPr>
            <w:tcW w:w="6036" w:type="dxa"/>
            <w:gridSpan w:val="2"/>
          </w:tcPr>
          <w:p w:rsidR="00B0654C" w:rsidRPr="00F2459B" w:rsidRDefault="00B0654C">
            <w:pPr>
              <w:pStyle w:val="Lagtext"/>
              <w:spacing w:before="120" w:after="120"/>
              <w:jc w:val="center"/>
              <w:rPr>
                <w:i/>
              </w:rPr>
            </w:pPr>
            <w:r w:rsidRPr="00F2459B">
              <w:rPr>
                <w:snapToGrid w:val="0"/>
                <w:lang w:eastAsia="sv-SE"/>
              </w:rPr>
              <w:t>3 §</w:t>
            </w:r>
          </w:p>
        </w:tc>
      </w:tr>
      <w:tr w:rsidR="00000000" w:rsidRPr="00F2459B">
        <w:tblPrEx>
          <w:tblCellMar>
            <w:top w:w="0" w:type="dxa"/>
            <w:bottom w:w="0" w:type="dxa"/>
          </w:tblCellMar>
        </w:tblPrEx>
        <w:tc>
          <w:tcPr>
            <w:tcW w:w="3018" w:type="dxa"/>
          </w:tcPr>
          <w:p w:rsidR="00B0654C" w:rsidRPr="00F2459B" w:rsidRDefault="00B0654C">
            <w:pPr>
              <w:pStyle w:val="LagtextIndrag"/>
              <w:rPr>
                <w:snapToGrid w:val="0"/>
                <w:lang w:eastAsia="sv-SE"/>
              </w:rPr>
            </w:pPr>
            <w:r w:rsidRPr="00F2459B">
              <w:rPr>
                <w:snapToGrid w:val="0"/>
                <w:lang w:eastAsia="sv-SE"/>
              </w:rPr>
              <w:t>I denna lag avses med</w:t>
            </w:r>
          </w:p>
          <w:p w:rsidR="00B0654C" w:rsidRPr="00F2459B" w:rsidRDefault="00B0654C">
            <w:pPr>
              <w:pStyle w:val="LagtextIndrag"/>
              <w:rPr>
                <w:i/>
              </w:rPr>
            </w:pPr>
            <w:r w:rsidRPr="00F2459B">
              <w:rPr>
                <w:snapToGrid w:val="0"/>
                <w:lang w:eastAsia="sv-SE"/>
              </w:rPr>
              <w:t xml:space="preserve">– </w:t>
            </w:r>
            <w:r w:rsidRPr="00F2459B">
              <w:rPr>
                <w:i/>
                <w:snapToGrid w:val="0"/>
                <w:u w:val="single"/>
                <w:lang w:eastAsia="sv-SE"/>
              </w:rPr>
              <w:t>EES-länder</w:t>
            </w:r>
            <w:r w:rsidRPr="00F2459B">
              <w:rPr>
                <w:snapToGrid w:val="0"/>
                <w:lang w:eastAsia="sv-SE"/>
              </w:rPr>
              <w:t>: staterna i Europei</w:t>
            </w:r>
            <w:r w:rsidRPr="00F2459B">
              <w:rPr>
                <w:snapToGrid w:val="0"/>
                <w:lang w:eastAsia="sv-SE"/>
              </w:rPr>
              <w:t>s</w:t>
            </w:r>
            <w:r w:rsidRPr="00F2459B">
              <w:rPr>
                <w:snapToGrid w:val="0"/>
                <w:lang w:eastAsia="sv-SE"/>
              </w:rPr>
              <w:t xml:space="preserve">ka unionen, </w:t>
            </w:r>
            <w:r w:rsidRPr="00F2459B">
              <w:rPr>
                <w:i/>
                <w:snapToGrid w:val="0"/>
                <w:lang w:eastAsia="sv-SE"/>
              </w:rPr>
              <w:t>med undantag för Fö</w:t>
            </w:r>
            <w:r w:rsidRPr="00F2459B">
              <w:rPr>
                <w:i/>
                <w:snapToGrid w:val="0"/>
                <w:lang w:eastAsia="sv-SE"/>
              </w:rPr>
              <w:t>r</w:t>
            </w:r>
            <w:r w:rsidRPr="00F2459B">
              <w:rPr>
                <w:i/>
                <w:snapToGrid w:val="0"/>
                <w:lang w:eastAsia="sv-SE"/>
              </w:rPr>
              <w:t xml:space="preserve">enade kungariket Storbritannien och Nordirland, </w:t>
            </w:r>
            <w:r w:rsidRPr="00F2459B">
              <w:rPr>
                <w:snapToGrid w:val="0"/>
                <w:lang w:eastAsia="sv-SE"/>
              </w:rPr>
              <w:t>samt de övriga stater som o</w:t>
            </w:r>
            <w:r w:rsidRPr="00F2459B">
              <w:rPr>
                <w:snapToGrid w:val="0"/>
                <w:lang w:eastAsia="sv-SE"/>
              </w:rPr>
              <w:t>m</w:t>
            </w:r>
            <w:r w:rsidRPr="00F2459B">
              <w:rPr>
                <w:snapToGrid w:val="0"/>
                <w:lang w:eastAsia="sv-SE"/>
              </w:rPr>
              <w:t>fattas av EES-avtalet,</w:t>
            </w:r>
          </w:p>
        </w:tc>
        <w:tc>
          <w:tcPr>
            <w:tcW w:w="3018" w:type="dxa"/>
          </w:tcPr>
          <w:p w:rsidR="00B0654C" w:rsidRPr="00F2459B" w:rsidRDefault="00B0654C">
            <w:pPr>
              <w:pStyle w:val="LagtextIndrag"/>
              <w:rPr>
                <w:snapToGrid w:val="0"/>
                <w:lang w:eastAsia="sv-SE"/>
              </w:rPr>
            </w:pPr>
            <w:r w:rsidRPr="00F2459B">
              <w:rPr>
                <w:snapToGrid w:val="0"/>
                <w:lang w:eastAsia="sv-SE"/>
              </w:rPr>
              <w:t>I denna lag avses med</w:t>
            </w:r>
          </w:p>
          <w:p w:rsidR="00B0654C" w:rsidRPr="00F2459B" w:rsidRDefault="00B0654C">
            <w:pPr>
              <w:pStyle w:val="LagtextIndrag"/>
              <w:rPr>
                <w:snapToGrid w:val="0"/>
                <w:lang w:eastAsia="sv-SE"/>
              </w:rPr>
            </w:pPr>
            <w:r w:rsidRPr="00F2459B">
              <w:rPr>
                <w:snapToGrid w:val="0"/>
                <w:lang w:eastAsia="sv-SE"/>
              </w:rPr>
              <w:t xml:space="preserve">– </w:t>
            </w:r>
            <w:r w:rsidRPr="00F2459B">
              <w:rPr>
                <w:i/>
                <w:snapToGrid w:val="0"/>
                <w:u w:val="single"/>
                <w:lang w:eastAsia="sv-SE"/>
              </w:rPr>
              <w:t>EES-lände</w:t>
            </w:r>
            <w:r w:rsidRPr="00F2459B">
              <w:rPr>
                <w:i/>
                <w:snapToGrid w:val="0"/>
                <w:lang w:eastAsia="sv-SE"/>
              </w:rPr>
              <w:t>r</w:t>
            </w:r>
            <w:r w:rsidRPr="00F2459B">
              <w:rPr>
                <w:snapToGrid w:val="0"/>
                <w:lang w:eastAsia="sv-SE"/>
              </w:rPr>
              <w:t>: staterna i Europei</w:t>
            </w:r>
            <w:r w:rsidRPr="00F2459B">
              <w:rPr>
                <w:snapToGrid w:val="0"/>
                <w:lang w:eastAsia="sv-SE"/>
              </w:rPr>
              <w:t>s</w:t>
            </w:r>
            <w:r w:rsidRPr="00F2459B">
              <w:rPr>
                <w:snapToGrid w:val="0"/>
                <w:lang w:eastAsia="sv-SE"/>
              </w:rPr>
              <w:t>ka unionen samt de övriga stater som omfattas av EES-avtalet,</w:t>
            </w:r>
          </w:p>
          <w:p w:rsidR="00B0654C" w:rsidRPr="00F2459B" w:rsidRDefault="00B0654C">
            <w:pPr>
              <w:pStyle w:val="Lagtext"/>
              <w:rPr>
                <w:i/>
              </w:rPr>
            </w:pPr>
          </w:p>
        </w:tc>
      </w:tr>
      <w:tr w:rsidR="00000000" w:rsidRPr="00F2459B">
        <w:tblPrEx>
          <w:tblCellMar>
            <w:top w:w="0" w:type="dxa"/>
            <w:bottom w:w="0" w:type="dxa"/>
          </w:tblCellMar>
        </w:tblPrEx>
        <w:trPr>
          <w:cantSplit/>
        </w:trPr>
        <w:tc>
          <w:tcPr>
            <w:tcW w:w="6036" w:type="dxa"/>
            <w:gridSpan w:val="2"/>
          </w:tcPr>
          <w:p w:rsidR="00B0654C" w:rsidRPr="00F2459B" w:rsidRDefault="00B0654C">
            <w:pPr>
              <w:pStyle w:val="LagtextIndrag"/>
              <w:rPr>
                <w:snapToGrid w:val="0"/>
                <w:lang w:eastAsia="sv-SE"/>
              </w:rPr>
            </w:pPr>
            <w:r w:rsidRPr="00F2459B">
              <w:rPr>
                <w:snapToGrid w:val="0"/>
                <w:lang w:eastAsia="sv-SE"/>
              </w:rPr>
              <w:t xml:space="preserve">– </w:t>
            </w:r>
            <w:r w:rsidRPr="00F2459B">
              <w:rPr>
                <w:i/>
                <w:snapToGrid w:val="0"/>
                <w:u w:val="single"/>
                <w:lang w:eastAsia="sv-SE"/>
              </w:rPr>
              <w:t>företag</w:t>
            </w:r>
            <w:r w:rsidRPr="00F2459B">
              <w:rPr>
                <w:snapToGrid w:val="0"/>
                <w:u w:val="single"/>
                <w:lang w:eastAsia="sv-SE"/>
              </w:rPr>
              <w:t>:</w:t>
            </w:r>
            <w:r w:rsidRPr="00F2459B">
              <w:rPr>
                <w:snapToGrid w:val="0"/>
                <w:lang w:eastAsia="sv-SE"/>
              </w:rPr>
              <w:t xml:space="preserve"> en ekonomisk verksamhet i privat eller offentlig regi som b</w:t>
            </w:r>
            <w:r w:rsidRPr="00F2459B">
              <w:rPr>
                <w:snapToGrid w:val="0"/>
                <w:lang w:eastAsia="sv-SE"/>
              </w:rPr>
              <w:t>e</w:t>
            </w:r>
            <w:r w:rsidRPr="00F2459B">
              <w:rPr>
                <w:snapToGrid w:val="0"/>
                <w:lang w:eastAsia="sv-SE"/>
              </w:rPr>
              <w:t>drivs av en fysisk eller en juridisk person,</w:t>
            </w:r>
          </w:p>
          <w:p w:rsidR="00B0654C" w:rsidRPr="00F2459B" w:rsidRDefault="00B0654C">
            <w:pPr>
              <w:pStyle w:val="LagtextIndrag"/>
              <w:rPr>
                <w:snapToGrid w:val="0"/>
                <w:lang w:eastAsia="sv-SE"/>
              </w:rPr>
            </w:pPr>
            <w:r w:rsidRPr="00F2459B">
              <w:rPr>
                <w:snapToGrid w:val="0"/>
                <w:lang w:eastAsia="sv-SE"/>
              </w:rPr>
              <w:t xml:space="preserve">– </w:t>
            </w:r>
            <w:r w:rsidRPr="00F2459B">
              <w:rPr>
                <w:i/>
                <w:snapToGrid w:val="0"/>
                <w:u w:val="single"/>
                <w:lang w:eastAsia="sv-SE"/>
              </w:rPr>
              <w:t>gemenskapsföretag</w:t>
            </w:r>
            <w:r w:rsidRPr="00F2459B">
              <w:rPr>
                <w:snapToGrid w:val="0"/>
                <w:lang w:eastAsia="sv-SE"/>
              </w:rPr>
              <w:t>: ett företag som har ver</w:t>
            </w:r>
            <w:r w:rsidRPr="00F2459B">
              <w:rPr>
                <w:snapToGrid w:val="0"/>
                <w:lang w:eastAsia="sv-SE"/>
              </w:rPr>
              <w:t>k</w:t>
            </w:r>
            <w:r w:rsidRPr="00F2459B">
              <w:rPr>
                <w:snapToGrid w:val="0"/>
                <w:lang w:eastAsia="sv-SE"/>
              </w:rPr>
              <w:t>samhet i minst två EES-länder,</w:t>
            </w:r>
          </w:p>
          <w:p w:rsidR="00B0654C" w:rsidRPr="00F2459B" w:rsidRDefault="00B0654C">
            <w:pPr>
              <w:pStyle w:val="LagtextIndrag"/>
              <w:rPr>
                <w:snapToGrid w:val="0"/>
                <w:lang w:eastAsia="sv-SE"/>
              </w:rPr>
            </w:pPr>
            <w:r w:rsidRPr="00F2459B">
              <w:rPr>
                <w:snapToGrid w:val="0"/>
                <w:lang w:eastAsia="sv-SE"/>
              </w:rPr>
              <w:t xml:space="preserve">– </w:t>
            </w:r>
            <w:r w:rsidRPr="00F2459B">
              <w:rPr>
                <w:i/>
                <w:snapToGrid w:val="0"/>
                <w:u w:val="single"/>
                <w:lang w:eastAsia="sv-SE"/>
              </w:rPr>
              <w:t>kontrollerande företag</w:t>
            </w:r>
            <w:r w:rsidRPr="00F2459B">
              <w:rPr>
                <w:snapToGrid w:val="0"/>
                <w:lang w:eastAsia="sv-SE"/>
              </w:rPr>
              <w:t>: ett företag som utövar ett bestämmande inflyta</w:t>
            </w:r>
            <w:r w:rsidRPr="00F2459B">
              <w:rPr>
                <w:snapToGrid w:val="0"/>
                <w:lang w:eastAsia="sv-SE"/>
              </w:rPr>
              <w:t>n</w:t>
            </w:r>
            <w:r w:rsidRPr="00F2459B">
              <w:rPr>
                <w:snapToGrid w:val="0"/>
                <w:lang w:eastAsia="sv-SE"/>
              </w:rPr>
              <w:t>de över ett annat företag, det kontrollerade företaget,</w:t>
            </w:r>
          </w:p>
          <w:p w:rsidR="00B0654C" w:rsidRPr="00F2459B" w:rsidRDefault="00B0654C">
            <w:pPr>
              <w:pStyle w:val="LagtextIndrag"/>
              <w:rPr>
                <w:i/>
              </w:rPr>
            </w:pPr>
            <w:r w:rsidRPr="00F2459B">
              <w:rPr>
                <w:snapToGrid w:val="0"/>
                <w:lang w:eastAsia="sv-SE"/>
              </w:rPr>
              <w:t xml:space="preserve">– </w:t>
            </w:r>
            <w:r w:rsidRPr="00F2459B">
              <w:rPr>
                <w:i/>
                <w:snapToGrid w:val="0"/>
                <w:u w:val="single"/>
                <w:lang w:eastAsia="sv-SE"/>
              </w:rPr>
              <w:t>företagsgrupp</w:t>
            </w:r>
            <w:r w:rsidRPr="00F2459B">
              <w:rPr>
                <w:snapToGrid w:val="0"/>
                <w:lang w:eastAsia="sv-SE"/>
              </w:rPr>
              <w:t>: en grupp av företag, som har f</w:t>
            </w:r>
            <w:r w:rsidRPr="00F2459B">
              <w:rPr>
                <w:snapToGrid w:val="0"/>
                <w:lang w:eastAsia="sv-SE"/>
              </w:rPr>
              <w:t>ö</w:t>
            </w:r>
            <w:r w:rsidRPr="00F2459B">
              <w:rPr>
                <w:snapToGrid w:val="0"/>
                <w:lang w:eastAsia="sv-SE"/>
              </w:rPr>
              <w:t>retag i minst två EES-länder, där ett kontrollerande företag och minst ett ko</w:t>
            </w:r>
            <w:r w:rsidRPr="00F2459B">
              <w:rPr>
                <w:snapToGrid w:val="0"/>
                <w:lang w:eastAsia="sv-SE"/>
              </w:rPr>
              <w:t>n</w:t>
            </w:r>
            <w:r w:rsidRPr="00F2459B">
              <w:rPr>
                <w:snapToGrid w:val="0"/>
                <w:lang w:eastAsia="sv-SE"/>
              </w:rPr>
              <w:t>trollerat företag ingår.</w:t>
            </w:r>
          </w:p>
        </w:tc>
      </w:tr>
      <w:tr w:rsidR="00000000" w:rsidRPr="00F2459B">
        <w:tblPrEx>
          <w:tblCellMar>
            <w:top w:w="0" w:type="dxa"/>
            <w:bottom w:w="0" w:type="dxa"/>
          </w:tblCellMar>
        </w:tblPrEx>
        <w:trPr>
          <w:cantSplit/>
        </w:trPr>
        <w:tc>
          <w:tcPr>
            <w:tcW w:w="6036" w:type="dxa"/>
            <w:gridSpan w:val="2"/>
          </w:tcPr>
          <w:p w:rsidR="00B0654C" w:rsidRPr="00F2459B" w:rsidRDefault="00B0654C">
            <w:pPr>
              <w:pStyle w:val="Lagtext"/>
              <w:spacing w:before="120" w:after="120"/>
              <w:jc w:val="center"/>
            </w:pPr>
            <w:r w:rsidRPr="00F2459B">
              <w:t>6 §</w:t>
            </w:r>
          </w:p>
        </w:tc>
      </w:tr>
      <w:tr w:rsidR="00000000" w:rsidRPr="00F2459B">
        <w:tblPrEx>
          <w:tblCellMar>
            <w:top w:w="0" w:type="dxa"/>
            <w:bottom w:w="0" w:type="dxa"/>
          </w:tblCellMar>
        </w:tblPrEx>
        <w:tc>
          <w:tcPr>
            <w:tcW w:w="3018" w:type="dxa"/>
          </w:tcPr>
          <w:p w:rsidR="00B0654C" w:rsidRPr="00F2459B" w:rsidRDefault="00B0654C">
            <w:pPr>
              <w:pStyle w:val="LagtextIndrag"/>
              <w:rPr>
                <w:snapToGrid w:val="0"/>
                <w:lang w:eastAsia="sv-SE"/>
              </w:rPr>
            </w:pPr>
            <w:r w:rsidRPr="00F2459B">
              <w:rPr>
                <w:snapToGrid w:val="0"/>
                <w:lang w:eastAsia="sv-SE"/>
              </w:rPr>
              <w:t xml:space="preserve">I fråga om gemenskapsföretag eller företagsgrupper där det </w:t>
            </w:r>
            <w:r w:rsidRPr="00F2459B">
              <w:rPr>
                <w:i/>
                <w:snapToGrid w:val="0"/>
                <w:lang w:eastAsia="sv-SE"/>
              </w:rPr>
              <w:t xml:space="preserve">vid tiden för lagens ikraftträdande finns </w:t>
            </w:r>
            <w:r w:rsidRPr="00F2459B">
              <w:rPr>
                <w:snapToGrid w:val="0"/>
                <w:lang w:eastAsia="sv-SE"/>
              </w:rPr>
              <w:t>gällande avtal om gränsöverskridande info</w:t>
            </w:r>
            <w:r w:rsidRPr="00F2459B">
              <w:rPr>
                <w:snapToGrid w:val="0"/>
                <w:lang w:eastAsia="sv-SE"/>
              </w:rPr>
              <w:t>r</w:t>
            </w:r>
            <w:r w:rsidRPr="00F2459B">
              <w:rPr>
                <w:snapToGrid w:val="0"/>
                <w:lang w:eastAsia="sv-SE"/>
              </w:rPr>
              <w:t>mation till och samråd med arbetst</w:t>
            </w:r>
            <w:r w:rsidRPr="00F2459B">
              <w:rPr>
                <w:snapToGrid w:val="0"/>
                <w:lang w:eastAsia="sv-SE"/>
              </w:rPr>
              <w:t>a</w:t>
            </w:r>
            <w:r w:rsidRPr="00F2459B">
              <w:rPr>
                <w:snapToGrid w:val="0"/>
                <w:lang w:eastAsia="sv-SE"/>
              </w:rPr>
              <w:t xml:space="preserve">gare och som </w:t>
            </w:r>
            <w:r w:rsidRPr="00F2459B">
              <w:rPr>
                <w:i/>
                <w:snapToGrid w:val="0"/>
                <w:lang w:eastAsia="sv-SE"/>
              </w:rPr>
              <w:t>omfattar</w:t>
            </w:r>
            <w:r w:rsidRPr="00F2459B">
              <w:rPr>
                <w:snapToGrid w:val="0"/>
                <w:lang w:eastAsia="sv-SE"/>
              </w:rPr>
              <w:t xml:space="preserve"> alla geme</w:t>
            </w:r>
            <w:r w:rsidRPr="00F2459B">
              <w:rPr>
                <w:snapToGrid w:val="0"/>
                <w:lang w:eastAsia="sv-SE"/>
              </w:rPr>
              <w:t>n</w:t>
            </w:r>
            <w:r w:rsidRPr="00F2459B">
              <w:rPr>
                <w:snapToGrid w:val="0"/>
                <w:lang w:eastAsia="sv-SE"/>
              </w:rPr>
              <w:t>skapsföretagets eller företagsgru</w:t>
            </w:r>
            <w:r w:rsidRPr="00F2459B">
              <w:rPr>
                <w:snapToGrid w:val="0"/>
                <w:lang w:eastAsia="sv-SE"/>
              </w:rPr>
              <w:t>p</w:t>
            </w:r>
            <w:r w:rsidRPr="00F2459B">
              <w:rPr>
                <w:snapToGrid w:val="0"/>
                <w:lang w:eastAsia="sv-SE"/>
              </w:rPr>
              <w:t>pens arbetstagare i EES-länderna, gäller endast 39–41 §§.</w:t>
            </w:r>
          </w:p>
          <w:p w:rsidR="00B0654C" w:rsidRPr="00F2459B" w:rsidRDefault="00B0654C">
            <w:pPr>
              <w:pStyle w:val="LagtextIndrag"/>
              <w:rPr>
                <w:i/>
              </w:rPr>
            </w:pPr>
            <w:r w:rsidRPr="00F2459B">
              <w:rPr>
                <w:i/>
                <w:lang w:eastAsia="sv-SE"/>
              </w:rPr>
              <w:t>När ett sådant avtal löper ut skall lagen tillämpas i sin helhet. Om avtalet förnyas gäller dock fortfara</w:t>
            </w:r>
            <w:r w:rsidRPr="00F2459B">
              <w:rPr>
                <w:i/>
                <w:lang w:eastAsia="sv-SE"/>
              </w:rPr>
              <w:t>n</w:t>
            </w:r>
            <w:r w:rsidRPr="00F2459B">
              <w:rPr>
                <w:i/>
                <w:lang w:eastAsia="sv-SE"/>
              </w:rPr>
              <w:t>de endast dock 39–41 §§.</w:t>
            </w:r>
          </w:p>
        </w:tc>
        <w:tc>
          <w:tcPr>
            <w:tcW w:w="3018" w:type="dxa"/>
          </w:tcPr>
          <w:p w:rsidR="00B0654C" w:rsidRPr="00F2459B" w:rsidRDefault="00B0654C">
            <w:pPr>
              <w:pStyle w:val="LagtextIndrag"/>
              <w:rPr>
                <w:i/>
              </w:rPr>
            </w:pPr>
            <w:r w:rsidRPr="00F2459B">
              <w:rPr>
                <w:snapToGrid w:val="0"/>
                <w:lang w:eastAsia="sv-SE"/>
              </w:rPr>
              <w:t xml:space="preserve">I fråga om gemenskapsföretag eller företagsgrupper där det </w:t>
            </w:r>
            <w:r w:rsidRPr="00F2459B">
              <w:rPr>
                <w:i/>
                <w:snapToGrid w:val="0"/>
                <w:lang w:eastAsia="sv-SE"/>
              </w:rPr>
              <w:t xml:space="preserve">senast den 22 september 1996 fanns ett </w:t>
            </w:r>
            <w:r w:rsidRPr="00F2459B">
              <w:rPr>
                <w:snapToGrid w:val="0"/>
                <w:lang w:eastAsia="sv-SE"/>
              </w:rPr>
              <w:t>gällande avtal om gränsöverskridande info</w:t>
            </w:r>
            <w:r w:rsidRPr="00F2459B">
              <w:rPr>
                <w:snapToGrid w:val="0"/>
                <w:lang w:eastAsia="sv-SE"/>
              </w:rPr>
              <w:t>r</w:t>
            </w:r>
            <w:r w:rsidRPr="00F2459B">
              <w:rPr>
                <w:snapToGrid w:val="0"/>
                <w:lang w:eastAsia="sv-SE"/>
              </w:rPr>
              <w:t>mation till och samråd med arbetst</w:t>
            </w:r>
            <w:r w:rsidRPr="00F2459B">
              <w:rPr>
                <w:snapToGrid w:val="0"/>
                <w:lang w:eastAsia="sv-SE"/>
              </w:rPr>
              <w:t>a</w:t>
            </w:r>
            <w:r w:rsidRPr="00F2459B">
              <w:rPr>
                <w:snapToGrid w:val="0"/>
                <w:lang w:eastAsia="sv-SE"/>
              </w:rPr>
              <w:t xml:space="preserve">gare och som </w:t>
            </w:r>
            <w:r w:rsidRPr="00F2459B">
              <w:rPr>
                <w:i/>
                <w:snapToGrid w:val="0"/>
                <w:lang w:eastAsia="sv-SE"/>
              </w:rPr>
              <w:t xml:space="preserve">omfattade </w:t>
            </w:r>
            <w:r w:rsidRPr="00F2459B">
              <w:rPr>
                <w:snapToGrid w:val="0"/>
                <w:lang w:eastAsia="sv-SE"/>
              </w:rPr>
              <w:t>alla geme</w:t>
            </w:r>
            <w:r w:rsidRPr="00F2459B">
              <w:rPr>
                <w:snapToGrid w:val="0"/>
                <w:lang w:eastAsia="sv-SE"/>
              </w:rPr>
              <w:t>n</w:t>
            </w:r>
            <w:r w:rsidRPr="00F2459B">
              <w:rPr>
                <w:snapToGrid w:val="0"/>
                <w:lang w:eastAsia="sv-SE"/>
              </w:rPr>
              <w:t>skapsföretagets eller företagsgru</w:t>
            </w:r>
            <w:r w:rsidRPr="00F2459B">
              <w:rPr>
                <w:snapToGrid w:val="0"/>
                <w:lang w:eastAsia="sv-SE"/>
              </w:rPr>
              <w:t>p</w:t>
            </w:r>
            <w:r w:rsidRPr="00F2459B">
              <w:rPr>
                <w:snapToGrid w:val="0"/>
                <w:lang w:eastAsia="sv-SE"/>
              </w:rPr>
              <w:t xml:space="preserve">pens arbetstagare i EES-länderna </w:t>
            </w:r>
            <w:r w:rsidRPr="00F2459B">
              <w:rPr>
                <w:i/>
                <w:snapToGrid w:val="0"/>
                <w:lang w:eastAsia="sv-SE"/>
              </w:rPr>
              <w:t>med undantag för Förenade kungar</w:t>
            </w:r>
            <w:r w:rsidRPr="00F2459B">
              <w:rPr>
                <w:i/>
                <w:snapToGrid w:val="0"/>
                <w:lang w:eastAsia="sv-SE"/>
              </w:rPr>
              <w:t>i</w:t>
            </w:r>
            <w:r w:rsidRPr="00F2459B">
              <w:rPr>
                <w:i/>
                <w:snapToGrid w:val="0"/>
                <w:lang w:eastAsia="sv-SE"/>
              </w:rPr>
              <w:t>ket Storbritannien och Nordirland</w:t>
            </w:r>
            <w:r w:rsidRPr="00F2459B">
              <w:rPr>
                <w:snapToGrid w:val="0"/>
                <w:lang w:eastAsia="sv-SE"/>
              </w:rPr>
              <w:t>, gäller endast 39–41 §§.</w:t>
            </w:r>
          </w:p>
        </w:tc>
      </w:tr>
    </w:tbl>
    <w:p w:rsidR="00B0654C" w:rsidRPr="00F2459B" w:rsidRDefault="00B0654C"/>
    <w:p w:rsidR="00B0654C" w:rsidRPr="00F2459B" w:rsidRDefault="00B0654C"/>
    <w:p w:rsidR="00B0654C" w:rsidRPr="00F2459B" w:rsidRDefault="00B0654C">
      <w:pPr>
        <w:pStyle w:val="Normaltindrag"/>
      </w:pPr>
    </w:p>
    <w:p w:rsidR="00B0654C" w:rsidRPr="00F2459B" w:rsidRDefault="00B0654C">
      <w:pPr>
        <w:pStyle w:val="Normaltindrag"/>
      </w:pPr>
    </w:p>
    <w:p w:rsidR="00B0654C" w:rsidRPr="00F2459B" w:rsidRDefault="00B0654C">
      <w:pPr>
        <w:pStyle w:val="Normaltindrag"/>
      </w:pPr>
    </w:p>
    <w:p w:rsidR="00B0654C" w:rsidRPr="00F2459B" w:rsidRDefault="00B0654C">
      <w:pPr>
        <w:pStyle w:val="Normaltindrag"/>
      </w:pPr>
    </w:p>
    <w:p w:rsidR="00B0654C" w:rsidRPr="00F2459B" w:rsidRDefault="00B0654C">
      <w:pPr>
        <w:pStyle w:val="Fotnotstext"/>
      </w:pPr>
      <w:r w:rsidRPr="00F2459B">
        <w:rPr>
          <w:rStyle w:val="Fotnotsreferens"/>
        </w:rPr>
        <w:t xml:space="preserve">1 </w:t>
      </w:r>
      <w:r w:rsidRPr="00F2459B">
        <w:rPr>
          <w:snapToGrid w:val="0"/>
          <w:lang w:eastAsia="sv-SE"/>
        </w:rPr>
        <w:t>Jfr rådets direktiv 97/74/EG av den 15 december 1997 om att utvidga rådets direktiv 94/45/EG om inrättandet av ett europeiskt företagsråd eller ett förfarande i geme</w:t>
      </w:r>
      <w:r w:rsidRPr="00F2459B">
        <w:rPr>
          <w:snapToGrid w:val="0"/>
          <w:lang w:eastAsia="sv-SE"/>
        </w:rPr>
        <w:t>n</w:t>
      </w:r>
      <w:r w:rsidRPr="00F2459B">
        <w:rPr>
          <w:snapToGrid w:val="0"/>
          <w:lang w:eastAsia="sv-SE"/>
        </w:rPr>
        <w:t>skapsföretag och grupper av gemenskapsföretag för information till och samråd med arbetstagare, till att avse Förenade kungariket (EGT L 10, 16.1.1998, s. 22, Celex 397L0074).</w:t>
      </w:r>
      <w:r w:rsidRPr="00F2459B">
        <w:rPr>
          <w:rStyle w:val="Fotnotsreferens"/>
        </w:rPr>
        <w:t xml:space="preserve"> </w:t>
      </w:r>
    </w:p>
    <w:tbl>
      <w:tblPr>
        <w:tblW w:w="0" w:type="auto"/>
        <w:tblInd w:w="-142" w:type="dxa"/>
        <w:tblLayout w:type="fixed"/>
        <w:tblCellMar>
          <w:left w:w="113" w:type="dxa"/>
          <w:right w:w="113" w:type="dxa"/>
        </w:tblCellMar>
        <w:tblLook w:val="0000" w:firstRow="0" w:lastRow="0" w:firstColumn="0" w:lastColumn="0" w:noHBand="0" w:noVBand="0"/>
      </w:tblPr>
      <w:tblGrid>
        <w:gridCol w:w="29"/>
        <w:gridCol w:w="3062"/>
        <w:gridCol w:w="3018"/>
        <w:gridCol w:w="45"/>
      </w:tblGrid>
      <w:tr w:rsidR="00000000" w:rsidRPr="00F2459B">
        <w:tblPrEx>
          <w:tblCellMar>
            <w:top w:w="0" w:type="dxa"/>
            <w:bottom w:w="0" w:type="dxa"/>
          </w:tblCellMar>
        </w:tblPrEx>
        <w:trPr>
          <w:gridBefore w:val="1"/>
          <w:wBefore w:w="29" w:type="dxa"/>
          <w:tblHeader/>
        </w:trPr>
        <w:tc>
          <w:tcPr>
            <w:tcW w:w="3062" w:type="dxa"/>
          </w:tcPr>
          <w:p w:rsidR="00B0654C" w:rsidRPr="00F2459B" w:rsidRDefault="00B0654C">
            <w:pPr>
              <w:pStyle w:val="LagtextRubrik"/>
              <w:rPr>
                <w:i/>
              </w:rPr>
            </w:pPr>
            <w:r w:rsidRPr="00F2459B">
              <w:rPr>
                <w:i/>
              </w:rPr>
              <w:t>Nuvarande lydelse</w:t>
            </w:r>
          </w:p>
        </w:tc>
        <w:tc>
          <w:tcPr>
            <w:tcW w:w="3062" w:type="dxa"/>
            <w:gridSpan w:val="2"/>
          </w:tcPr>
          <w:p w:rsidR="00B0654C" w:rsidRPr="00F2459B" w:rsidRDefault="00B0654C">
            <w:pPr>
              <w:pStyle w:val="LagtextRubrik"/>
              <w:spacing w:after="60"/>
              <w:rPr>
                <w:i/>
              </w:rPr>
            </w:pPr>
            <w:r w:rsidRPr="00F2459B">
              <w:rPr>
                <w:i/>
              </w:rPr>
              <w:t>Föreslagen lydelse</w:t>
            </w:r>
          </w:p>
        </w:tc>
      </w:tr>
      <w:tr w:rsidR="00000000" w:rsidRPr="00F2459B">
        <w:tblPrEx>
          <w:tblCellMar>
            <w:top w:w="0" w:type="dxa"/>
            <w:left w:w="70" w:type="dxa"/>
            <w:bottom w:w="0" w:type="dxa"/>
            <w:right w:w="70" w:type="dxa"/>
          </w:tblCellMar>
        </w:tblPrEx>
        <w:trPr>
          <w:gridAfter w:val="1"/>
          <w:wAfter w:w="45" w:type="dxa"/>
        </w:trPr>
        <w:tc>
          <w:tcPr>
            <w:tcW w:w="3090" w:type="dxa"/>
            <w:gridSpan w:val="2"/>
          </w:tcPr>
          <w:p w:rsidR="00B0654C" w:rsidRPr="00F2459B" w:rsidRDefault="00B0654C">
            <w:pPr>
              <w:pStyle w:val="Lagtext"/>
              <w:spacing w:before="123"/>
              <w:rPr>
                <w:i/>
              </w:rPr>
            </w:pPr>
            <w:r w:rsidRPr="00F2459B">
              <w:br w:type="page"/>
            </w:r>
          </w:p>
        </w:tc>
        <w:tc>
          <w:tcPr>
            <w:tcW w:w="3018" w:type="dxa"/>
          </w:tcPr>
          <w:p w:rsidR="00B0654C" w:rsidRPr="00F2459B" w:rsidRDefault="00B0654C">
            <w:pPr>
              <w:pStyle w:val="LagtextIndrag"/>
              <w:spacing w:after="120"/>
              <w:rPr>
                <w:i/>
              </w:rPr>
            </w:pPr>
            <w:r w:rsidRPr="00F2459B">
              <w:rPr>
                <w:b/>
                <w:i/>
                <w:snapToGrid w:val="0"/>
                <w:lang w:eastAsia="sv-SE"/>
              </w:rPr>
              <w:t xml:space="preserve">6 a § </w:t>
            </w:r>
            <w:r w:rsidRPr="00F2459B">
              <w:rPr>
                <w:i/>
                <w:snapToGrid w:val="0"/>
                <w:lang w:eastAsia="sv-SE"/>
              </w:rPr>
              <w:t>I fråga om geme</w:t>
            </w:r>
            <w:r w:rsidRPr="00F2459B">
              <w:rPr>
                <w:i/>
                <w:snapToGrid w:val="0"/>
                <w:lang w:eastAsia="sv-SE"/>
              </w:rPr>
              <w:t>n</w:t>
            </w:r>
            <w:r w:rsidRPr="00F2459B">
              <w:rPr>
                <w:i/>
                <w:snapToGrid w:val="0"/>
                <w:lang w:eastAsia="sv-SE"/>
              </w:rPr>
              <w:t>skaps-företag eller företagsgrupper där det finns ett gällande avtal som avses i 6 §, vilket senast den 1 juli 2000 o</w:t>
            </w:r>
            <w:r w:rsidRPr="00F2459B">
              <w:rPr>
                <w:i/>
                <w:snapToGrid w:val="0"/>
                <w:lang w:eastAsia="sv-SE"/>
              </w:rPr>
              <w:t>m</w:t>
            </w:r>
            <w:r w:rsidRPr="00F2459B">
              <w:rPr>
                <w:i/>
                <w:snapToGrid w:val="0"/>
                <w:lang w:eastAsia="sv-SE"/>
              </w:rPr>
              <w:t>fattar även gemenskapsföretagets eller företagsgruppens arbetstagare i Förenade kungariket Storbritannien och Nordirland, gäller endast 39–41 §§.</w:t>
            </w:r>
          </w:p>
        </w:tc>
      </w:tr>
      <w:tr w:rsidR="00000000" w:rsidRPr="00F2459B">
        <w:tblPrEx>
          <w:tblCellMar>
            <w:top w:w="0" w:type="dxa"/>
            <w:left w:w="70" w:type="dxa"/>
            <w:bottom w:w="0" w:type="dxa"/>
            <w:right w:w="70" w:type="dxa"/>
          </w:tblCellMar>
        </w:tblPrEx>
        <w:trPr>
          <w:gridAfter w:val="1"/>
          <w:wAfter w:w="45" w:type="dxa"/>
        </w:trPr>
        <w:tc>
          <w:tcPr>
            <w:tcW w:w="3090" w:type="dxa"/>
            <w:gridSpan w:val="2"/>
          </w:tcPr>
          <w:p w:rsidR="00B0654C" w:rsidRPr="00F2459B" w:rsidRDefault="00B0654C">
            <w:pPr>
              <w:pStyle w:val="Lagtext"/>
              <w:rPr>
                <w:i/>
              </w:rPr>
            </w:pPr>
          </w:p>
        </w:tc>
        <w:tc>
          <w:tcPr>
            <w:tcW w:w="3018" w:type="dxa"/>
          </w:tcPr>
          <w:p w:rsidR="00B0654C" w:rsidRPr="00F2459B" w:rsidRDefault="00B0654C">
            <w:pPr>
              <w:pStyle w:val="LagtextIndrag"/>
              <w:rPr>
                <w:i/>
              </w:rPr>
            </w:pPr>
            <w:r w:rsidRPr="00F2459B">
              <w:rPr>
                <w:b/>
                <w:i/>
                <w:snapToGrid w:val="0"/>
                <w:lang w:eastAsia="sv-SE"/>
              </w:rPr>
              <w:t xml:space="preserve">6 b § </w:t>
            </w:r>
            <w:r w:rsidRPr="00F2459B">
              <w:rPr>
                <w:i/>
                <w:snapToGrid w:val="0"/>
                <w:lang w:eastAsia="sv-SE"/>
              </w:rPr>
              <w:t>I fråga om sådana geme</w:t>
            </w:r>
            <w:r w:rsidRPr="00F2459B">
              <w:rPr>
                <w:i/>
                <w:snapToGrid w:val="0"/>
                <w:lang w:eastAsia="sv-SE"/>
              </w:rPr>
              <w:t>n</w:t>
            </w:r>
            <w:r w:rsidRPr="00F2459B">
              <w:rPr>
                <w:i/>
                <w:snapToGrid w:val="0"/>
                <w:lang w:eastAsia="sv-SE"/>
              </w:rPr>
              <w:t>skapsföretag eller företagsgrupper som faller inom lagens tillämpning</w:t>
            </w:r>
            <w:r w:rsidRPr="00F2459B">
              <w:rPr>
                <w:i/>
                <w:snapToGrid w:val="0"/>
                <w:lang w:eastAsia="sv-SE"/>
              </w:rPr>
              <w:t>s</w:t>
            </w:r>
            <w:r w:rsidRPr="00F2459B">
              <w:rPr>
                <w:i/>
                <w:snapToGrid w:val="0"/>
                <w:lang w:eastAsia="sv-SE"/>
              </w:rPr>
              <w:t>område enbart på den grund att lagen avser verksamhet i Förenade kungariket Storbritannien och Nor</w:t>
            </w:r>
            <w:r w:rsidRPr="00F2459B">
              <w:rPr>
                <w:i/>
                <w:snapToGrid w:val="0"/>
                <w:lang w:eastAsia="sv-SE"/>
              </w:rPr>
              <w:t>d</w:t>
            </w:r>
            <w:r w:rsidRPr="00F2459B">
              <w:rPr>
                <w:i/>
                <w:snapToGrid w:val="0"/>
                <w:lang w:eastAsia="sv-SE"/>
              </w:rPr>
              <w:t>irland och där det senast den 1 mars 2000 finns ett gällande avtal om gränsöverskridande information till och samråd med arbetstagare, vilket avtal omfattar alla gemenskapsför</w:t>
            </w:r>
            <w:r w:rsidRPr="00F2459B">
              <w:rPr>
                <w:i/>
                <w:snapToGrid w:val="0"/>
                <w:lang w:eastAsia="sv-SE"/>
              </w:rPr>
              <w:t>e</w:t>
            </w:r>
            <w:r w:rsidRPr="00F2459B">
              <w:rPr>
                <w:i/>
                <w:snapToGrid w:val="0"/>
                <w:lang w:eastAsia="sv-SE"/>
              </w:rPr>
              <w:t>tagets eller företagsgruppens a</w:t>
            </w:r>
            <w:r w:rsidRPr="00F2459B">
              <w:rPr>
                <w:i/>
                <w:snapToGrid w:val="0"/>
                <w:lang w:eastAsia="sv-SE"/>
              </w:rPr>
              <w:t>r</w:t>
            </w:r>
            <w:r w:rsidRPr="00F2459B">
              <w:rPr>
                <w:i/>
                <w:snapToGrid w:val="0"/>
                <w:lang w:eastAsia="sv-SE"/>
              </w:rPr>
              <w:t>betstagare i EES-länderna, gäller endast 39–41 §§.</w:t>
            </w:r>
          </w:p>
        </w:tc>
      </w:tr>
      <w:tr w:rsidR="00000000" w:rsidRPr="00F2459B">
        <w:tblPrEx>
          <w:tblCellMar>
            <w:top w:w="0" w:type="dxa"/>
            <w:left w:w="70" w:type="dxa"/>
            <w:bottom w:w="0" w:type="dxa"/>
            <w:right w:w="70" w:type="dxa"/>
          </w:tblCellMar>
        </w:tblPrEx>
        <w:trPr>
          <w:gridAfter w:val="1"/>
          <w:wAfter w:w="45" w:type="dxa"/>
        </w:trPr>
        <w:tc>
          <w:tcPr>
            <w:tcW w:w="3090" w:type="dxa"/>
            <w:gridSpan w:val="2"/>
          </w:tcPr>
          <w:p w:rsidR="00B0654C" w:rsidRPr="00F2459B" w:rsidRDefault="00B0654C">
            <w:pPr>
              <w:pStyle w:val="Lagtext"/>
              <w:rPr>
                <w:i/>
              </w:rPr>
            </w:pPr>
          </w:p>
        </w:tc>
        <w:tc>
          <w:tcPr>
            <w:tcW w:w="3018" w:type="dxa"/>
          </w:tcPr>
          <w:p w:rsidR="00B0654C" w:rsidRPr="00F2459B" w:rsidRDefault="00B0654C">
            <w:pPr>
              <w:pStyle w:val="LagtextIndrag"/>
              <w:spacing w:before="120"/>
              <w:rPr>
                <w:rFonts w:ascii="TimesNewRoman,BoldItalic" w:hAnsi="TimesNewRoman,BoldItalic"/>
                <w:b/>
                <w:i/>
                <w:snapToGrid w:val="0"/>
                <w:lang w:eastAsia="sv-SE"/>
              </w:rPr>
            </w:pPr>
            <w:r w:rsidRPr="00F2459B">
              <w:rPr>
                <w:b/>
                <w:i/>
                <w:snapToGrid w:val="0"/>
                <w:lang w:eastAsia="sv-SE"/>
              </w:rPr>
              <w:t xml:space="preserve">6 c § </w:t>
            </w:r>
            <w:r w:rsidRPr="00F2459B">
              <w:rPr>
                <w:i/>
                <w:snapToGrid w:val="0"/>
                <w:lang w:eastAsia="sv-SE"/>
              </w:rPr>
              <w:t>När ett sådant avtal som a</w:t>
            </w:r>
            <w:r w:rsidRPr="00F2459B">
              <w:rPr>
                <w:i/>
                <w:snapToGrid w:val="0"/>
                <w:lang w:eastAsia="sv-SE"/>
              </w:rPr>
              <w:t>v</w:t>
            </w:r>
            <w:r w:rsidRPr="00F2459B">
              <w:rPr>
                <w:i/>
                <w:snapToGrid w:val="0"/>
                <w:lang w:eastAsia="sv-SE"/>
              </w:rPr>
              <w:t>ses i 6–6 b §§ har löpt ut eller löper ut skall lagen tillämpas i sin helhet. Om avtalet har förnyats eller förnyas gäller dock fortfarande endast 39–41 §§.</w:t>
            </w:r>
          </w:p>
        </w:tc>
      </w:tr>
      <w:tr w:rsidR="00000000" w:rsidRPr="00F2459B">
        <w:tblPrEx>
          <w:tblCellMar>
            <w:top w:w="0" w:type="dxa"/>
            <w:left w:w="70" w:type="dxa"/>
            <w:bottom w:w="0" w:type="dxa"/>
            <w:right w:w="70" w:type="dxa"/>
          </w:tblCellMar>
        </w:tblPrEx>
        <w:trPr>
          <w:gridAfter w:val="1"/>
          <w:wAfter w:w="45" w:type="dxa"/>
          <w:cantSplit/>
        </w:trPr>
        <w:tc>
          <w:tcPr>
            <w:tcW w:w="6108" w:type="dxa"/>
            <w:gridSpan w:val="3"/>
          </w:tcPr>
          <w:p w:rsidR="00B0654C" w:rsidRPr="00F2459B" w:rsidRDefault="00B0654C">
            <w:pPr>
              <w:pStyle w:val="LagtextIndrag"/>
              <w:spacing w:before="120" w:after="120"/>
              <w:jc w:val="center"/>
              <w:rPr>
                <w:rFonts w:ascii="TimesNewRoman,BoldItalic" w:hAnsi="TimesNewRoman,BoldItalic"/>
                <w:snapToGrid w:val="0"/>
                <w:lang w:eastAsia="sv-SE"/>
              </w:rPr>
            </w:pPr>
            <w:r w:rsidRPr="00F2459B">
              <w:rPr>
                <w:rFonts w:ascii="TimesNewRoman,BoldItalic" w:hAnsi="TimesNewRoman,BoldItalic"/>
                <w:snapToGrid w:val="0"/>
                <w:lang w:eastAsia="sv-SE"/>
              </w:rPr>
              <w:t>7 §</w:t>
            </w:r>
          </w:p>
        </w:tc>
      </w:tr>
      <w:tr w:rsidR="00000000" w:rsidRPr="00F2459B">
        <w:tblPrEx>
          <w:tblCellMar>
            <w:top w:w="0" w:type="dxa"/>
            <w:left w:w="70" w:type="dxa"/>
            <w:bottom w:w="0" w:type="dxa"/>
            <w:right w:w="70" w:type="dxa"/>
          </w:tblCellMar>
        </w:tblPrEx>
        <w:trPr>
          <w:gridAfter w:val="1"/>
          <w:wAfter w:w="45" w:type="dxa"/>
        </w:trPr>
        <w:tc>
          <w:tcPr>
            <w:tcW w:w="3090" w:type="dxa"/>
            <w:gridSpan w:val="2"/>
          </w:tcPr>
          <w:p w:rsidR="00B0654C" w:rsidRPr="00F2459B" w:rsidRDefault="00B0654C">
            <w:pPr>
              <w:pStyle w:val="LagtextIndrag"/>
              <w:rPr>
                <w:i/>
              </w:rPr>
            </w:pPr>
            <w:r w:rsidRPr="00F2459B">
              <w:rPr>
                <w:snapToGrid w:val="0"/>
                <w:lang w:eastAsia="sv-SE"/>
              </w:rPr>
              <w:t>Genom ett kollektivavtal som har slutits eller godkänts av en central arbetstagarorganisation får det göras avvikelser från lagens bestämmelser, under förutsättning att avtalet inte innebär att mindre förmånliga regler skall tillämpas för arbetstagarsidan än som följer av rådets direktiv 94/45/EG av den 22 september 1994 om inrä</w:t>
            </w:r>
            <w:r w:rsidRPr="00F2459B">
              <w:rPr>
                <w:snapToGrid w:val="0"/>
                <w:lang w:eastAsia="sv-SE"/>
              </w:rPr>
              <w:t>t</w:t>
            </w:r>
            <w:r w:rsidRPr="00F2459B">
              <w:rPr>
                <w:snapToGrid w:val="0"/>
                <w:lang w:eastAsia="sv-SE"/>
              </w:rPr>
              <w:t>tandet av ett europeiskt företagsråd eller ett förfarande i gemenskapsför</w:t>
            </w:r>
            <w:r w:rsidRPr="00F2459B">
              <w:rPr>
                <w:snapToGrid w:val="0"/>
                <w:lang w:eastAsia="sv-SE"/>
              </w:rPr>
              <w:t>e</w:t>
            </w:r>
            <w:r w:rsidRPr="00F2459B">
              <w:rPr>
                <w:snapToGrid w:val="0"/>
                <w:lang w:eastAsia="sv-SE"/>
              </w:rPr>
              <w:t>tag och grupper av gemenskapsföretag för information till och samråd med arbetstagare.</w:t>
            </w:r>
          </w:p>
        </w:tc>
        <w:tc>
          <w:tcPr>
            <w:tcW w:w="3018" w:type="dxa"/>
          </w:tcPr>
          <w:p w:rsidR="00B0654C" w:rsidRPr="00F2459B" w:rsidRDefault="00B0654C">
            <w:pPr>
              <w:pStyle w:val="LagtextIndrag"/>
              <w:rPr>
                <w:rFonts w:ascii="TimesNewRoman,BoldItalic" w:hAnsi="TimesNewRoman,BoldItalic"/>
                <w:b/>
                <w:snapToGrid w:val="0"/>
                <w:lang w:eastAsia="sv-SE"/>
              </w:rPr>
            </w:pPr>
            <w:r w:rsidRPr="00F2459B">
              <w:rPr>
                <w:snapToGrid w:val="0"/>
                <w:lang w:eastAsia="sv-SE"/>
              </w:rPr>
              <w:t>Genom ett kollektivavtal som har slutits eller godkänts av en central arbetstagarorganisation får det göras avvikelser från lagens bestämmelser, under förutsättning att avtalet inte innebär att mindre förmånliga regler skall tillämpas för arbetstagarsidan än som följer av rådets direktiv 94/45/EG av den 22 september 1994 om inrättandet av ett europ</w:t>
            </w:r>
            <w:r w:rsidRPr="00F2459B">
              <w:rPr>
                <w:snapToGrid w:val="0"/>
                <w:lang w:eastAsia="sv-SE"/>
              </w:rPr>
              <w:t>eiskt företagsråd eller ett förfarande i gemenskapsföretag och grupper av gemenskapsföretag för information till och samråd med arbetstagare</w:t>
            </w:r>
            <w:r w:rsidRPr="00F2459B">
              <w:rPr>
                <w:rStyle w:val="Fotnotsreferens"/>
              </w:rPr>
              <w:t xml:space="preserve">2 </w:t>
            </w:r>
            <w:r w:rsidRPr="00F2459B">
              <w:rPr>
                <w:i/>
                <w:snapToGrid w:val="0"/>
                <w:lang w:eastAsia="sv-SE"/>
              </w:rPr>
              <w:t>samt direktiv 97/74/EG av den 1</w:t>
            </w:r>
            <w:r w:rsidRPr="00F2459B">
              <w:rPr>
                <w:rStyle w:val="Fotnotsreferens"/>
                <w:i/>
                <w:vertAlign w:val="baseline"/>
              </w:rPr>
              <w:t>5</w:t>
            </w:r>
            <w:r w:rsidRPr="00F2459B">
              <w:rPr>
                <w:rStyle w:val="Fotnotsreferens"/>
                <w:vertAlign w:val="baseline"/>
              </w:rPr>
              <w:t xml:space="preserve"> </w:t>
            </w:r>
            <w:r w:rsidRPr="00F2459B">
              <w:rPr>
                <w:i/>
                <w:snapToGrid w:val="0"/>
                <w:lang w:eastAsia="sv-SE"/>
              </w:rPr>
              <w:t>december 1997 om att utvidga nyss nämnda direktiv till att avse Fören</w:t>
            </w:r>
            <w:r w:rsidRPr="00F2459B">
              <w:rPr>
                <w:i/>
                <w:snapToGrid w:val="0"/>
                <w:lang w:eastAsia="sv-SE"/>
              </w:rPr>
              <w:t>a</w:t>
            </w:r>
            <w:r w:rsidRPr="00F2459B">
              <w:rPr>
                <w:i/>
                <w:snapToGrid w:val="0"/>
                <w:lang w:eastAsia="sv-SE"/>
              </w:rPr>
              <w:t>de kungariket Storbritannien och Nordirland.</w:t>
            </w:r>
            <w:r w:rsidRPr="00F2459B">
              <w:rPr>
                <w:rStyle w:val="Fotnotsreferens"/>
              </w:rPr>
              <w:t>3</w:t>
            </w:r>
          </w:p>
        </w:tc>
      </w:tr>
    </w:tbl>
    <w:p w:rsidR="00B0654C" w:rsidRPr="00F2459B" w:rsidRDefault="00B0654C">
      <w:pPr>
        <w:pStyle w:val="Fotnotstext"/>
        <w:spacing w:before="62" w:after="40"/>
        <w:rPr>
          <w:snapToGrid w:val="0"/>
          <w:lang w:eastAsia="sv-SE"/>
        </w:rPr>
      </w:pPr>
      <w:r w:rsidRPr="00F2459B">
        <w:rPr>
          <w:rStyle w:val="Fotnotsreferens"/>
        </w:rPr>
        <w:t xml:space="preserve">2 </w:t>
      </w:r>
      <w:r w:rsidRPr="00F2459B">
        <w:rPr>
          <w:snapToGrid w:val="0"/>
          <w:lang w:eastAsia="sv-SE"/>
        </w:rPr>
        <w:t>EGT L 254, 30.9.1994, s. 64, (Celex 394L0045).</w:t>
      </w:r>
    </w:p>
    <w:p w:rsidR="00B0654C" w:rsidRPr="00F2459B" w:rsidRDefault="00B0654C">
      <w:pPr>
        <w:pStyle w:val="Fotnotstext"/>
        <w:spacing w:before="0" w:after="60"/>
        <w:rPr>
          <w:snapToGrid w:val="0"/>
          <w:lang w:eastAsia="sv-SE"/>
        </w:rPr>
      </w:pPr>
      <w:r w:rsidRPr="00F2459B">
        <w:rPr>
          <w:rStyle w:val="Fotnotsreferens"/>
        </w:rPr>
        <w:t>3</w:t>
      </w:r>
      <w:r w:rsidRPr="00F2459B">
        <w:rPr>
          <w:snapToGrid w:val="0"/>
          <w:sz w:val="13"/>
          <w:lang w:eastAsia="sv-SE"/>
        </w:rPr>
        <w:t xml:space="preserve"> </w:t>
      </w:r>
      <w:r w:rsidRPr="00F2459B">
        <w:rPr>
          <w:snapToGrid w:val="0"/>
          <w:lang w:eastAsia="sv-SE"/>
        </w:rPr>
        <w:t>EGT L 10, 16.1.1998, s. 22, (Celex 397L0074).</w:t>
      </w:r>
    </w:p>
    <w:tbl>
      <w:tblPr>
        <w:tblW w:w="0" w:type="auto"/>
        <w:tblInd w:w="-113" w:type="dxa"/>
        <w:tblLayout w:type="fixed"/>
        <w:tblCellMar>
          <w:left w:w="113" w:type="dxa"/>
          <w:right w:w="113" w:type="dxa"/>
        </w:tblCellMar>
        <w:tblLook w:val="0000" w:firstRow="0" w:lastRow="0" w:firstColumn="0" w:lastColumn="0" w:noHBand="0" w:noVBand="0"/>
      </w:tblPr>
      <w:tblGrid>
        <w:gridCol w:w="43"/>
        <w:gridCol w:w="3019"/>
        <w:gridCol w:w="3018"/>
        <w:gridCol w:w="45"/>
      </w:tblGrid>
      <w:tr w:rsidR="00000000" w:rsidRPr="00F2459B">
        <w:tblPrEx>
          <w:tblCellMar>
            <w:top w:w="0" w:type="dxa"/>
            <w:bottom w:w="0" w:type="dxa"/>
          </w:tblCellMar>
        </w:tblPrEx>
        <w:trPr>
          <w:tblHeader/>
        </w:trPr>
        <w:tc>
          <w:tcPr>
            <w:tcW w:w="3062" w:type="dxa"/>
            <w:gridSpan w:val="2"/>
          </w:tcPr>
          <w:p w:rsidR="00B0654C" w:rsidRPr="00F2459B" w:rsidRDefault="00B0654C">
            <w:pPr>
              <w:pStyle w:val="LagtextRubrik"/>
              <w:rPr>
                <w:i/>
              </w:rPr>
            </w:pPr>
            <w:r w:rsidRPr="00F2459B">
              <w:rPr>
                <w:i/>
              </w:rPr>
              <w:t>Nuvarande lydelse</w:t>
            </w:r>
          </w:p>
        </w:tc>
        <w:tc>
          <w:tcPr>
            <w:tcW w:w="3062" w:type="dxa"/>
            <w:gridSpan w:val="2"/>
          </w:tcPr>
          <w:p w:rsidR="00B0654C" w:rsidRPr="00F2459B" w:rsidRDefault="00B0654C">
            <w:pPr>
              <w:pStyle w:val="LagtextRubrik"/>
              <w:rPr>
                <w:i/>
              </w:rPr>
            </w:pPr>
            <w:r w:rsidRPr="00F2459B">
              <w:rPr>
                <w:i/>
              </w:rPr>
              <w:t>Föreslagen lydelse</w:t>
            </w:r>
          </w:p>
        </w:tc>
      </w:tr>
      <w:tr w:rsidR="00000000" w:rsidRPr="00F2459B">
        <w:tblPrEx>
          <w:tblCellMar>
            <w:top w:w="0" w:type="dxa"/>
            <w:left w:w="70" w:type="dxa"/>
            <w:bottom w:w="0" w:type="dxa"/>
            <w:right w:w="70" w:type="dxa"/>
          </w:tblCellMar>
        </w:tblPrEx>
        <w:trPr>
          <w:gridBefore w:val="1"/>
          <w:gridAfter w:val="1"/>
          <w:wBefore w:w="43" w:type="dxa"/>
          <w:wAfter w:w="45" w:type="dxa"/>
          <w:cantSplit/>
        </w:trPr>
        <w:tc>
          <w:tcPr>
            <w:tcW w:w="6036" w:type="dxa"/>
            <w:gridSpan w:val="2"/>
          </w:tcPr>
          <w:p w:rsidR="00B0654C" w:rsidRPr="00F2459B" w:rsidRDefault="00B0654C">
            <w:pPr>
              <w:pStyle w:val="LagtextIndrag"/>
              <w:spacing w:before="120" w:after="120"/>
              <w:jc w:val="center"/>
              <w:rPr>
                <w:rFonts w:ascii="TimesNewRoman,BoldItalic" w:hAnsi="TimesNewRoman,BoldItalic"/>
                <w:snapToGrid w:val="0"/>
                <w:lang w:eastAsia="sv-SE"/>
              </w:rPr>
            </w:pPr>
            <w:r w:rsidRPr="00F2459B">
              <w:rPr>
                <w:rFonts w:ascii="TimesNewRoman,BoldItalic" w:hAnsi="TimesNewRoman,BoldItalic"/>
                <w:snapToGrid w:val="0"/>
                <w:lang w:eastAsia="sv-SE"/>
              </w:rPr>
              <w:t>23 §</w:t>
            </w:r>
          </w:p>
        </w:tc>
      </w:tr>
      <w:tr w:rsidR="00000000" w:rsidRPr="00F2459B">
        <w:tblPrEx>
          <w:tblCellMar>
            <w:top w:w="0" w:type="dxa"/>
            <w:left w:w="70" w:type="dxa"/>
            <w:bottom w:w="0" w:type="dxa"/>
            <w:right w:w="70" w:type="dxa"/>
          </w:tblCellMar>
        </w:tblPrEx>
        <w:trPr>
          <w:gridBefore w:val="1"/>
          <w:gridAfter w:val="1"/>
          <w:wBefore w:w="43" w:type="dxa"/>
          <w:wAfter w:w="45" w:type="dxa"/>
          <w:cantSplit/>
        </w:trPr>
        <w:tc>
          <w:tcPr>
            <w:tcW w:w="6036" w:type="dxa"/>
            <w:gridSpan w:val="2"/>
          </w:tcPr>
          <w:p w:rsidR="00B0654C" w:rsidRPr="00F2459B" w:rsidRDefault="00B0654C">
            <w:pPr>
              <w:pStyle w:val="LagtextIndrag"/>
              <w:rPr>
                <w:snapToGrid w:val="0"/>
                <w:lang w:eastAsia="sv-SE"/>
              </w:rPr>
            </w:pPr>
            <w:r w:rsidRPr="00F2459B">
              <w:rPr>
                <w:snapToGrid w:val="0"/>
                <w:lang w:eastAsia="sv-SE"/>
              </w:rPr>
              <w:t>Ett europeiskt företagsråd skall inrättas enligt 24–35 §§ om 1. geme</w:t>
            </w:r>
            <w:r w:rsidRPr="00F2459B">
              <w:rPr>
                <w:snapToGrid w:val="0"/>
                <w:lang w:eastAsia="sv-SE"/>
              </w:rPr>
              <w:t>n</w:t>
            </w:r>
            <w:r w:rsidRPr="00F2459B">
              <w:rPr>
                <w:snapToGrid w:val="0"/>
                <w:lang w:eastAsia="sv-SE"/>
              </w:rPr>
              <w:t>skapsföretaget eller det kontrollerande företaget i en företagsgrupp och a</w:t>
            </w:r>
            <w:r w:rsidRPr="00F2459B">
              <w:rPr>
                <w:snapToGrid w:val="0"/>
                <w:lang w:eastAsia="sv-SE"/>
              </w:rPr>
              <w:t>r</w:t>
            </w:r>
            <w:r w:rsidRPr="00F2459B">
              <w:rPr>
                <w:snapToGrid w:val="0"/>
                <w:lang w:eastAsia="sv-SE"/>
              </w:rPr>
              <w:t>betstagarnas förhandlingsdelegation kommer överens om det, 2. geme</w:t>
            </w:r>
            <w:r w:rsidRPr="00F2459B">
              <w:rPr>
                <w:snapToGrid w:val="0"/>
                <w:lang w:eastAsia="sv-SE"/>
              </w:rPr>
              <w:t>n</w:t>
            </w:r>
            <w:r w:rsidRPr="00F2459B">
              <w:rPr>
                <w:snapToGrid w:val="0"/>
                <w:lang w:eastAsia="sv-SE"/>
              </w:rPr>
              <w:t>skapsföretaget eller det kontrollerande företaget i en företagsgrupp vägrar att inleda förhandlingar med arbetstagarnas förhandlingsdelegation inom sex månader från det att förhandlingar har begärts enligt 14 §,</w:t>
            </w:r>
          </w:p>
          <w:p w:rsidR="00B0654C" w:rsidRPr="00F2459B" w:rsidRDefault="00B0654C">
            <w:pPr>
              <w:pStyle w:val="LagtextIndrag"/>
              <w:rPr>
                <w:rFonts w:ascii="TimesNewRoman,BoldItalic" w:hAnsi="TimesNewRoman,BoldItalic"/>
                <w:b/>
                <w:snapToGrid w:val="0"/>
                <w:lang w:eastAsia="sv-SE"/>
              </w:rPr>
            </w:pPr>
            <w:r w:rsidRPr="00F2459B">
              <w:rPr>
                <w:snapToGrid w:val="0"/>
                <w:lang w:eastAsia="sv-SE"/>
              </w:rPr>
              <w:t>3. gemenskapsföretaget eller det kontrollerande företaget i en företag</w:t>
            </w:r>
            <w:r w:rsidRPr="00F2459B">
              <w:rPr>
                <w:snapToGrid w:val="0"/>
                <w:lang w:eastAsia="sv-SE"/>
              </w:rPr>
              <w:t>s</w:t>
            </w:r>
            <w:r w:rsidRPr="00F2459B">
              <w:rPr>
                <w:snapToGrid w:val="0"/>
                <w:lang w:eastAsia="sv-SE"/>
              </w:rPr>
              <w:t>grupp och arbetstagarnas förhandlingsdelegation inte har nått en överen</w:t>
            </w:r>
            <w:r w:rsidRPr="00F2459B">
              <w:rPr>
                <w:snapToGrid w:val="0"/>
                <w:lang w:eastAsia="sv-SE"/>
              </w:rPr>
              <w:t>s</w:t>
            </w:r>
            <w:r w:rsidRPr="00F2459B">
              <w:rPr>
                <w:snapToGrid w:val="0"/>
                <w:lang w:eastAsia="sv-SE"/>
              </w:rPr>
              <w:t>kommelse om ett avtal om europeiskt företagsråd eller något annat förfara</w:t>
            </w:r>
            <w:r w:rsidRPr="00F2459B">
              <w:rPr>
                <w:snapToGrid w:val="0"/>
                <w:lang w:eastAsia="sv-SE"/>
              </w:rPr>
              <w:t>n</w:t>
            </w:r>
            <w:r w:rsidRPr="00F2459B">
              <w:rPr>
                <w:snapToGrid w:val="0"/>
                <w:lang w:eastAsia="sv-SE"/>
              </w:rPr>
              <w:t>de för information och samråd inom tre år antingen från tidpunkten då g</w:t>
            </w:r>
            <w:r w:rsidRPr="00F2459B">
              <w:rPr>
                <w:snapToGrid w:val="0"/>
                <w:lang w:eastAsia="sv-SE"/>
              </w:rPr>
              <w:t>e</w:t>
            </w:r>
            <w:r w:rsidRPr="00F2459B">
              <w:rPr>
                <w:snapToGrid w:val="0"/>
                <w:lang w:eastAsia="sv-SE"/>
              </w:rPr>
              <w:t>menskapsföretaget eller det kontrollerande företaget tog initiativ till fö</w:t>
            </w:r>
            <w:r w:rsidRPr="00F2459B">
              <w:rPr>
                <w:snapToGrid w:val="0"/>
                <w:lang w:eastAsia="sv-SE"/>
              </w:rPr>
              <w:t>r</w:t>
            </w:r>
            <w:r w:rsidRPr="00F2459B">
              <w:rPr>
                <w:snapToGrid w:val="0"/>
                <w:lang w:eastAsia="sv-SE"/>
              </w:rPr>
              <w:t>handlingar enligt 14 § eller från tidpunkten för begäran om förhandlingar enligt 14 §, eller</w:t>
            </w:r>
          </w:p>
        </w:tc>
      </w:tr>
      <w:tr w:rsidR="00000000" w:rsidRPr="00F2459B">
        <w:tblPrEx>
          <w:tblCellMar>
            <w:top w:w="0" w:type="dxa"/>
            <w:left w:w="70" w:type="dxa"/>
            <w:bottom w:w="0" w:type="dxa"/>
            <w:right w:w="70" w:type="dxa"/>
          </w:tblCellMar>
        </w:tblPrEx>
        <w:trPr>
          <w:gridBefore w:val="1"/>
          <w:gridAfter w:val="1"/>
          <w:wBefore w:w="43" w:type="dxa"/>
          <w:wAfter w:w="45" w:type="dxa"/>
        </w:trPr>
        <w:tc>
          <w:tcPr>
            <w:tcW w:w="3018" w:type="dxa"/>
          </w:tcPr>
          <w:p w:rsidR="00B0654C" w:rsidRPr="00F2459B" w:rsidRDefault="00B0654C">
            <w:pPr>
              <w:pStyle w:val="LagtextIndrag"/>
              <w:rPr>
                <w:i/>
              </w:rPr>
            </w:pPr>
            <w:r w:rsidRPr="00F2459B">
              <w:rPr>
                <w:snapToGrid w:val="0"/>
                <w:lang w:eastAsia="sv-SE"/>
              </w:rPr>
              <w:t xml:space="preserve">4. ett avtal som avses i </w:t>
            </w:r>
            <w:r w:rsidRPr="00F2459B">
              <w:rPr>
                <w:i/>
                <w:snapToGrid w:val="0"/>
                <w:lang w:eastAsia="sv-SE"/>
              </w:rPr>
              <w:t xml:space="preserve">6 § </w:t>
            </w:r>
            <w:r w:rsidRPr="00F2459B">
              <w:rPr>
                <w:snapToGrid w:val="0"/>
                <w:lang w:eastAsia="sv-SE"/>
              </w:rPr>
              <w:t>eller som har träffats enligt bestämmelse</w:t>
            </w:r>
            <w:r w:rsidRPr="00F2459B">
              <w:rPr>
                <w:snapToGrid w:val="0"/>
                <w:lang w:eastAsia="sv-SE"/>
              </w:rPr>
              <w:t>r</w:t>
            </w:r>
            <w:r w:rsidRPr="00F2459B">
              <w:rPr>
                <w:snapToGrid w:val="0"/>
                <w:lang w:eastAsia="sv-SE"/>
              </w:rPr>
              <w:t>na i denna lag upphör att gälla och ett nytt avtal inte har träffats inom sex månader från upphörandet.</w:t>
            </w:r>
            <w:r w:rsidRPr="00F2459B">
              <w:rPr>
                <w:i/>
              </w:rPr>
              <w:t xml:space="preserve"> </w:t>
            </w:r>
          </w:p>
        </w:tc>
        <w:tc>
          <w:tcPr>
            <w:tcW w:w="3018" w:type="dxa"/>
          </w:tcPr>
          <w:p w:rsidR="00B0654C" w:rsidRPr="00F2459B" w:rsidRDefault="00B0654C">
            <w:pPr>
              <w:pStyle w:val="LagtextIndrag"/>
              <w:rPr>
                <w:b/>
                <w:snapToGrid w:val="0"/>
                <w:lang w:eastAsia="sv-SE"/>
              </w:rPr>
            </w:pPr>
            <w:r w:rsidRPr="00F2459B">
              <w:rPr>
                <w:snapToGrid w:val="0"/>
                <w:lang w:eastAsia="sv-SE"/>
              </w:rPr>
              <w:t xml:space="preserve">4. ett avtal som avses i </w:t>
            </w:r>
            <w:r w:rsidRPr="00F2459B">
              <w:rPr>
                <w:i/>
                <w:snapToGrid w:val="0"/>
                <w:lang w:eastAsia="sv-SE"/>
              </w:rPr>
              <w:t xml:space="preserve">6–6 c §§ </w:t>
            </w:r>
            <w:r w:rsidRPr="00F2459B">
              <w:rPr>
                <w:snapToGrid w:val="0"/>
                <w:lang w:eastAsia="sv-SE"/>
              </w:rPr>
              <w:t>eller som har träffats enligt bestä</w:t>
            </w:r>
            <w:r w:rsidRPr="00F2459B">
              <w:rPr>
                <w:snapToGrid w:val="0"/>
                <w:lang w:eastAsia="sv-SE"/>
              </w:rPr>
              <w:t>m</w:t>
            </w:r>
            <w:r w:rsidRPr="00F2459B">
              <w:rPr>
                <w:snapToGrid w:val="0"/>
                <w:lang w:eastAsia="sv-SE"/>
              </w:rPr>
              <w:t>melserna i denna lag upphör att gälla och ett nytt avtal inte har träffats inom sex mån</w:t>
            </w:r>
            <w:r w:rsidRPr="00F2459B">
              <w:rPr>
                <w:snapToGrid w:val="0"/>
                <w:lang w:eastAsia="sv-SE"/>
              </w:rPr>
              <w:t>a</w:t>
            </w:r>
            <w:r w:rsidRPr="00F2459B">
              <w:rPr>
                <w:snapToGrid w:val="0"/>
                <w:lang w:eastAsia="sv-SE"/>
              </w:rPr>
              <w:t>der från upphörandet.</w:t>
            </w:r>
          </w:p>
        </w:tc>
      </w:tr>
    </w:tbl>
    <w:p w:rsidR="00B0654C" w:rsidRPr="00F2459B" w:rsidRDefault="00B0654C">
      <w:r w:rsidRPr="00F2459B">
        <w:t>_________</w:t>
      </w:r>
    </w:p>
    <w:p w:rsidR="00B0654C" w:rsidRPr="00F2459B" w:rsidRDefault="00B0654C">
      <w:pPr>
        <w:pStyle w:val="Normaltindrag"/>
        <w:rPr>
          <w:snapToGrid w:val="0"/>
          <w:lang w:eastAsia="sv-SE"/>
        </w:rPr>
      </w:pPr>
      <w:r w:rsidRPr="00F2459B">
        <w:t>Denna lag träder i kraft den 1 mars 2000.</w:t>
      </w:r>
    </w:p>
    <w:p w:rsidR="00B0654C" w:rsidRPr="00F2459B" w:rsidRDefault="00B0654C">
      <w:bookmarkStart w:id="29" w:name="Nästa_Reservation"/>
      <w:bookmarkEnd w:id="29"/>
    </w:p>
    <w:p w:rsidR="00B0654C" w:rsidRPr="00F2459B" w:rsidRDefault="00B0654C">
      <w:pPr>
        <w:pStyle w:val="Normaltindrag"/>
        <w:sectPr w:rsidR="00000000" w:rsidRPr="00F2459B">
          <w:headerReference w:type="default" r:id="rId11"/>
          <w:footerReference w:type="default" r:id="rId12"/>
          <w:pgSz w:w="11906" w:h="16838" w:code="9"/>
          <w:pgMar w:top="567" w:right="4876" w:bottom="4395" w:left="1134" w:header="227" w:footer="227" w:gutter="0"/>
          <w:cols w:space="720"/>
        </w:sectPr>
      </w:pPr>
    </w:p>
    <w:p w:rsidR="00B0654C" w:rsidRPr="00F2459B" w:rsidRDefault="00B0654C">
      <w:pPr>
        <w:pStyle w:val="Innehll"/>
        <w:outlineLvl w:val="0"/>
      </w:pPr>
      <w:r w:rsidRPr="00F2459B">
        <w:t>Innehållsförteckning</w:t>
      </w:r>
    </w:p>
    <w:p w:rsidR="00B0654C" w:rsidRPr="00F2459B" w:rsidRDefault="00B0654C">
      <w:pPr>
        <w:pStyle w:val="Innehll1"/>
        <w:rPr>
          <w:noProof/>
        </w:rPr>
      </w:pPr>
      <w:r w:rsidRPr="00F2459B">
        <w:rPr>
          <w:noProof/>
        </w:rPr>
        <w:t>Propositionen</w:t>
      </w:r>
      <w:r w:rsidRPr="00F2459B">
        <w:rPr>
          <w:noProof/>
        </w:rPr>
        <w:tab/>
        <w:t>1</w:t>
      </w:r>
    </w:p>
    <w:p w:rsidR="00B0654C" w:rsidRPr="00F2459B" w:rsidRDefault="00B0654C">
      <w:pPr>
        <w:pStyle w:val="Innehll1"/>
        <w:rPr>
          <w:noProof/>
        </w:rPr>
      </w:pPr>
      <w:r w:rsidRPr="00F2459B">
        <w:rPr>
          <w:noProof/>
        </w:rPr>
        <w:t>Utskottet</w:t>
      </w:r>
      <w:r w:rsidRPr="00F2459B">
        <w:rPr>
          <w:noProof/>
        </w:rPr>
        <w:tab/>
        <w:t>1</w:t>
      </w:r>
    </w:p>
    <w:p w:rsidR="00B0654C" w:rsidRPr="00F2459B" w:rsidRDefault="00B0654C">
      <w:pPr>
        <w:pStyle w:val="Innehll2"/>
      </w:pPr>
      <w:r w:rsidRPr="00F2459B">
        <w:t>Bakgrund</w:t>
      </w:r>
      <w:r w:rsidRPr="00F2459B">
        <w:tab/>
        <w:t>1</w:t>
      </w:r>
    </w:p>
    <w:p w:rsidR="00B0654C" w:rsidRPr="00F2459B" w:rsidRDefault="00B0654C">
      <w:pPr>
        <w:pStyle w:val="Innehll2"/>
      </w:pPr>
      <w:r w:rsidRPr="00F2459B">
        <w:t>Genomförandet av utvidgningsdirektivet</w:t>
      </w:r>
      <w:r w:rsidRPr="00F2459B">
        <w:tab/>
        <w:t>2</w:t>
      </w:r>
    </w:p>
    <w:p w:rsidR="00B0654C" w:rsidRPr="00F2459B" w:rsidRDefault="00B0654C">
      <w:pPr>
        <w:pStyle w:val="Innehll2"/>
      </w:pPr>
      <w:r w:rsidRPr="00F2459B">
        <w:t>Hemställan</w:t>
      </w:r>
      <w:r w:rsidRPr="00F2459B">
        <w:tab/>
        <w:t>3</w:t>
      </w:r>
    </w:p>
    <w:p w:rsidR="00B0654C" w:rsidRPr="00F2459B" w:rsidRDefault="00B0654C">
      <w:pPr>
        <w:pStyle w:val="Innehll2"/>
      </w:pPr>
      <w:r w:rsidRPr="00F2459B">
        <w:t>Bilaga</w:t>
      </w:r>
    </w:p>
    <w:p w:rsidR="00B0654C" w:rsidRPr="00F2459B" w:rsidRDefault="00B0654C">
      <w:pPr>
        <w:pStyle w:val="Innehll2"/>
      </w:pPr>
      <w:r w:rsidRPr="00F2459B">
        <w:t>Förslag till lag om ändring i lagen (1996:359) om europeiska företagsråd</w:t>
      </w:r>
      <w:r w:rsidRPr="00F2459B">
        <w:tab/>
        <w:t>4</w:t>
      </w:r>
    </w:p>
    <w:p w:rsidR="00B0654C" w:rsidRPr="00F2459B" w:rsidRDefault="00B0654C"/>
    <w:p w:rsidR="00B0654C" w:rsidRPr="00F2459B" w:rsidRDefault="00B0654C">
      <w:pPr>
        <w:pStyle w:val="Tryckort"/>
        <w:framePr w:wrap="around"/>
      </w:pPr>
      <w:r w:rsidRPr="00F2459B">
        <w:t>Elanders Gotab, Stockholm  1999</w:t>
      </w:r>
    </w:p>
    <w:p w:rsidR="00B0654C" w:rsidRPr="00F2459B" w:rsidRDefault="00B0654C">
      <w:pPr>
        <w:pStyle w:val="Normaltindrag"/>
      </w:pPr>
    </w:p>
    <w:sectPr w:rsidR="00B0654C" w:rsidRPr="00F2459B">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54C" w:rsidRDefault="00B0654C">
      <w:pPr>
        <w:spacing w:before="0" w:line="240" w:lineRule="auto"/>
      </w:pPr>
      <w:r>
        <w:separator/>
      </w:r>
    </w:p>
  </w:endnote>
  <w:endnote w:type="continuationSeparator" w:id="0">
    <w:p w:rsidR="00B0654C" w:rsidRDefault="00B0654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54C" w:rsidRDefault="00B0654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B0654C" w:rsidRDefault="00B065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54C" w:rsidRDefault="00B0654C">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B0654C" w:rsidRDefault="00B065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54C" w:rsidRDefault="00B0654C">
    <w:pPr>
      <w:pStyle w:val="SidfotH"/>
      <w:framePr w:wrap="around"/>
    </w:pPr>
    <w:r>
      <w:fldChar w:fldCharType="begin" w:fldLock="1"/>
    </w:r>
    <w:r>
      <w:instrText xml:space="preserve"> P</w:instrText>
    </w:r>
    <w:r>
      <w:instrText>A</w:instrText>
    </w:r>
    <w:r>
      <w:instrText xml:space="preserve">GE </w:instrText>
    </w:r>
    <w:r>
      <w:fldChar w:fldCharType="separate"/>
    </w:r>
    <w:r>
      <w:rPr>
        <w:noProof/>
      </w:rPr>
      <w:t>7</w:t>
    </w:r>
    <w:r>
      <w:fldChar w:fldCharType="end"/>
    </w:r>
  </w:p>
  <w:p w:rsidR="00B0654C" w:rsidRDefault="00B065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54C" w:rsidRDefault="00B0654C">
      <w:pPr>
        <w:pStyle w:val="Sidfot"/>
      </w:pPr>
    </w:p>
  </w:footnote>
  <w:footnote w:type="continuationSeparator" w:id="0">
    <w:p w:rsidR="00B0654C" w:rsidRDefault="00B0654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54C" w:rsidRDefault="00B0654C">
    <w:pPr>
      <w:pStyle w:val="SidhuvudKant"/>
      <w:framePr w:w="1758" w:h="2744" w:hRule="exact" w:wrap="around" w:vAnchor="page" w:hAnchor="page" w:x="7372" w:y="568" w:anchorLock="0"/>
    </w:pPr>
    <w:r>
      <w:rPr>
        <w:noProof/>
      </w:rPr>
      <w:t>1999/2000:AU4</w:t>
    </w:r>
  </w:p>
  <w:p w:rsidR="00B0654C" w:rsidRDefault="00B065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54C" w:rsidRDefault="00B0654C">
    <w:pPr>
      <w:pStyle w:val="SidhuvudKant"/>
      <w:framePr w:w="1758" w:h="2744" w:hRule="exact" w:wrap="around" w:vAnchor="page" w:hAnchor="page" w:x="7372" w:y="568" w:anchorLock="0"/>
      <w:rPr>
        <w:noProof/>
      </w:rPr>
    </w:pPr>
    <w:r>
      <w:rPr>
        <w:noProof/>
      </w:rPr>
      <w:t>1999/2000:AU4</w:t>
    </w:r>
  </w:p>
  <w:p w:rsidR="00B0654C" w:rsidRDefault="00B0654C">
    <w:pPr>
      <w:pStyle w:val="SidhuvudKantBilaga"/>
      <w:framePr w:w="1758" w:h="2744" w:hRule="exact" w:wrap="around" w:vAnchor="page" w:hAnchor="page" w:x="7372" w:y="568" w:anchorLock="0"/>
      <w:rPr>
        <w:noProof/>
      </w:rPr>
    </w:pPr>
    <w:r>
      <w:rPr>
        <w:noProof/>
      </w:rPr>
      <w:t>Bilaga</w:t>
    </w:r>
  </w:p>
  <w:p w:rsidR="00B0654C" w:rsidRDefault="00B0654C">
    <w:pPr>
      <w:pStyle w:val="SidhuvudKant"/>
      <w:framePr w:w="1758" w:h="2744" w:hRule="exact" w:wrap="around" w:vAnchor="page" w:hAnchor="page" w:x="7372" w:y="568" w:anchorLock="0"/>
    </w:pPr>
  </w:p>
  <w:p w:rsidR="00B0654C" w:rsidRDefault="00B065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54C" w:rsidRDefault="00B0654C">
    <w:pPr>
      <w:pStyle w:val="SidhuvudKant"/>
      <w:framePr w:w="1758" w:h="2744" w:hRule="exact" w:wrap="around" w:vAnchor="page" w:hAnchor="page" w:x="7372" w:y="568" w:anchorLock="0"/>
      <w:rPr>
        <w:noProof/>
      </w:rPr>
    </w:pPr>
    <w:r>
      <w:rPr>
        <w:noProof/>
      </w:rPr>
      <w:t>1999/2000:AU4</w:t>
    </w:r>
  </w:p>
  <w:p w:rsidR="00B0654C" w:rsidRDefault="00B0654C">
    <w:pPr>
      <w:pStyle w:val="SidhuvudKantBilaga"/>
      <w:framePr w:w="1758" w:h="2744" w:hRule="exact" w:wrap="around" w:vAnchor="page" w:hAnchor="page" w:x="7372" w:y="568" w:anchorLock="0"/>
      <w:rPr>
        <w:noProof/>
      </w:rPr>
    </w:pPr>
  </w:p>
  <w:p w:rsidR="00B0654C" w:rsidRDefault="00B0654C">
    <w:pPr>
      <w:pStyle w:val="SidhuvudKant"/>
      <w:framePr w:w="1758" w:h="2744" w:hRule="exact" w:wrap="around" w:vAnchor="page" w:hAnchor="page" w:x="7372" w:y="568" w:anchorLock="0"/>
    </w:pPr>
  </w:p>
  <w:p w:rsidR="00B0654C" w:rsidRDefault="00B0654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69158F"/>
    <w:rsid w:val="0069158F"/>
    <w:rsid w:val="00B0654C"/>
    <w:rsid w:val="00F245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9C95E-EDD8-4400-A857-77BF53F8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1698</Words>
  <Characters>10190</Characters>
  <Application>Microsoft Office Word</Application>
  <DocSecurity>4</DocSecurity>
  <Lines>283</Lines>
  <Paragraphs>90</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Arbetsmarknadsutskottets betänkande</vt:lpstr>
      <vt:lpstr>Propositionen</vt:lpstr>
      <vt:lpstr>Utskottet</vt:lpstr>
      <vt:lpstr>    Bakgrund</vt:lpstr>
      <vt:lpstr>    Genomförandet av utvidgningsdirektivet</vt:lpstr>
      <vt:lpstr>    Hemställan</vt:lpstr>
      <vt:lpstr>    Förslag till lag om ändring i lagen (1996:359) om europeiska företagsråd</vt:lpstr>
      <vt:lpstr>Innehållsförteckning</vt:lpstr>
    </vt:vector>
  </TitlesOfParts>
  <Company>Riksdagen</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1999-11-18T12:25:00Z</cp:lastPrinted>
  <dcterms:created xsi:type="dcterms:W3CDTF">2025-12-15T21:01:00Z</dcterms:created>
  <dcterms:modified xsi:type="dcterms:W3CDTF">2025-12-15T21:01:00Z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