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89"/>
        <w:gridCol w:w="1758"/>
        <w:gridCol w:w="8"/>
      </w:tblGrid>
      <w:tr w:rsidR="00000000" w:rsidRPr="003B6163">
        <w:tblPrEx>
          <w:tblCellMar>
            <w:top w:w="0" w:type="dxa"/>
            <w:left w:w="0" w:type="dxa"/>
            <w:bottom w:w="0" w:type="dxa"/>
            <w:right w:w="0" w:type="dxa"/>
          </w:tblCellMar>
        </w:tblPrEx>
        <w:trPr>
          <w:gridAfter w:val="2"/>
          <w:wAfter w:w="1766" w:type="dxa"/>
          <w:cantSplit/>
          <w:trHeight w:val="1320"/>
        </w:trPr>
        <w:tc>
          <w:tcPr>
            <w:tcW w:w="5889" w:type="dxa"/>
          </w:tcPr>
          <w:p w:rsidR="00AC76F6" w:rsidRPr="003B6163" w:rsidRDefault="00AC76F6">
            <w:pPr>
              <w:pStyle w:val="HuvudRubrik"/>
            </w:pPr>
            <w:r w:rsidRPr="003B6163">
              <w:t>Regeringskansliet</w:t>
            </w:r>
          </w:p>
          <w:p w:rsidR="00AC76F6" w:rsidRPr="003B6163" w:rsidRDefault="00AC76F6">
            <w:pPr>
              <w:pStyle w:val="HuvudRubrik"/>
            </w:pPr>
            <w:r w:rsidRPr="003B6163">
              <w:t>Faktapromemoria  2006/07: FPM20</w:t>
            </w:r>
          </w:p>
        </w:tc>
      </w:tr>
      <w:tr w:rsidR="00000000" w:rsidRPr="003B6163">
        <w:tblPrEx>
          <w:tblCellMar>
            <w:top w:w="0" w:type="dxa"/>
            <w:left w:w="0" w:type="dxa"/>
            <w:bottom w:w="0" w:type="dxa"/>
            <w:right w:w="0" w:type="dxa"/>
          </w:tblCellMar>
        </w:tblPrEx>
        <w:trPr>
          <w:gridAfter w:val="2"/>
          <w:wAfter w:w="1766" w:type="dxa"/>
          <w:cantSplit/>
          <w:trHeight w:val="240"/>
        </w:trPr>
        <w:tc>
          <w:tcPr>
            <w:tcW w:w="5889" w:type="dxa"/>
          </w:tcPr>
          <w:p w:rsidR="00AC76F6" w:rsidRPr="003B6163" w:rsidRDefault="00AC76F6" w:rsidP="00342783">
            <w:pPr>
              <w:pStyle w:val="HuvudRubrik"/>
              <w:rPr>
                <w:sz w:val="28"/>
              </w:rPr>
            </w:pPr>
            <w:r w:rsidRPr="003B6163">
              <w:t>Ett konkurrenskraftigt Europa i världen</w:t>
            </w:r>
          </w:p>
        </w:tc>
      </w:tr>
      <w:tr w:rsidR="00CB76AF" w:rsidRPr="003B6163">
        <w:tblPrEx>
          <w:tblCellMar>
            <w:top w:w="0" w:type="dxa"/>
            <w:left w:w="0" w:type="dxa"/>
            <w:bottom w:w="0" w:type="dxa"/>
            <w:right w:w="0" w:type="dxa"/>
          </w:tblCellMar>
        </w:tblPrEx>
        <w:trPr>
          <w:gridAfter w:val="1"/>
          <w:wAfter w:w="8" w:type="dxa"/>
          <w:cantSplit/>
          <w:trHeight w:val="285"/>
        </w:trPr>
        <w:tc>
          <w:tcPr>
            <w:tcW w:w="7647" w:type="dxa"/>
            <w:gridSpan w:val="2"/>
          </w:tcPr>
          <w:p w:rsidR="00CB76AF" w:rsidRPr="003B6163" w:rsidRDefault="00342783">
            <w:pPr>
              <w:pStyle w:val="Departement"/>
              <w:rPr>
                <w:sz w:val="28"/>
              </w:rPr>
            </w:pPr>
            <w:r w:rsidRPr="003B6163">
              <w:t>Utrikesdepartementet</w:t>
            </w:r>
          </w:p>
        </w:tc>
      </w:tr>
      <w:tr w:rsidR="00CB76AF" w:rsidRPr="003B6163">
        <w:tblPrEx>
          <w:tblCellMar>
            <w:top w:w="0" w:type="dxa"/>
            <w:left w:w="0" w:type="dxa"/>
            <w:bottom w:w="0" w:type="dxa"/>
            <w:right w:w="0" w:type="dxa"/>
          </w:tblCellMar>
        </w:tblPrEx>
        <w:trPr>
          <w:gridAfter w:val="1"/>
          <w:wAfter w:w="8" w:type="dxa"/>
          <w:cantSplit/>
          <w:trHeight w:val="240"/>
        </w:trPr>
        <w:tc>
          <w:tcPr>
            <w:tcW w:w="7647" w:type="dxa"/>
            <w:gridSpan w:val="2"/>
          </w:tcPr>
          <w:p w:rsidR="00CB76AF" w:rsidRPr="003B6163" w:rsidRDefault="00342783">
            <w:pPr>
              <w:pStyle w:val="Dokumentdatum"/>
            </w:pPr>
            <w:r w:rsidRPr="003B6163">
              <w:t>2006-12-10</w:t>
            </w:r>
          </w:p>
        </w:tc>
      </w:tr>
      <w:tr w:rsidR="00CB76AF" w:rsidRPr="003B6163">
        <w:tblPrEx>
          <w:tblCellMar>
            <w:top w:w="0" w:type="dxa"/>
            <w:left w:w="0" w:type="dxa"/>
            <w:bottom w:w="0" w:type="dxa"/>
            <w:right w:w="0" w:type="dxa"/>
          </w:tblCellMar>
        </w:tblPrEx>
        <w:trPr>
          <w:gridAfter w:val="1"/>
          <w:wAfter w:w="8" w:type="dxa"/>
          <w:cantSplit/>
          <w:trHeight w:val="726"/>
        </w:trPr>
        <w:tc>
          <w:tcPr>
            <w:tcW w:w="7647" w:type="dxa"/>
            <w:gridSpan w:val="2"/>
            <w:vAlign w:val="bottom"/>
          </w:tcPr>
          <w:p w:rsidR="00CB76AF" w:rsidRPr="003B6163" w:rsidRDefault="00CB76AF">
            <w:pPr>
              <w:pStyle w:val="Dokumentbeteckning"/>
            </w:pPr>
            <w:r w:rsidRPr="003B6163">
              <w:t>Dokumentbeteckning</w:t>
            </w:r>
          </w:p>
        </w:tc>
      </w:tr>
      <w:tr w:rsidR="00342783" w:rsidRPr="003B6163">
        <w:tblPrEx>
          <w:tblCellMar>
            <w:top w:w="0" w:type="dxa"/>
            <w:left w:w="0" w:type="dxa"/>
            <w:bottom w:w="0" w:type="dxa"/>
            <w:right w:w="0" w:type="dxa"/>
          </w:tblCellMar>
        </w:tblPrEx>
        <w:trPr>
          <w:trHeight w:val="120"/>
        </w:trPr>
        <w:tc>
          <w:tcPr>
            <w:tcW w:w="7655" w:type="dxa"/>
            <w:gridSpan w:val="3"/>
          </w:tcPr>
          <w:p w:rsidR="00342783" w:rsidRPr="003B6163" w:rsidRDefault="00342783" w:rsidP="00342783">
            <w:bookmarkStart w:id="0" w:name="KomNr"/>
            <w:bookmarkEnd w:id="0"/>
            <w:r w:rsidRPr="003B6163">
              <w:t>COM(2006) 567 final</w:t>
            </w:r>
          </w:p>
        </w:tc>
      </w:tr>
      <w:tr w:rsidR="00342783" w:rsidRPr="003B6163">
        <w:tblPrEx>
          <w:tblCellMar>
            <w:top w:w="0" w:type="dxa"/>
            <w:left w:w="0" w:type="dxa"/>
            <w:bottom w:w="0" w:type="dxa"/>
            <w:right w:w="0" w:type="dxa"/>
          </w:tblCellMar>
        </w:tblPrEx>
        <w:trPr>
          <w:trHeight w:val="120"/>
        </w:trPr>
        <w:tc>
          <w:tcPr>
            <w:tcW w:w="7655" w:type="dxa"/>
            <w:gridSpan w:val="3"/>
          </w:tcPr>
          <w:p w:rsidR="00342783" w:rsidRPr="003B6163" w:rsidRDefault="00342783" w:rsidP="00342783">
            <w:pPr>
              <w:pStyle w:val="Dokumentbeteckning-titel"/>
            </w:pPr>
            <w:r w:rsidRPr="003B6163">
              <w:t>GLOBAL EUROPE: COMPETING IN THE WORLD -A Contribution to the EU's Growth and Jobs Strategy</w:t>
            </w:r>
          </w:p>
        </w:tc>
      </w:tr>
    </w:tbl>
    <w:p w:rsidR="00CB76AF" w:rsidRPr="003B6163" w:rsidRDefault="00CB76AF">
      <w:pPr>
        <w:pStyle w:val="Rubrik1"/>
        <w:numPr>
          <w:ilvl w:val="0"/>
          <w:numId w:val="0"/>
        </w:numPr>
      </w:pPr>
      <w:r w:rsidRPr="003B6163">
        <w:t>Sammanfattning</w:t>
      </w:r>
    </w:p>
    <w:p w:rsidR="00CB76AF" w:rsidRPr="003B6163" w:rsidRDefault="00CB76AF" w:rsidP="00094BC3">
      <w:r w:rsidRPr="003B6163">
        <w:t>I sitt meddelande ”Ett konkurrenskraftigt Europa i världen: ett bidrag till EU:s tillväxt- och sysselsättningsstrategi” beskriver kommissionen hur man ska arbeta med den del av Lissabonstrategin som rör ekonomiska förhållanden till länder utanför EU, för att öka unionens konkurrenskraft. Meddelandet kommer att kompletteras med strategier om Kina, immaterialrättsskydd, bilaterala frihandelsavtal, marknadstillträde och offentlig upphandling. En översyn av de handelspolitiska skyddsinstrumenten är också planerad. Sverige ser positivt på kommissionens meddelande. Den planerade översynen av de handelspolitiska skyddsinstrumenten är särskilt välkommen.</w:t>
      </w:r>
    </w:p>
    <w:p w:rsidR="00094BC3" w:rsidRPr="003B6163" w:rsidRDefault="00094BC3" w:rsidP="00094BC3">
      <w:pPr>
        <w:pStyle w:val="Rubrik1"/>
      </w:pPr>
      <w:r w:rsidRPr="003B6163">
        <w:t>Förslaget</w:t>
      </w:r>
    </w:p>
    <w:p w:rsidR="00CB76AF" w:rsidRPr="003B6163" w:rsidRDefault="00CB76AF">
      <w:pPr>
        <w:pStyle w:val="Rubrik2"/>
        <w:spacing w:line="240" w:lineRule="auto"/>
        <w:jc w:val="both"/>
      </w:pPr>
      <w:r w:rsidRPr="003B6163">
        <w:t>Innehåll</w:t>
      </w:r>
    </w:p>
    <w:p w:rsidR="00CB76AF" w:rsidRPr="003B6163" w:rsidRDefault="00CB76AF">
      <w:r w:rsidRPr="003B6163">
        <w:t xml:space="preserve">Inför framtagandet av den andra handlingsplanen för EU:s inre marknad 2000 förde Sverige fram att utrikeshandel och ekonomiska relationer till tredje land borde lyftas fram. Först i och med strategin för den inre marknaden 2003-2006 kom dock frågan med på ett tydligt sätt. Den 4 oktober 2006 presenterade kommissionen slutligen sitt  meddelande ”Ett konkurrenskraftigt Europa i världen: ett bidrag till EU:s tillväxt- och sysselsättningsstrategi”. </w:t>
      </w:r>
    </w:p>
    <w:p w:rsidR="00CB76AF" w:rsidRPr="003B6163" w:rsidRDefault="00CB76AF">
      <w:r w:rsidRPr="003B6163">
        <w:t>I meddelandet beskriver kommissionen hur handelspolitik i bred bemärkelse kan bidra till att skapa tillväxt och arbetstillfällen i Europa. Meddelandet är en handlingsplan men innehåller också kommissionens visioner för EU:s framtida handelspolitik.</w:t>
      </w:r>
    </w:p>
    <w:p w:rsidR="00CB76AF" w:rsidRPr="003B6163" w:rsidRDefault="00CB76AF">
      <w:r w:rsidRPr="003B6163">
        <w:lastRenderedPageBreak/>
        <w:t xml:space="preserve">Kommissionen utgångspunkt är att i en globaliserad ekonomi blir skillnaden mellan intern och extern politik allt mindre. Enligt kommissionen är EU:s egen öppenhet utåt, liksom andras öppenhet för europeisk export, viktiga faktorer för europeisk konkurrenskraft. Därför anser kommissionen att Europa måste möta globaliseringens utmaningar genom egen öppenhet, men också genom att med progressiv handelspolitik öppna andras marknader. På hemmaplan önskar kommissionen bevara öppna marknader, anpassa ekonomierna till nya utmaningar och försäkra sig om att den interna politiken stärker europeiska företag i den globala konkurrensen. Kommissionen vill också hjälpa dem som förlorar på global konkurrens med åtgärder som exempelvis omskolning. </w:t>
      </w:r>
    </w:p>
    <w:p w:rsidR="00CB76AF" w:rsidRPr="003B6163" w:rsidRDefault="00CB76AF">
      <w:r w:rsidRPr="003B6163">
        <w:t>I meddelandet presenteras ett antal initiativ som kommer att läggas fram under återstoden av 2006 samt under 2007. Arbetet med Världshandelsorganisationens Dohaförhandlingar kommer även i fortsättningen att vara första prioritet. Vid sidan av detta planeras en ny generation av bilaterala frihandelsavtal. Dessa ska vara breda och inkludera tjänster och investeringar, och ingås med ekonomiskt intressanta handelspartners. Länderna i ASEAN och Mercosur, Sydkorea, Indien, Ryssland och Gulf-länderna nämns uttryckligen i detta sammanhang. För handelsrelationen med Kina kommer kommissionen att ta fram en särskild strategi. En strategi för skydd för immaterialrättigheter, framförallt bland viktiga handelspartners som Kina, Ryssland Chile och Ukraina, länderna som ingår i ASEAN och Mercosur, förutses i meddelandet. För att öka europeiska företags tillträde till marknader utanför Europa planeras en förnyad marknadstillträdesstrategi samt en ny strategi för tillträde till utländska marknader för offentlig upphandling. Kommissionen planerar även en översyn av de handelspolitiska skyddsinstrumenten för att se hur instrumenten kan göras mer effektiva och bättre anpassas till en globaliserad värld.</w:t>
      </w:r>
    </w:p>
    <w:p w:rsidR="00CB76AF" w:rsidRPr="003B6163" w:rsidRDefault="00CB76AF" w:rsidP="00094BC3">
      <w:pPr>
        <w:pStyle w:val="normal0"/>
        <w:rPr>
          <w:lang w:val="sv-SE"/>
        </w:rPr>
      </w:pPr>
    </w:p>
    <w:p w:rsidR="00CB76AF" w:rsidRPr="003B6163" w:rsidRDefault="00CB76AF">
      <w:pPr>
        <w:pStyle w:val="Rubrik2"/>
        <w:jc w:val="both"/>
      </w:pPr>
      <w:r w:rsidRPr="003B6163">
        <w:t>Gällande svenska regler och förslagets effekt på dessa</w:t>
      </w:r>
    </w:p>
    <w:p w:rsidR="00CB76AF" w:rsidRPr="003B6163" w:rsidRDefault="00CB76AF">
      <w:r w:rsidRPr="003B6163">
        <w:t>Meddelandet i sig har inga effekter på svenska regler. Resultaten av nya strategier inom områden som immaterialrättsskydd, offentlig upphandling och utländska investeringar kan på sikt påverka gällande svenska regler.</w:t>
      </w:r>
    </w:p>
    <w:p w:rsidR="00CB76AF" w:rsidRPr="003B6163" w:rsidRDefault="00CB76AF">
      <w:pPr>
        <w:pStyle w:val="Rubrik2"/>
        <w:jc w:val="both"/>
      </w:pPr>
      <w:r w:rsidRPr="003B6163">
        <w:t>Budgetära konsekvenser</w:t>
      </w:r>
    </w:p>
    <w:p w:rsidR="00CB76AF" w:rsidRPr="003B6163" w:rsidRDefault="00CB76AF">
      <w:r w:rsidRPr="003B6163">
        <w:t>Meddelandet i sig, som endast beskriver kommissionens kommande arbete, har inga budgetära konsekvenser.</w:t>
      </w:r>
    </w:p>
    <w:p w:rsidR="00CB76AF" w:rsidRPr="003B6163" w:rsidRDefault="00CB76AF">
      <w:pPr>
        <w:pStyle w:val="Rubrik1"/>
        <w:jc w:val="both"/>
      </w:pPr>
      <w:r w:rsidRPr="003B6163">
        <w:t>Ståndpunkter</w:t>
      </w:r>
    </w:p>
    <w:p w:rsidR="00CB76AF" w:rsidRPr="003B6163" w:rsidRDefault="00CB76AF">
      <w:pPr>
        <w:pStyle w:val="Rubrik2"/>
        <w:jc w:val="both"/>
      </w:pPr>
      <w:r w:rsidRPr="003B6163">
        <w:t>Svensk ståndpunkt</w:t>
      </w:r>
    </w:p>
    <w:p w:rsidR="00CB76AF" w:rsidRPr="003B6163" w:rsidRDefault="00CB76AF">
      <w:r w:rsidRPr="003B6163">
        <w:t xml:space="preserve">Sverige har varit pådrivande för att EU:s externa handelsrelationer ska ses som en integrerad del av Lissabonstrategin. Sverige har välkomnat kommissionens meddelande. </w:t>
      </w:r>
    </w:p>
    <w:p w:rsidR="00CB76AF" w:rsidRPr="003B6163" w:rsidRDefault="00CB76AF" w:rsidP="00094BC3">
      <w:r w:rsidRPr="003B6163">
        <w:t>I utarbetandet av rådets slutsatser till kommissionens meddelande har Sverige verkat för att slå fast vikten av EU:s egen öppenhet, att EU ska ha ett särskilt ansvar för att Dohaförhandlingarna kan avslutas och att de strategier som förslås i meddelandet kontinuerligt följs upp inom ramen för Lissabonstrategin. Sverige, som traditionellt är negativ till användandet av handelspolitiska skyddsinstrument, har dessutom verkat för att rådet särskilt ska välkomna den planerade översynen av de handelspolitiska skyddsinstrumenten.</w:t>
      </w:r>
    </w:p>
    <w:p w:rsidR="00CB76AF" w:rsidRPr="003B6163" w:rsidRDefault="00CB76AF">
      <w:pPr>
        <w:pStyle w:val="Rubrik2"/>
        <w:jc w:val="both"/>
      </w:pPr>
      <w:r w:rsidRPr="003B6163">
        <w:t>Medlemsstaternas ståndpunkter</w:t>
      </w:r>
    </w:p>
    <w:p w:rsidR="00CB76AF" w:rsidRPr="003B6163" w:rsidRDefault="00CB76AF" w:rsidP="002005E8">
      <w:r w:rsidRPr="003B6163">
        <w:t xml:space="preserve">Samtliga medlemsstater har välkomnat kommissionens meddelande. </w:t>
      </w:r>
    </w:p>
    <w:p w:rsidR="00CB76AF" w:rsidRPr="003B6163" w:rsidRDefault="00CB76AF">
      <w:pPr>
        <w:pStyle w:val="Rubrik2"/>
        <w:jc w:val="both"/>
      </w:pPr>
      <w:r w:rsidRPr="003B6163">
        <w:t>Institutionernas ståndpunkter</w:t>
      </w:r>
    </w:p>
    <w:p w:rsidR="00CB76AF" w:rsidRPr="003B6163" w:rsidRDefault="00CB76AF">
      <w:r w:rsidRPr="003B6163">
        <w:t xml:space="preserve">Endast rådet har uttalat sig över kommissionens meddelande. Rådets slutsatser är generellt hållna och välkomnar kommissionens meddelande. I slutsatserna betonas vikten av EU:s egen öppenhet, och av att man arbetar för att öppna andra länders marknader. Rådets slutsatser betonar att kommissionen måste ha separata bemyndiganden inför inledandet av varje förhandling om nya frihandelsavtal. </w:t>
      </w:r>
    </w:p>
    <w:p w:rsidR="00CB76AF" w:rsidRPr="003B6163" w:rsidRDefault="00CB76AF">
      <w:pPr>
        <w:pStyle w:val="Rubrik2"/>
        <w:jc w:val="both"/>
      </w:pPr>
      <w:r w:rsidRPr="003B6163">
        <w:t>Remissinstansernas ståndpunkter</w:t>
      </w:r>
    </w:p>
    <w:p w:rsidR="00CB76AF" w:rsidRPr="003B6163" w:rsidRDefault="00CB76AF">
      <w:r w:rsidRPr="003B6163">
        <w:t>Meddelandet har inte gått ut på remiss.</w:t>
      </w:r>
    </w:p>
    <w:p w:rsidR="00CB76AF" w:rsidRPr="003B6163" w:rsidRDefault="00CB76AF">
      <w:pPr>
        <w:pStyle w:val="Rubrik1"/>
        <w:jc w:val="both"/>
      </w:pPr>
      <w:r w:rsidRPr="003B6163">
        <w:t>Övrigt</w:t>
      </w:r>
    </w:p>
    <w:p w:rsidR="00CB76AF" w:rsidRPr="003B6163" w:rsidRDefault="00CB76AF">
      <w:pPr>
        <w:pStyle w:val="Rubrik2"/>
        <w:jc w:val="both"/>
      </w:pPr>
      <w:r w:rsidRPr="003B6163">
        <w:t>Fortsatt behandling av ärendet</w:t>
      </w:r>
    </w:p>
    <w:p w:rsidR="00CB76AF" w:rsidRPr="003B6163" w:rsidRDefault="00CB76AF">
      <w:r w:rsidRPr="003B6163">
        <w:t xml:space="preserve">Inget ytterligare rådsbeslut krävs. </w:t>
      </w:r>
    </w:p>
    <w:p w:rsidR="00CB76AF" w:rsidRPr="003B6163" w:rsidRDefault="00CB76AF">
      <w:pPr>
        <w:pStyle w:val="Rubrik2"/>
        <w:jc w:val="both"/>
        <w:rPr>
          <w:rFonts w:eastAsia="Arial Unicode MS"/>
          <w:color w:val="000000"/>
          <w:sz w:val="19"/>
          <w:szCs w:val="19"/>
        </w:rPr>
      </w:pPr>
      <w:r w:rsidRPr="003B6163">
        <w:t>Rättslig grund och beslutsförfarande</w:t>
      </w:r>
    </w:p>
    <w:p w:rsidR="00CB76AF" w:rsidRPr="003B6163" w:rsidRDefault="00CB76AF">
      <w:r w:rsidRPr="003B6163">
        <w:t xml:space="preserve">Enligt artikel 133 punkt 2 ska kommissionen lägga fram förslag för rådet om hur den gemensamma handelspolitiken ska genomföras. </w:t>
      </w:r>
    </w:p>
    <w:p w:rsidR="00CB76AF" w:rsidRPr="003B6163" w:rsidRDefault="00CB76AF" w:rsidP="009662D6">
      <w:pPr>
        <w:pStyle w:val="Rubrik2"/>
        <w:jc w:val="both"/>
      </w:pPr>
      <w:r w:rsidRPr="003B6163">
        <w:t>Fackuttryck/termer</w:t>
      </w:r>
    </w:p>
    <w:p w:rsidR="00CB76AF" w:rsidRPr="003B6163" w:rsidRDefault="00CB76AF">
      <w:r w:rsidRPr="003B6163">
        <w:rPr>
          <w:b/>
          <w:bCs/>
        </w:rPr>
        <w:t>Mercosur</w:t>
      </w:r>
      <w:r w:rsidRPr="003B6163">
        <w:t xml:space="preserve"> (Mercado Común del Sur): Den gemensamma marknaden för ett antal Sydamerikanska länder. I Mercosur ingår Argentina, Brasilien, Paraguay och Uruguay.</w:t>
      </w:r>
    </w:p>
    <w:p w:rsidR="00CB76AF" w:rsidRPr="003B6163" w:rsidRDefault="00CB76AF" w:rsidP="00094BC3">
      <w:r w:rsidRPr="003B6163">
        <w:rPr>
          <w:b/>
        </w:rPr>
        <w:t xml:space="preserve">ASEAN </w:t>
      </w:r>
      <w:r w:rsidRPr="003B6163">
        <w:t xml:space="preserve">(Association of Southeast Asian Nations): En sammanslutning av sydöstasiatiska länder. I ASEAN ingår Brunei, Kambodja, Indonesien, Laos, Malaysia, Myanmar, Filipinerna, Singapore, Thailand och Vietnam </w:t>
      </w:r>
    </w:p>
    <w:p w:rsidR="00CB76AF" w:rsidRPr="003B6163" w:rsidRDefault="00CB76AF" w:rsidP="00094BC3">
      <w:r w:rsidRPr="003B6163">
        <w:rPr>
          <w:b/>
        </w:rPr>
        <w:t>Handelspolitiska skyddsinstrument</w:t>
      </w:r>
      <w:r w:rsidRPr="003B6163">
        <w:t xml:space="preserve"> är instrument för att tillfälligt höja skyddet mot importkonkurrens, vanligtvis genom att höja tullarna. De vanligaste handelspolitiska skyddsinstrumenten är antidumpningsåtgärder, antisubventionsåtgärder och skyddsåtgärder. Sverige är av tradition för en fri handel och är därför negativ till användandet av handelspolitiska skyddsinstrument. </w:t>
      </w:r>
    </w:p>
    <w:sectPr w:rsidR="00CB76AF" w:rsidRPr="003B61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6F6" w:rsidRPr="003B6163" w:rsidRDefault="00AC76F6">
      <w:r w:rsidRPr="003B6163">
        <w:separator/>
      </w:r>
    </w:p>
  </w:endnote>
  <w:endnote w:type="continuationSeparator" w:id="0">
    <w:p w:rsidR="00AC76F6" w:rsidRPr="003B6163" w:rsidRDefault="00AC76F6">
      <w:r w:rsidRPr="003B6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3427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AC76F6">
    <w:pPr>
      <w:pStyle w:val="SidfotH"/>
      <w:framePr w:wrap="around"/>
    </w:pPr>
    <w:r w:rsidRPr="003B6163">
      <w:t>2</w:t>
    </w:r>
  </w:p>
  <w:p w:rsidR="00342783" w:rsidRPr="003B6163" w:rsidRDefault="003427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AC76F6">
    <w:pPr>
      <w:pStyle w:val="SidfotH"/>
      <w:framePr w:wrap="around"/>
    </w:pPr>
    <w:r w:rsidRPr="003B6163">
      <w:t>1</w:t>
    </w:r>
  </w:p>
  <w:p w:rsidR="00342783" w:rsidRPr="003B6163" w:rsidRDefault="00342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6F6" w:rsidRPr="003B6163" w:rsidRDefault="00AC76F6">
      <w:r w:rsidRPr="003B6163">
        <w:separator/>
      </w:r>
    </w:p>
  </w:footnote>
  <w:footnote w:type="continuationSeparator" w:id="0">
    <w:p w:rsidR="00AC76F6" w:rsidRPr="003B6163" w:rsidRDefault="00AC76F6">
      <w:r w:rsidRPr="003B6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3427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342783">
    <w:pPr>
      <w:pStyle w:val="Kantrubrik"/>
      <w:framePr w:h="1157" w:hRule="exact" w:wrap="around" w:y="738"/>
    </w:pPr>
    <w:r w:rsidRPr="003B6163">
      <w:t>2006/07:FPM20</w:t>
    </w:r>
  </w:p>
  <w:p w:rsidR="00342783" w:rsidRPr="003B6163" w:rsidRDefault="003427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3" w:rsidRPr="003B6163" w:rsidRDefault="003B6163">
    <w:pPr>
      <w:pStyle w:val="Sidhuvud"/>
    </w:pPr>
    <w:r w:rsidRPr="003B61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93745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783" w:rsidRDefault="003427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5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42783" w:rsidRDefault="00342783">
                    <w:pPr>
                      <w:pStyle w:val="Logo"/>
                    </w:pPr>
                    <w:r>
                      <w:object w:dxaOrig="840" w:dyaOrig="1545">
                        <v:shape id="_x0000_i1025" type="#_x0000_t75" style="width:42pt;height:77.15pt" fillcolor="window">
                          <v:imagedata r:id="rId1" o:title=""/>
                        </v:shape>
                        <o:OLEObject Type="Embed" ProgID="Word.Picture.8" ShapeID="_x0000_i1025" DrawAspect="Content" ObjectID="_18274595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8854992">
    <w:abstractNumId w:val="4"/>
  </w:num>
  <w:num w:numId="2" w16cid:durableId="1888831412">
    <w:abstractNumId w:val="1"/>
  </w:num>
  <w:num w:numId="3" w16cid:durableId="99037587">
    <w:abstractNumId w:val="2"/>
  </w:num>
  <w:num w:numId="4" w16cid:durableId="482431775">
    <w:abstractNumId w:val="3"/>
  </w:num>
  <w:num w:numId="5" w16cid:durableId="266273893">
    <w:abstractNumId w:val="5"/>
  </w:num>
  <w:num w:numId="6" w16cid:durableId="894778855">
    <w:abstractNumId w:val="0"/>
  </w:num>
  <w:num w:numId="7" w16cid:durableId="1971593202">
    <w:abstractNumId w:val="0"/>
  </w:num>
  <w:num w:numId="8" w16cid:durableId="91436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2-11"/>
    <w:docVar w:name="Ar" w:val="2006/07"/>
    <w:docVar w:name="Dep" w:val="Utrikesdepartementet"/>
    <w:docVar w:name="DepWeb" w:val="Utrikesdepartementet"/>
    <w:docVar w:name="GDB1" w:val="COM(2006) 567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LOBAL EUROPE: COMPETING IN THE WORLD -A Contribution to the EU's Growth and Jobs Strateg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6) 567 final"/>
    <w:docVar w:name="Nr" w:val="20"/>
    <w:docVar w:name="RD_APPVERSION" w:val="3.00"/>
    <w:docVar w:name="Rub" w:val="Ett konkurrenskraftigt Europa i världen"/>
    <w:docVar w:name="UppDat" w:val="2006-12-10"/>
    <w:docVar w:name="Utsk" w:val="Näringsutskottet"/>
  </w:docVars>
  <w:rsids>
    <w:rsidRoot w:val="003B6163"/>
    <w:rsid w:val="00094BC3"/>
    <w:rsid w:val="000C6E90"/>
    <w:rsid w:val="002005E8"/>
    <w:rsid w:val="00342783"/>
    <w:rsid w:val="003B6163"/>
    <w:rsid w:val="0053458D"/>
    <w:rsid w:val="00602094"/>
    <w:rsid w:val="00901317"/>
    <w:rsid w:val="009662D6"/>
    <w:rsid w:val="00AC76F6"/>
    <w:rsid w:val="00CB267F"/>
    <w:rsid w:val="00CB76AF"/>
    <w:rsid w:val="00CE4F1F"/>
    <w:rsid w:val="00F56A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D28E92-4040-4F67-A6DE-228A2563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rFonts w:ascii="OrigGarmnd BT" w:hAnsi="OrigGarmnd BT"/>
      <w:sz w:val="24"/>
      <w:lang w:eastAsia="en-US"/>
    </w:rPr>
  </w:style>
  <w:style w:type="paragraph" w:customStyle="1" w:styleId="normal0">
    <w:name w:val="normal"/>
    <w:basedOn w:val="Normal"/>
    <w:pPr>
      <w:spacing w:before="100" w:beforeAutospacing="1" w:after="100" w:afterAutospacing="1" w:line="240" w:lineRule="auto"/>
      <w:jc w:val="left"/>
    </w:pPr>
    <w:rPr>
      <w:rFonts w:ascii="Verdana" w:eastAsia="Arial Unicode MS" w:hAnsi="Verdana" w:cs="Arial Unicode M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819</Words>
  <Characters>5492</Characters>
  <Application>Microsoft Office Word</Application>
  <DocSecurity>4</DocSecurity>
  <Lines>112</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2006-12-11T08:24:00Z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COM(2006) 567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Ett konkurrenskraftigt Europa i världen</vt:lpwstr>
  </property>
  <property fmtid="{D5CDD505-2E9C-101B-9397-08002B2CF9AE}" pid="8" name="UppDat">
    <vt:lpwstr>2006-12-10</vt:lpwstr>
  </property>
  <property fmtid="{D5CDD505-2E9C-101B-9397-08002B2CF9AE}" pid="9" name="AnkDat">
    <vt:lpwstr>2006-12-11</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3;0;0;218</vt:lpwstr>
  </property>
  <property fmtid="{D5CDD505-2E9C-101B-9397-08002B2CF9AE}" pid="39" name="Sprak">
    <vt:lpwstr>Svenska</vt:lpwstr>
  </property>
  <property fmtid="{D5CDD505-2E9C-101B-9397-08002B2CF9AE}" pid="40" name="DokID">
    <vt:i4>80</vt:i4>
  </property>
</Properties>
</file>