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BCA08-0A4B-41CA-A522-2EB25FFCD68E}"/>
</file>

<file path=customXml/itemProps2.xml><?xml version="1.0" encoding="utf-8"?>
<ds:datastoreItem xmlns:ds="http://schemas.openxmlformats.org/officeDocument/2006/customXml" ds:itemID="{0DCFB2CF-33D8-40D6-8AAA-51FBACEB9D0F}"/>
</file>

<file path=customXml/itemProps3.xml><?xml version="1.0" encoding="utf-8"?>
<ds:datastoreItem xmlns:ds="http://schemas.openxmlformats.org/officeDocument/2006/customXml" ds:itemID="{9164A981-975F-49BE-B38D-6B8CBA48B2D4}"/>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