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18D" w:rsidRPr="006F13FE" w:rsidRDefault="0044118D" w:rsidP="0044118D">
      <w:pPr>
        <w:pStyle w:val="RubrikInnehllsf"/>
      </w:pPr>
      <w:bookmarkStart w:id="0" w:name="_Toc131234643"/>
      <w:bookmarkStart w:id="1" w:name="_Toc131827368"/>
      <w:r w:rsidRPr="006F13FE">
        <w:t>Innehållsförteckning</w:t>
      </w:r>
      <w:bookmarkEnd w:id="0"/>
      <w:bookmarkEnd w:id="1"/>
    </w:p>
    <w:bookmarkStart w:id="2" w:name="_Toc131234644"/>
    <w:p w:rsidR="0005403F" w:rsidRPr="006F13FE" w:rsidRDefault="00162F20" w:rsidP="0005403F">
      <w:pPr>
        <w:pStyle w:val="Innehll1"/>
        <w:tabs>
          <w:tab w:val="left" w:pos="285"/>
        </w:tabs>
        <w:spacing w:before="125"/>
        <w:rPr>
          <w:sz w:val="24"/>
          <w:szCs w:val="24"/>
        </w:rPr>
      </w:pPr>
      <w:r w:rsidRPr="006F13FE">
        <w:fldChar w:fldCharType="begin" w:fldLock="1"/>
      </w:r>
      <w:r w:rsidRPr="006F13FE">
        <w:instrText xml:space="preserve"> TOC \o "1-3" \t "HEMSTL_RUBRIK" </w:instrText>
      </w:r>
      <w:r w:rsidRPr="006F13FE">
        <w:fldChar w:fldCharType="separate"/>
      </w:r>
      <w:r w:rsidR="0005403F" w:rsidRPr="006F13FE">
        <w:t>1</w:t>
      </w:r>
      <w:r w:rsidR="0005403F" w:rsidRPr="006F13FE">
        <w:rPr>
          <w:sz w:val="24"/>
          <w:szCs w:val="24"/>
        </w:rPr>
        <w:tab/>
      </w:r>
      <w:r w:rsidR="0005403F" w:rsidRPr="006F13FE">
        <w:t>Innehållsförteckning</w:t>
      </w:r>
      <w:r w:rsidR="0005403F" w:rsidRPr="006F13FE">
        <w:tab/>
      </w:r>
      <w:r w:rsidR="0005403F" w:rsidRPr="006F13FE">
        <w:fldChar w:fldCharType="begin" w:fldLock="1"/>
      </w:r>
      <w:r w:rsidR="0005403F" w:rsidRPr="006F13FE">
        <w:instrText xml:space="preserve"> PAGEREF _Toc131827368 \h </w:instrText>
      </w:r>
      <w:r w:rsidR="0005403F" w:rsidRPr="006F13FE">
        <w:fldChar w:fldCharType="separate"/>
      </w:r>
      <w:r w:rsidR="00E1005F" w:rsidRPr="006F13FE">
        <w:t>1</w:t>
      </w:r>
      <w:r w:rsidR="0005403F" w:rsidRPr="006F13FE">
        <w:fldChar w:fldCharType="end"/>
      </w:r>
    </w:p>
    <w:p w:rsidR="0005403F" w:rsidRPr="006F13FE" w:rsidRDefault="0005403F" w:rsidP="0005403F">
      <w:pPr>
        <w:pStyle w:val="Innehll1"/>
        <w:tabs>
          <w:tab w:val="left" w:pos="285"/>
        </w:tabs>
        <w:rPr>
          <w:sz w:val="24"/>
          <w:szCs w:val="24"/>
        </w:rPr>
      </w:pPr>
      <w:r w:rsidRPr="006F13FE">
        <w:t>2</w:t>
      </w:r>
      <w:r w:rsidRPr="006F13FE">
        <w:rPr>
          <w:sz w:val="24"/>
          <w:szCs w:val="24"/>
        </w:rPr>
        <w:tab/>
      </w:r>
      <w:r w:rsidRPr="006F13FE">
        <w:t>Förslag till riksdagsbeslut</w:t>
      </w:r>
      <w:r w:rsidRPr="006F13FE">
        <w:tab/>
      </w:r>
      <w:r w:rsidRPr="006F13FE">
        <w:fldChar w:fldCharType="begin" w:fldLock="1"/>
      </w:r>
      <w:r w:rsidRPr="006F13FE">
        <w:instrText xml:space="preserve"> PAGEREF _Toc131827369 \h </w:instrText>
      </w:r>
      <w:r w:rsidRPr="006F13FE">
        <w:fldChar w:fldCharType="separate"/>
      </w:r>
      <w:r w:rsidR="00E1005F" w:rsidRPr="006F13FE">
        <w:t>2</w:t>
      </w:r>
      <w:r w:rsidRPr="006F13FE">
        <w:fldChar w:fldCharType="end"/>
      </w:r>
    </w:p>
    <w:p w:rsidR="0005403F" w:rsidRPr="006F13FE" w:rsidRDefault="0005403F" w:rsidP="0005403F">
      <w:pPr>
        <w:pStyle w:val="Innehll1"/>
        <w:tabs>
          <w:tab w:val="left" w:pos="285"/>
        </w:tabs>
        <w:rPr>
          <w:sz w:val="24"/>
          <w:szCs w:val="24"/>
        </w:rPr>
      </w:pPr>
      <w:r w:rsidRPr="006F13FE">
        <w:t>3</w:t>
      </w:r>
      <w:r w:rsidRPr="006F13FE">
        <w:rPr>
          <w:sz w:val="24"/>
          <w:szCs w:val="24"/>
        </w:rPr>
        <w:tab/>
      </w:r>
      <w:r w:rsidRPr="006F13FE">
        <w:t>Sammanfattning</w:t>
      </w:r>
      <w:r w:rsidRPr="006F13FE">
        <w:tab/>
      </w:r>
      <w:r w:rsidRPr="006F13FE">
        <w:fldChar w:fldCharType="begin" w:fldLock="1"/>
      </w:r>
      <w:r w:rsidRPr="006F13FE">
        <w:instrText xml:space="preserve"> PAGEREF _Toc131827370 \h </w:instrText>
      </w:r>
      <w:r w:rsidRPr="006F13FE">
        <w:fldChar w:fldCharType="separate"/>
      </w:r>
      <w:r w:rsidR="00E1005F" w:rsidRPr="006F13FE">
        <w:t>2</w:t>
      </w:r>
      <w:r w:rsidRPr="006F13FE">
        <w:fldChar w:fldCharType="end"/>
      </w:r>
    </w:p>
    <w:p w:rsidR="0005403F" w:rsidRPr="006F13FE" w:rsidRDefault="0005403F" w:rsidP="0005403F">
      <w:pPr>
        <w:pStyle w:val="Innehll1"/>
        <w:tabs>
          <w:tab w:val="left" w:pos="285"/>
        </w:tabs>
        <w:rPr>
          <w:sz w:val="24"/>
          <w:szCs w:val="24"/>
        </w:rPr>
      </w:pPr>
      <w:r w:rsidRPr="006F13FE">
        <w:t>4</w:t>
      </w:r>
      <w:r w:rsidRPr="006F13FE">
        <w:rPr>
          <w:sz w:val="24"/>
          <w:szCs w:val="24"/>
        </w:rPr>
        <w:tab/>
      </w:r>
      <w:r w:rsidRPr="006F13FE">
        <w:t>Inledning</w:t>
      </w:r>
      <w:r w:rsidRPr="006F13FE">
        <w:tab/>
      </w:r>
      <w:r w:rsidRPr="006F13FE">
        <w:fldChar w:fldCharType="begin" w:fldLock="1"/>
      </w:r>
      <w:r w:rsidRPr="006F13FE">
        <w:instrText xml:space="preserve"> PAGEREF _Toc131827371 \h </w:instrText>
      </w:r>
      <w:r w:rsidRPr="006F13FE">
        <w:fldChar w:fldCharType="separate"/>
      </w:r>
      <w:r w:rsidR="00E1005F" w:rsidRPr="006F13FE">
        <w:t>2</w:t>
      </w:r>
      <w:r w:rsidRPr="006F13FE">
        <w:fldChar w:fldCharType="end"/>
      </w:r>
    </w:p>
    <w:p w:rsidR="0005403F" w:rsidRPr="006F13FE" w:rsidRDefault="0005403F" w:rsidP="0005403F">
      <w:pPr>
        <w:pStyle w:val="Innehll1"/>
        <w:tabs>
          <w:tab w:val="left" w:pos="285"/>
        </w:tabs>
        <w:rPr>
          <w:sz w:val="24"/>
          <w:szCs w:val="24"/>
        </w:rPr>
      </w:pPr>
      <w:r w:rsidRPr="006F13FE">
        <w:t>5</w:t>
      </w:r>
      <w:r w:rsidRPr="006F13FE">
        <w:rPr>
          <w:sz w:val="24"/>
          <w:szCs w:val="24"/>
        </w:rPr>
        <w:tab/>
      </w:r>
      <w:r w:rsidRPr="006F13FE">
        <w:t>Kritik av handlingsplanen</w:t>
      </w:r>
      <w:r w:rsidRPr="006F13FE">
        <w:tab/>
      </w:r>
      <w:r w:rsidRPr="006F13FE">
        <w:fldChar w:fldCharType="begin" w:fldLock="1"/>
      </w:r>
      <w:r w:rsidRPr="006F13FE">
        <w:instrText xml:space="preserve"> PAGEREF _Toc131827372 \h </w:instrText>
      </w:r>
      <w:r w:rsidRPr="006F13FE">
        <w:fldChar w:fldCharType="separate"/>
      </w:r>
      <w:r w:rsidR="00E1005F" w:rsidRPr="006F13FE">
        <w:t>3</w:t>
      </w:r>
      <w:r w:rsidRPr="006F13FE">
        <w:fldChar w:fldCharType="end"/>
      </w:r>
    </w:p>
    <w:p w:rsidR="0005403F" w:rsidRPr="006F13FE" w:rsidRDefault="0005403F" w:rsidP="00E1005F">
      <w:pPr>
        <w:pStyle w:val="Innehll2"/>
        <w:tabs>
          <w:tab w:val="left" w:pos="475"/>
        </w:tabs>
        <w:ind w:left="95"/>
        <w:rPr>
          <w:sz w:val="24"/>
          <w:szCs w:val="24"/>
        </w:rPr>
      </w:pPr>
      <w:r w:rsidRPr="006F13FE">
        <w:t>5.1</w:t>
      </w:r>
      <w:r w:rsidRPr="006F13FE">
        <w:rPr>
          <w:sz w:val="24"/>
          <w:szCs w:val="24"/>
        </w:rPr>
        <w:tab/>
      </w:r>
      <w:r w:rsidRPr="006F13FE">
        <w:t>Rättighetsfrågor</w:t>
      </w:r>
      <w:r w:rsidRPr="006F13FE">
        <w:tab/>
      </w:r>
      <w:r w:rsidRPr="006F13FE">
        <w:fldChar w:fldCharType="begin" w:fldLock="1"/>
      </w:r>
      <w:r w:rsidRPr="006F13FE">
        <w:instrText xml:space="preserve"> PAGEREF _Toc131827373 \h </w:instrText>
      </w:r>
      <w:r w:rsidRPr="006F13FE">
        <w:fldChar w:fldCharType="separate"/>
      </w:r>
      <w:r w:rsidR="00E1005F" w:rsidRPr="006F13FE">
        <w:t>3</w:t>
      </w:r>
      <w:r w:rsidRPr="006F13FE">
        <w:fldChar w:fldCharType="end"/>
      </w:r>
    </w:p>
    <w:p w:rsidR="0005403F" w:rsidRPr="006F13FE" w:rsidRDefault="0005403F" w:rsidP="00E1005F">
      <w:pPr>
        <w:pStyle w:val="Innehll3"/>
        <w:tabs>
          <w:tab w:val="left" w:pos="760"/>
        </w:tabs>
        <w:ind w:left="190"/>
        <w:rPr>
          <w:sz w:val="24"/>
          <w:szCs w:val="24"/>
        </w:rPr>
      </w:pPr>
      <w:r w:rsidRPr="006F13FE">
        <w:t>5.1.1</w:t>
      </w:r>
      <w:r w:rsidRPr="006F13FE">
        <w:rPr>
          <w:sz w:val="24"/>
          <w:szCs w:val="24"/>
        </w:rPr>
        <w:tab/>
      </w:r>
      <w:r w:rsidRPr="006F13FE">
        <w:t>Diskriminering</w:t>
      </w:r>
      <w:r w:rsidRPr="006F13FE">
        <w:tab/>
      </w:r>
      <w:r w:rsidRPr="006F13FE">
        <w:fldChar w:fldCharType="begin" w:fldLock="1"/>
      </w:r>
      <w:r w:rsidRPr="006F13FE">
        <w:instrText xml:space="preserve"> PAGEREF _Toc131827374 \h </w:instrText>
      </w:r>
      <w:r w:rsidRPr="006F13FE">
        <w:fldChar w:fldCharType="separate"/>
      </w:r>
      <w:r w:rsidR="00E1005F" w:rsidRPr="006F13FE">
        <w:t>3</w:t>
      </w:r>
      <w:r w:rsidRPr="006F13FE">
        <w:fldChar w:fldCharType="end"/>
      </w:r>
    </w:p>
    <w:p w:rsidR="0005403F" w:rsidRPr="006F13FE" w:rsidRDefault="0005403F" w:rsidP="00E1005F">
      <w:pPr>
        <w:pStyle w:val="Innehll3"/>
        <w:tabs>
          <w:tab w:val="left" w:pos="760"/>
        </w:tabs>
        <w:ind w:left="190"/>
        <w:rPr>
          <w:sz w:val="24"/>
          <w:szCs w:val="24"/>
        </w:rPr>
      </w:pPr>
      <w:r w:rsidRPr="006F13FE">
        <w:t>5.1.2</w:t>
      </w:r>
      <w:r w:rsidRPr="006F13FE">
        <w:rPr>
          <w:sz w:val="24"/>
          <w:szCs w:val="24"/>
        </w:rPr>
        <w:tab/>
      </w:r>
      <w:r w:rsidRPr="006F13FE">
        <w:t>Barnets rättigheter</w:t>
      </w:r>
      <w:r w:rsidRPr="006F13FE">
        <w:tab/>
      </w:r>
      <w:r w:rsidRPr="006F13FE">
        <w:fldChar w:fldCharType="begin" w:fldLock="1"/>
      </w:r>
      <w:r w:rsidRPr="006F13FE">
        <w:instrText xml:space="preserve"> PAGEREF _Toc131827375 \h </w:instrText>
      </w:r>
      <w:r w:rsidRPr="006F13FE">
        <w:fldChar w:fldCharType="separate"/>
      </w:r>
      <w:r w:rsidR="00E1005F" w:rsidRPr="006F13FE">
        <w:t>3</w:t>
      </w:r>
      <w:r w:rsidRPr="006F13FE">
        <w:fldChar w:fldCharType="end"/>
      </w:r>
    </w:p>
    <w:p w:rsidR="0005403F" w:rsidRPr="006F13FE" w:rsidRDefault="0005403F" w:rsidP="00E1005F">
      <w:pPr>
        <w:pStyle w:val="Innehll3"/>
        <w:tabs>
          <w:tab w:val="left" w:pos="760"/>
        </w:tabs>
        <w:ind w:left="190"/>
        <w:rPr>
          <w:sz w:val="24"/>
          <w:szCs w:val="24"/>
        </w:rPr>
      </w:pPr>
      <w:r w:rsidRPr="006F13FE">
        <w:t>5.1.3</w:t>
      </w:r>
      <w:r w:rsidRPr="006F13FE">
        <w:rPr>
          <w:sz w:val="24"/>
          <w:szCs w:val="24"/>
        </w:rPr>
        <w:tab/>
      </w:r>
      <w:r w:rsidRPr="006F13FE">
        <w:t>Ekonomiska, sociala och kulturella rättigheter</w:t>
      </w:r>
      <w:r w:rsidRPr="006F13FE">
        <w:tab/>
      </w:r>
      <w:r w:rsidRPr="006F13FE">
        <w:fldChar w:fldCharType="begin" w:fldLock="1"/>
      </w:r>
      <w:r w:rsidRPr="006F13FE">
        <w:instrText xml:space="preserve"> PAGEREF _Toc131827376 \h </w:instrText>
      </w:r>
      <w:r w:rsidRPr="006F13FE">
        <w:fldChar w:fldCharType="separate"/>
      </w:r>
      <w:r w:rsidR="00E1005F" w:rsidRPr="006F13FE">
        <w:t>3</w:t>
      </w:r>
      <w:r w:rsidRPr="006F13FE">
        <w:fldChar w:fldCharType="end"/>
      </w:r>
    </w:p>
    <w:p w:rsidR="0005403F" w:rsidRPr="006F13FE" w:rsidRDefault="0005403F" w:rsidP="00E1005F">
      <w:pPr>
        <w:pStyle w:val="Innehll3"/>
        <w:tabs>
          <w:tab w:val="left" w:pos="760"/>
        </w:tabs>
        <w:ind w:left="190"/>
        <w:rPr>
          <w:sz w:val="24"/>
          <w:szCs w:val="24"/>
        </w:rPr>
      </w:pPr>
      <w:r w:rsidRPr="006F13FE">
        <w:t>5.1.4</w:t>
      </w:r>
      <w:r w:rsidRPr="006F13FE">
        <w:rPr>
          <w:sz w:val="24"/>
          <w:szCs w:val="24"/>
        </w:rPr>
        <w:tab/>
      </w:r>
      <w:r w:rsidRPr="006F13FE">
        <w:t>Mäns våld mot kvinnor m.m.</w:t>
      </w:r>
      <w:r w:rsidRPr="006F13FE">
        <w:tab/>
      </w:r>
      <w:r w:rsidRPr="006F13FE">
        <w:fldChar w:fldCharType="begin" w:fldLock="1"/>
      </w:r>
      <w:r w:rsidRPr="006F13FE">
        <w:instrText xml:space="preserve"> PAGEREF _Toc131827377 \h </w:instrText>
      </w:r>
      <w:r w:rsidRPr="006F13FE">
        <w:fldChar w:fldCharType="separate"/>
      </w:r>
      <w:r w:rsidR="00E1005F" w:rsidRPr="006F13FE">
        <w:t>4</w:t>
      </w:r>
      <w:r w:rsidRPr="006F13FE">
        <w:fldChar w:fldCharType="end"/>
      </w:r>
    </w:p>
    <w:p w:rsidR="0005403F" w:rsidRPr="006F13FE" w:rsidRDefault="0005403F" w:rsidP="00E1005F">
      <w:pPr>
        <w:pStyle w:val="Innehll3"/>
        <w:tabs>
          <w:tab w:val="left" w:pos="760"/>
        </w:tabs>
        <w:ind w:left="190"/>
        <w:rPr>
          <w:sz w:val="24"/>
          <w:szCs w:val="24"/>
        </w:rPr>
      </w:pPr>
      <w:r w:rsidRPr="006F13FE">
        <w:t>5.1.5</w:t>
      </w:r>
      <w:r w:rsidRPr="006F13FE">
        <w:rPr>
          <w:sz w:val="24"/>
          <w:szCs w:val="24"/>
        </w:rPr>
        <w:tab/>
      </w:r>
      <w:r w:rsidRPr="006F13FE">
        <w:t>Rättsstatliga frågor</w:t>
      </w:r>
      <w:r w:rsidRPr="006F13FE">
        <w:tab/>
      </w:r>
      <w:r w:rsidRPr="006F13FE">
        <w:fldChar w:fldCharType="begin" w:fldLock="1"/>
      </w:r>
      <w:r w:rsidRPr="006F13FE">
        <w:instrText xml:space="preserve"> PAGEREF _Toc131827378 \h </w:instrText>
      </w:r>
      <w:r w:rsidRPr="006F13FE">
        <w:fldChar w:fldCharType="separate"/>
      </w:r>
      <w:r w:rsidR="00E1005F" w:rsidRPr="006F13FE">
        <w:t>5</w:t>
      </w:r>
      <w:r w:rsidRPr="006F13FE">
        <w:fldChar w:fldCharType="end"/>
      </w:r>
    </w:p>
    <w:p w:rsidR="0005403F" w:rsidRPr="006F13FE" w:rsidRDefault="0005403F" w:rsidP="00E1005F">
      <w:pPr>
        <w:pStyle w:val="Innehll2"/>
        <w:tabs>
          <w:tab w:val="left" w:pos="475"/>
        </w:tabs>
        <w:ind w:left="95"/>
        <w:rPr>
          <w:sz w:val="24"/>
          <w:szCs w:val="24"/>
        </w:rPr>
      </w:pPr>
      <w:r w:rsidRPr="006F13FE">
        <w:t>5.2</w:t>
      </w:r>
      <w:r w:rsidRPr="006F13FE">
        <w:rPr>
          <w:sz w:val="24"/>
          <w:szCs w:val="24"/>
        </w:rPr>
        <w:tab/>
      </w:r>
      <w:r w:rsidRPr="006F13FE">
        <w:t>Politiska rättigheter</w:t>
      </w:r>
      <w:r w:rsidRPr="006F13FE">
        <w:tab/>
      </w:r>
      <w:r w:rsidRPr="006F13FE">
        <w:fldChar w:fldCharType="begin" w:fldLock="1"/>
      </w:r>
      <w:r w:rsidRPr="006F13FE">
        <w:instrText xml:space="preserve"> PAGEREF _Toc131827379 \h </w:instrText>
      </w:r>
      <w:r w:rsidRPr="006F13FE">
        <w:fldChar w:fldCharType="separate"/>
      </w:r>
      <w:r w:rsidR="00E1005F" w:rsidRPr="006F13FE">
        <w:t>7</w:t>
      </w:r>
      <w:r w:rsidRPr="006F13FE">
        <w:fldChar w:fldCharType="end"/>
      </w:r>
    </w:p>
    <w:p w:rsidR="0005403F" w:rsidRPr="006F13FE" w:rsidRDefault="0005403F" w:rsidP="00E1005F">
      <w:pPr>
        <w:pStyle w:val="Innehll3"/>
        <w:tabs>
          <w:tab w:val="left" w:pos="760"/>
        </w:tabs>
        <w:ind w:left="190"/>
      </w:pPr>
      <w:r w:rsidRPr="006F13FE">
        <w:t>5.2.1</w:t>
      </w:r>
      <w:r w:rsidRPr="006F13FE">
        <w:rPr>
          <w:sz w:val="24"/>
          <w:szCs w:val="24"/>
        </w:rPr>
        <w:tab/>
      </w:r>
      <w:r w:rsidRPr="006F13FE">
        <w:t>Föreningsfriheten</w:t>
      </w:r>
      <w:r w:rsidRPr="006F13FE">
        <w:tab/>
      </w:r>
      <w:r w:rsidRPr="006F13FE">
        <w:fldChar w:fldCharType="begin" w:fldLock="1"/>
      </w:r>
      <w:r w:rsidRPr="006F13FE">
        <w:instrText xml:space="preserve"> PAGEREF _Toc131827380 \h </w:instrText>
      </w:r>
      <w:r w:rsidRPr="006F13FE">
        <w:fldChar w:fldCharType="separate"/>
      </w:r>
      <w:r w:rsidR="00E1005F" w:rsidRPr="006F13FE">
        <w:t>7</w:t>
      </w:r>
      <w:r w:rsidRPr="006F13FE">
        <w:fldChar w:fldCharType="end"/>
      </w:r>
    </w:p>
    <w:p w:rsidR="0005403F" w:rsidRPr="006F13FE" w:rsidRDefault="0005403F" w:rsidP="00E1005F">
      <w:pPr>
        <w:pStyle w:val="Innehll3"/>
        <w:tabs>
          <w:tab w:val="left" w:pos="760"/>
        </w:tabs>
        <w:ind w:left="190"/>
      </w:pPr>
      <w:r w:rsidRPr="006F13FE">
        <w:t>5.2.2</w:t>
      </w:r>
      <w:r w:rsidRPr="006F13FE">
        <w:tab/>
        <w:t>Övriga fri- och rättigheter</w:t>
      </w:r>
      <w:r w:rsidRPr="006F13FE">
        <w:tab/>
      </w:r>
      <w:r w:rsidRPr="006F13FE">
        <w:fldChar w:fldCharType="begin" w:fldLock="1"/>
      </w:r>
      <w:r w:rsidRPr="006F13FE">
        <w:instrText xml:space="preserve"> PAGEREF _Toc131827381 \h </w:instrText>
      </w:r>
      <w:r w:rsidRPr="006F13FE">
        <w:fldChar w:fldCharType="separate"/>
      </w:r>
      <w:r w:rsidR="00E1005F" w:rsidRPr="006F13FE">
        <w:t>8</w:t>
      </w:r>
      <w:r w:rsidRPr="006F13FE">
        <w:fldChar w:fldCharType="end"/>
      </w:r>
    </w:p>
    <w:p w:rsidR="0005403F" w:rsidRPr="006F13FE" w:rsidRDefault="0005403F" w:rsidP="00E1005F">
      <w:pPr>
        <w:pStyle w:val="Innehll3"/>
        <w:tabs>
          <w:tab w:val="left" w:pos="760"/>
        </w:tabs>
        <w:ind w:left="190"/>
        <w:rPr>
          <w:sz w:val="24"/>
          <w:szCs w:val="24"/>
        </w:rPr>
      </w:pPr>
      <w:r w:rsidRPr="006F13FE">
        <w:t>5.2.3</w:t>
      </w:r>
      <w:r w:rsidRPr="006F13FE">
        <w:tab/>
        <w:t>Ett förstärkt minoritetsskydd</w:t>
      </w:r>
      <w:r w:rsidRPr="006F13FE">
        <w:tab/>
      </w:r>
      <w:r w:rsidRPr="006F13FE">
        <w:fldChar w:fldCharType="begin" w:fldLock="1"/>
      </w:r>
      <w:r w:rsidRPr="006F13FE">
        <w:instrText xml:space="preserve"> PAGEREF _Toc131827382 \h </w:instrText>
      </w:r>
      <w:r w:rsidRPr="006F13FE">
        <w:fldChar w:fldCharType="separate"/>
      </w:r>
      <w:r w:rsidR="00E1005F" w:rsidRPr="006F13FE">
        <w:t>8</w:t>
      </w:r>
      <w:r w:rsidRPr="006F13FE">
        <w:fldChar w:fldCharType="end"/>
      </w:r>
    </w:p>
    <w:p w:rsidR="0005403F" w:rsidRPr="006F13FE" w:rsidRDefault="0005403F" w:rsidP="00E1005F">
      <w:pPr>
        <w:pStyle w:val="Innehll2"/>
        <w:tabs>
          <w:tab w:val="left" w:pos="475"/>
        </w:tabs>
        <w:ind w:left="95"/>
        <w:rPr>
          <w:sz w:val="24"/>
          <w:szCs w:val="24"/>
        </w:rPr>
      </w:pPr>
      <w:r w:rsidRPr="006F13FE">
        <w:t>5.3</w:t>
      </w:r>
      <w:r w:rsidRPr="006F13FE">
        <w:rPr>
          <w:sz w:val="24"/>
          <w:szCs w:val="24"/>
        </w:rPr>
        <w:tab/>
      </w:r>
      <w:r w:rsidRPr="006F13FE">
        <w:t>Attitydpåverkande arbete</w:t>
      </w:r>
      <w:r w:rsidRPr="006F13FE">
        <w:tab/>
      </w:r>
      <w:r w:rsidRPr="006F13FE">
        <w:fldChar w:fldCharType="begin" w:fldLock="1"/>
      </w:r>
      <w:r w:rsidRPr="006F13FE">
        <w:instrText xml:space="preserve"> PAGEREF _Toc131827383 \h </w:instrText>
      </w:r>
      <w:r w:rsidRPr="006F13FE">
        <w:fldChar w:fldCharType="separate"/>
      </w:r>
      <w:r w:rsidR="00E1005F" w:rsidRPr="006F13FE">
        <w:t>9</w:t>
      </w:r>
      <w:r w:rsidRPr="006F13FE">
        <w:fldChar w:fldCharType="end"/>
      </w:r>
    </w:p>
    <w:p w:rsidR="0005403F" w:rsidRPr="006F13FE" w:rsidRDefault="0005403F" w:rsidP="00E1005F">
      <w:pPr>
        <w:pStyle w:val="Innehll3"/>
        <w:tabs>
          <w:tab w:val="left" w:pos="760"/>
        </w:tabs>
        <w:ind w:left="190"/>
        <w:rPr>
          <w:sz w:val="24"/>
          <w:szCs w:val="24"/>
        </w:rPr>
      </w:pPr>
      <w:r w:rsidRPr="006F13FE">
        <w:t>5.3.1</w:t>
      </w:r>
      <w:r w:rsidRPr="006F13FE">
        <w:rPr>
          <w:sz w:val="24"/>
          <w:szCs w:val="24"/>
        </w:rPr>
        <w:tab/>
      </w:r>
      <w:r w:rsidRPr="006F13FE">
        <w:t>Språk- och informationsfrågor</w:t>
      </w:r>
      <w:r w:rsidRPr="006F13FE">
        <w:tab/>
      </w:r>
      <w:r w:rsidRPr="006F13FE">
        <w:fldChar w:fldCharType="begin" w:fldLock="1"/>
      </w:r>
      <w:r w:rsidRPr="006F13FE">
        <w:instrText xml:space="preserve"> PAGEREF _Toc131827384 \h </w:instrText>
      </w:r>
      <w:r w:rsidRPr="006F13FE">
        <w:fldChar w:fldCharType="separate"/>
      </w:r>
      <w:r w:rsidR="00E1005F" w:rsidRPr="006F13FE">
        <w:t>9</w:t>
      </w:r>
      <w:r w:rsidRPr="006F13FE">
        <w:fldChar w:fldCharType="end"/>
      </w:r>
    </w:p>
    <w:p w:rsidR="0005403F" w:rsidRPr="006F13FE" w:rsidRDefault="0005403F" w:rsidP="00E1005F">
      <w:pPr>
        <w:pStyle w:val="Innehll2"/>
        <w:tabs>
          <w:tab w:val="left" w:pos="475"/>
        </w:tabs>
        <w:ind w:left="95"/>
        <w:rPr>
          <w:sz w:val="24"/>
          <w:szCs w:val="24"/>
        </w:rPr>
      </w:pPr>
      <w:r w:rsidRPr="006F13FE">
        <w:t>5.4</w:t>
      </w:r>
      <w:r w:rsidRPr="006F13FE">
        <w:rPr>
          <w:sz w:val="24"/>
          <w:szCs w:val="24"/>
        </w:rPr>
        <w:tab/>
      </w:r>
      <w:r w:rsidRPr="006F13FE">
        <w:t>Internationellt</w:t>
      </w:r>
      <w:r w:rsidRPr="006F13FE">
        <w:tab/>
      </w:r>
      <w:r w:rsidRPr="006F13FE">
        <w:fldChar w:fldCharType="begin" w:fldLock="1"/>
      </w:r>
      <w:r w:rsidRPr="006F13FE">
        <w:instrText xml:space="preserve"> PAGEREF _Toc131827385 \h </w:instrText>
      </w:r>
      <w:r w:rsidRPr="006F13FE">
        <w:fldChar w:fldCharType="separate"/>
      </w:r>
      <w:r w:rsidR="00E1005F" w:rsidRPr="006F13FE">
        <w:t>9</w:t>
      </w:r>
      <w:r w:rsidRPr="006F13FE">
        <w:fldChar w:fldCharType="end"/>
      </w:r>
    </w:p>
    <w:p w:rsidR="001400CE" w:rsidRPr="006F13FE" w:rsidRDefault="00162F20" w:rsidP="00CA0722">
      <w:pPr>
        <w:pStyle w:val="Hemstlrubrik"/>
        <w:pageBreakBefore/>
        <w:spacing w:before="0"/>
      </w:pPr>
      <w:r w:rsidRPr="006F13FE">
        <w:lastRenderedPageBreak/>
        <w:fldChar w:fldCharType="end"/>
      </w:r>
      <w:bookmarkStart w:id="3" w:name="_Toc131827369"/>
      <w:r w:rsidR="001400CE" w:rsidRPr="006F13FE">
        <w:t>Förslag till riksdagsbeslut</w:t>
      </w:r>
      <w:bookmarkEnd w:id="2"/>
      <w:bookmarkEnd w:id="3"/>
    </w:p>
    <w:p w:rsidR="00162F20" w:rsidRPr="006F13FE" w:rsidRDefault="00162F20" w:rsidP="0005403F">
      <w:pPr>
        <w:pStyle w:val="Hemstlatt"/>
      </w:pPr>
      <w:r w:rsidRPr="006F13FE">
        <w:t xml:space="preserve">Riksdagen tillkännager för regeringen som sin mening vad i motionen </w:t>
      </w:r>
      <w:r w:rsidR="002C0A6A" w:rsidRPr="006F13FE">
        <w:t xml:space="preserve">anförs </w:t>
      </w:r>
      <w:r w:rsidRPr="006F13FE">
        <w:t>om åtgärder för att stärka de mänskliga rättigheterna.</w:t>
      </w:r>
    </w:p>
    <w:p w:rsidR="00162F20" w:rsidRPr="006F13FE" w:rsidRDefault="00162F20" w:rsidP="0005403F">
      <w:pPr>
        <w:pStyle w:val="Rubrik1"/>
        <w:spacing w:before="600"/>
      </w:pPr>
      <w:bookmarkStart w:id="4" w:name="_Toc131827370"/>
      <w:r w:rsidRPr="006F13FE">
        <w:t>Sammanfattning</w:t>
      </w:r>
      <w:bookmarkEnd w:id="4"/>
    </w:p>
    <w:p w:rsidR="00162F20" w:rsidRPr="006F13FE" w:rsidRDefault="00F4274E" w:rsidP="0005403F">
      <w:pPr>
        <w:pStyle w:val="PunktlistaBomb"/>
        <w:tabs>
          <w:tab w:val="clear" w:pos="360"/>
        </w:tabs>
      </w:pPr>
      <w:r w:rsidRPr="006F13FE">
        <w:t>Mänskliga rättigheter och demokrati skall ingå i FN:s milenniemål.</w:t>
      </w:r>
    </w:p>
    <w:p w:rsidR="00F4274E" w:rsidRPr="006F13FE" w:rsidRDefault="00ED3A6D" w:rsidP="00BB0D8E">
      <w:pPr>
        <w:pStyle w:val="PunktlistaBomb"/>
        <w:tabs>
          <w:tab w:val="clear" w:pos="360"/>
        </w:tabs>
        <w:spacing w:before="0"/>
      </w:pPr>
      <w:r w:rsidRPr="006F13FE">
        <w:t>FN skall varje år debattera</w:t>
      </w:r>
      <w:r w:rsidR="007D1224" w:rsidRPr="006F13FE">
        <w:t xml:space="preserve"> varje medlemsland </w:t>
      </w:r>
      <w:r w:rsidRPr="006F13FE">
        <w:t xml:space="preserve">som inte </w:t>
      </w:r>
      <w:r w:rsidR="007D1224" w:rsidRPr="006F13FE">
        <w:t>lever upp till d</w:t>
      </w:r>
      <w:r w:rsidR="007D1224" w:rsidRPr="006F13FE">
        <w:t>e</w:t>
      </w:r>
      <w:r w:rsidRPr="006F13FE">
        <w:t>mokrati och de</w:t>
      </w:r>
      <w:r w:rsidR="007D1224" w:rsidRPr="006F13FE">
        <w:t xml:space="preserve"> mänskliga rättigheterna</w:t>
      </w:r>
      <w:r w:rsidR="00F4274E" w:rsidRPr="006F13FE">
        <w:t>.</w:t>
      </w:r>
    </w:p>
    <w:p w:rsidR="00F4274E" w:rsidRPr="006F13FE" w:rsidRDefault="00F4274E" w:rsidP="00BB0D8E">
      <w:pPr>
        <w:pStyle w:val="PunktlistaBomb"/>
        <w:tabs>
          <w:tab w:val="clear" w:pos="360"/>
        </w:tabs>
        <w:spacing w:before="0"/>
      </w:pPr>
      <w:r w:rsidRPr="006F13FE">
        <w:t>Rätten att stå utanför en förening skall grundlagsfästas.</w:t>
      </w:r>
    </w:p>
    <w:p w:rsidR="00F4274E" w:rsidRPr="006F13FE" w:rsidRDefault="00F4274E" w:rsidP="00BB0D8E">
      <w:pPr>
        <w:pStyle w:val="PunktlistaBomb"/>
        <w:tabs>
          <w:tab w:val="clear" w:pos="360"/>
        </w:tabs>
        <w:spacing w:before="0"/>
      </w:pPr>
      <w:r w:rsidRPr="006F13FE">
        <w:t>Europakonventio</w:t>
      </w:r>
      <w:r w:rsidR="007D1224" w:rsidRPr="006F13FE">
        <w:t>nen skall åtnjuta grundlags</w:t>
      </w:r>
      <w:r w:rsidRPr="006F13FE">
        <w:t>skydd.</w:t>
      </w:r>
    </w:p>
    <w:p w:rsidR="00F4274E" w:rsidRPr="006F13FE" w:rsidRDefault="00F4274E" w:rsidP="00BB0D8E">
      <w:pPr>
        <w:pStyle w:val="PunktlistaBomb"/>
        <w:tabs>
          <w:tab w:val="clear" w:pos="360"/>
        </w:tabs>
        <w:spacing w:before="0"/>
      </w:pPr>
      <w:r w:rsidRPr="006F13FE">
        <w:t>Asylsökande sk</w:t>
      </w:r>
      <w:r w:rsidR="00F11F83" w:rsidRPr="006F13FE">
        <w:t>all inte sitta frihetsberövade</w:t>
      </w:r>
      <w:r w:rsidR="007D1224" w:rsidRPr="006F13FE">
        <w:t xml:space="preserve"> </w:t>
      </w:r>
      <w:r w:rsidR="00F11F83" w:rsidRPr="006F13FE">
        <w:t>om de inte begått brott.</w:t>
      </w:r>
    </w:p>
    <w:p w:rsidR="00F4274E" w:rsidRPr="006F13FE" w:rsidRDefault="00F4274E" w:rsidP="00BB0D8E">
      <w:pPr>
        <w:pStyle w:val="PunktlistaBomb"/>
        <w:tabs>
          <w:tab w:val="clear" w:pos="360"/>
        </w:tabs>
        <w:spacing w:before="0"/>
      </w:pPr>
      <w:r w:rsidRPr="006F13FE">
        <w:t>Hemliga tvångsmedel skall granskas på ett effektivt sätt av Sveriges rik</w:t>
      </w:r>
      <w:r w:rsidRPr="006F13FE">
        <w:t>s</w:t>
      </w:r>
      <w:r w:rsidRPr="006F13FE">
        <w:t>dag.</w:t>
      </w:r>
    </w:p>
    <w:p w:rsidR="00F4274E" w:rsidRPr="006F13FE" w:rsidRDefault="007D1224" w:rsidP="00BB0D8E">
      <w:pPr>
        <w:pStyle w:val="PunktlistaBomb"/>
        <w:tabs>
          <w:tab w:val="clear" w:pos="360"/>
        </w:tabs>
        <w:spacing w:before="0"/>
      </w:pPr>
      <w:r w:rsidRPr="006F13FE">
        <w:t>Polisens metoder skall förbättras för att minimera onödiga konfrontationer och undvika våld så långt det är möjligt.</w:t>
      </w:r>
    </w:p>
    <w:p w:rsidR="00F4274E" w:rsidRPr="006F13FE" w:rsidRDefault="00F4274E" w:rsidP="00BB0D8E">
      <w:pPr>
        <w:pStyle w:val="PunktlistaBomb"/>
        <w:tabs>
          <w:tab w:val="clear" w:pos="360"/>
        </w:tabs>
        <w:spacing w:before="0"/>
      </w:pPr>
      <w:r w:rsidRPr="006F13FE">
        <w:t>Skyddet för kvinnor och barn skall förbättras och lagen om människoha</w:t>
      </w:r>
      <w:r w:rsidRPr="006F13FE">
        <w:t>n</w:t>
      </w:r>
      <w:r w:rsidRPr="006F13FE">
        <w:t>del skärpas.</w:t>
      </w:r>
    </w:p>
    <w:p w:rsidR="00F4274E" w:rsidRPr="006F13FE" w:rsidRDefault="00F4274E" w:rsidP="00BB0D8E">
      <w:pPr>
        <w:pStyle w:val="PunktlistaBomb"/>
        <w:tabs>
          <w:tab w:val="clear" w:pos="360"/>
        </w:tabs>
        <w:spacing w:before="0"/>
      </w:pPr>
      <w:r w:rsidRPr="006F13FE">
        <w:t>Diskriminering skall bekämpas av en ombudsman, med stöd i en enhetlig lagstiftning.</w:t>
      </w:r>
    </w:p>
    <w:p w:rsidR="00BD615D" w:rsidRPr="006F13FE" w:rsidRDefault="00BD615D" w:rsidP="00BB0D8E">
      <w:pPr>
        <w:pStyle w:val="PunktlistaBomb"/>
        <w:tabs>
          <w:tab w:val="clear" w:pos="360"/>
        </w:tabs>
        <w:spacing w:before="0"/>
      </w:pPr>
      <w:r w:rsidRPr="006F13FE">
        <w:t>Terrorism är ett brott mot mänskliga rättigheter som skall bekämpas effe</w:t>
      </w:r>
      <w:r w:rsidRPr="006F13FE">
        <w:t>k</w:t>
      </w:r>
      <w:r w:rsidRPr="006F13FE">
        <w:t>tivt inom lagens ramverk.</w:t>
      </w:r>
    </w:p>
    <w:p w:rsidR="001400CE" w:rsidRPr="006F13FE" w:rsidRDefault="001400CE" w:rsidP="001400CE">
      <w:pPr>
        <w:pStyle w:val="Rubrik1"/>
      </w:pPr>
      <w:bookmarkStart w:id="5" w:name="_Toc131234645"/>
      <w:bookmarkStart w:id="6" w:name="_Toc131827371"/>
      <w:r w:rsidRPr="006F13FE">
        <w:t>Inledning</w:t>
      </w:r>
      <w:bookmarkEnd w:id="5"/>
      <w:bookmarkEnd w:id="6"/>
    </w:p>
    <w:p w:rsidR="001400CE" w:rsidRPr="006F13FE" w:rsidRDefault="001400CE" w:rsidP="001400CE">
      <w:r w:rsidRPr="006F13FE">
        <w:t>De mäns</w:t>
      </w:r>
      <w:r w:rsidR="009E648F" w:rsidRPr="006F13FE">
        <w:t xml:space="preserve">kliga rättigheterna är </w:t>
      </w:r>
      <w:r w:rsidRPr="006F13FE">
        <w:t>fundamentala i en rättss</w:t>
      </w:r>
      <w:r w:rsidR="009E648F" w:rsidRPr="006F13FE">
        <w:t>tat och en förutsättning för frihet</w:t>
      </w:r>
      <w:r w:rsidRPr="006F13FE">
        <w:t>, fred och välstånd. Detta kan synas okontroversiellt. Den senaste tidens internationella händels</w:t>
      </w:r>
      <w:r w:rsidR="000B48F3" w:rsidRPr="006F13FE">
        <w:t>er, såsom den ukrainska regeringens svårigheter att ta till</w:t>
      </w:r>
      <w:r w:rsidR="00BB0D8E" w:rsidRPr="006F13FE">
        <w:t xml:space="preserve"> </w:t>
      </w:r>
      <w:r w:rsidR="000B48F3" w:rsidRPr="006F13FE">
        <w:t>vara möjligheterna från den orange revolutionen och den allvarliga</w:t>
      </w:r>
      <w:r w:rsidRPr="006F13FE">
        <w:t xml:space="preserve"> situationen i Vitryssland, påminner oss dock om att </w:t>
      </w:r>
      <w:r w:rsidR="000B48F3" w:rsidRPr="006F13FE">
        <w:t xml:space="preserve">de </w:t>
      </w:r>
      <w:r w:rsidRPr="006F13FE">
        <w:t>mänskliga rättighete</w:t>
      </w:r>
      <w:r w:rsidRPr="006F13FE">
        <w:t>r</w:t>
      </w:r>
      <w:r w:rsidR="000B48F3" w:rsidRPr="006F13FE">
        <w:t>na</w:t>
      </w:r>
      <w:r w:rsidRPr="006F13FE">
        <w:t xml:space="preserve"> alltid måste försvaras</w:t>
      </w:r>
      <w:r w:rsidR="000B48F3" w:rsidRPr="006F13FE">
        <w:t xml:space="preserve">. </w:t>
      </w:r>
      <w:r w:rsidRPr="006F13FE">
        <w:t>Förslag som syftar till att exempelvis bekämpa brottsligheten i Sveri</w:t>
      </w:r>
      <w:r w:rsidR="00BB0D8E" w:rsidRPr="006F13FE">
        <w:t>ge – till synes oproblematiskt –</w:t>
      </w:r>
      <w:r w:rsidRPr="006F13FE">
        <w:t xml:space="preserve"> måste också alltid b</w:t>
      </w:r>
      <w:r w:rsidR="000B48F3" w:rsidRPr="006F13FE">
        <w:t>ala</w:t>
      </w:r>
      <w:r w:rsidR="000B48F3" w:rsidRPr="006F13FE">
        <w:t>n</w:t>
      </w:r>
      <w:r w:rsidR="000B48F3" w:rsidRPr="006F13FE">
        <w:t>seras mot individens rätt. De m</w:t>
      </w:r>
      <w:r w:rsidRPr="006F13FE">
        <w:t>änskliga rättigheter</w:t>
      </w:r>
      <w:r w:rsidR="000B48F3" w:rsidRPr="006F13FE">
        <w:t>na</w:t>
      </w:r>
      <w:r w:rsidRPr="006F13FE">
        <w:t xml:space="preserve"> kan aldrig tas för givna.</w:t>
      </w:r>
    </w:p>
    <w:p w:rsidR="001400CE" w:rsidRPr="006F13FE" w:rsidRDefault="001400CE" w:rsidP="001400CE">
      <w:pPr>
        <w:pStyle w:val="Normaltindrag"/>
      </w:pPr>
      <w:r w:rsidRPr="006F13FE">
        <w:t>Det är naturligt att en regering lägger fram en handlingsplan för hur den skall arbeta för att stärka de mänskliga rättigheterna. Det är också naturligt att en sådan inte kan bli total eller uttömmande. Men det är anmärkningsvärt att en handlingsplan för mänskliga rättigheter är så i</w:t>
      </w:r>
      <w:r w:rsidRPr="006F13FE">
        <w:t>n</w:t>
      </w:r>
      <w:r w:rsidRPr="006F13FE">
        <w:t>nehållslös och abstrakt som den förevarande skrivelsen.</w:t>
      </w:r>
    </w:p>
    <w:p w:rsidR="001400CE" w:rsidRPr="006F13FE" w:rsidRDefault="001400CE" w:rsidP="00BB0D8E">
      <w:pPr>
        <w:pStyle w:val="Normaltindrag"/>
      </w:pPr>
      <w:r w:rsidRPr="006F13FE">
        <w:t>Moderaterna anser att mer behöver göras för att säkra de mänskliga rätti</w:t>
      </w:r>
      <w:r w:rsidRPr="006F13FE">
        <w:t>g</w:t>
      </w:r>
      <w:r w:rsidRPr="006F13FE">
        <w:t>heterna i Sverige och världen. I det följande bemöter vi regeringens skrivelse på områden d</w:t>
      </w:r>
      <w:r w:rsidR="000E60DA" w:rsidRPr="006F13FE">
        <w:t>är vi tycker att regeringen borde</w:t>
      </w:r>
      <w:r w:rsidRPr="006F13FE">
        <w:t xml:space="preserve"> gå</w:t>
      </w:r>
      <w:r w:rsidR="00BB0D8E" w:rsidRPr="006F13FE">
        <w:t>tt</w:t>
      </w:r>
      <w:r w:rsidRPr="006F13FE">
        <w:t xml:space="preserve"> längre eller varit mer ko</w:t>
      </w:r>
      <w:r w:rsidRPr="006F13FE">
        <w:t>n</w:t>
      </w:r>
      <w:r w:rsidRPr="006F13FE">
        <w:t>kret.</w:t>
      </w:r>
    </w:p>
    <w:p w:rsidR="001400CE" w:rsidRPr="006F13FE" w:rsidRDefault="001400CE" w:rsidP="00BB0D8E">
      <w:pPr>
        <w:pStyle w:val="Rubrik1"/>
        <w:spacing w:before="600"/>
      </w:pPr>
      <w:bookmarkStart w:id="7" w:name="_Toc131234646"/>
      <w:bookmarkStart w:id="8" w:name="_Toc131827372"/>
      <w:r w:rsidRPr="006F13FE">
        <w:t>Kritik av handlingsplanen</w:t>
      </w:r>
      <w:bookmarkEnd w:id="7"/>
      <w:bookmarkEnd w:id="8"/>
    </w:p>
    <w:p w:rsidR="001400CE" w:rsidRPr="006F13FE" w:rsidRDefault="001400CE" w:rsidP="00BB0D8E">
      <w:pPr>
        <w:pStyle w:val="Rubrik2"/>
        <w:spacing w:before="120"/>
      </w:pPr>
      <w:bookmarkStart w:id="9" w:name="_Toc131234647"/>
      <w:bookmarkStart w:id="10" w:name="_Toc131827373"/>
      <w:r w:rsidRPr="006F13FE">
        <w:t>Rättighetsfrågor</w:t>
      </w:r>
      <w:bookmarkEnd w:id="9"/>
      <w:bookmarkEnd w:id="10"/>
    </w:p>
    <w:p w:rsidR="001400CE" w:rsidRPr="006F13FE" w:rsidRDefault="001400CE" w:rsidP="00BB0D8E">
      <w:pPr>
        <w:pStyle w:val="Rubrik3"/>
        <w:spacing w:before="120"/>
      </w:pPr>
      <w:bookmarkStart w:id="11" w:name="_Toc131234648"/>
      <w:bookmarkStart w:id="12" w:name="_Toc131827374"/>
      <w:r w:rsidRPr="006F13FE">
        <w:t>Diskriminering</w:t>
      </w:r>
      <w:bookmarkEnd w:id="11"/>
      <w:bookmarkEnd w:id="12"/>
    </w:p>
    <w:p w:rsidR="001400CE" w:rsidRPr="006F13FE" w:rsidRDefault="001400CE" w:rsidP="001400CE">
      <w:r w:rsidRPr="006F13FE">
        <w:t>Avsnittet mot diskriminering visar att det finns en vilja att bemöta de problem som finns men också ett bristande politiskt ansvarstagande i praktiken. De föresla</w:t>
      </w:r>
      <w:r w:rsidR="00BB0D8E" w:rsidRPr="006F13FE">
        <w:t>gna åtgärderna är slag i luften,</w:t>
      </w:r>
      <w:r w:rsidRPr="006F13FE">
        <w:t xml:space="preserve"> svåra att utvärdera och följa upp.</w:t>
      </w:r>
    </w:p>
    <w:p w:rsidR="001400CE" w:rsidRPr="006F13FE" w:rsidRDefault="001400CE" w:rsidP="001400CE">
      <w:pPr>
        <w:pStyle w:val="Normaltindrag"/>
      </w:pPr>
      <w:r w:rsidRPr="006F13FE">
        <w:t xml:space="preserve">För </w:t>
      </w:r>
      <w:r w:rsidR="00BB0D8E" w:rsidRPr="006F13FE">
        <w:t xml:space="preserve">Moderaterna </w:t>
      </w:r>
      <w:r w:rsidRPr="006F13FE">
        <w:t>är det naturligt att ingen skall diskrimineras på någon grund ell</w:t>
      </w:r>
      <w:r w:rsidR="00BB0D8E" w:rsidRPr="006F13FE">
        <w:t>er i någon del av samhällslivet,</w:t>
      </w:r>
      <w:r w:rsidRPr="006F13FE">
        <w:t xml:space="preserve"> vare sig det avser rättsväsendet, nä</w:t>
      </w:r>
      <w:r w:rsidRPr="006F13FE">
        <w:t>r</w:t>
      </w:r>
      <w:r w:rsidRPr="006F13FE">
        <w:t>ingslivet, arbetsmar</w:t>
      </w:r>
      <w:r w:rsidRPr="006F13FE">
        <w:t>k</w:t>
      </w:r>
      <w:r w:rsidRPr="006F13FE">
        <w:t>naden, skolan eller något annat område.</w:t>
      </w:r>
    </w:p>
    <w:p w:rsidR="001400CE" w:rsidRPr="006F13FE" w:rsidRDefault="001400CE" w:rsidP="001400CE">
      <w:pPr>
        <w:pStyle w:val="Normaltindrag"/>
      </w:pPr>
      <w:r w:rsidRPr="006F13FE">
        <w:t>Moderaterna vill skapa en tydlig, sammanhållen och enhetlig lagstiftning gällande diskriminering så snart det är praktiskt möjligt. En enda lag med förbud mot diskriminering inom alla samhällsområden är det mest ändamål</w:t>
      </w:r>
      <w:r w:rsidRPr="006F13FE">
        <w:t>s</w:t>
      </w:r>
      <w:r w:rsidRPr="006F13FE">
        <w:t>enliga och fruktbara på längre sikt samtidigt som det förenklar regelverket. Det sänder en tydlig signal till alla berörda parter att all diskriminering oa</w:t>
      </w:r>
      <w:r w:rsidRPr="006F13FE">
        <w:t>v</w:t>
      </w:r>
      <w:r w:rsidRPr="006F13FE">
        <w:t>sett om det handlar om kön, ras, religion, å</w:t>
      </w:r>
      <w:r w:rsidRPr="006F13FE">
        <w:t>l</w:t>
      </w:r>
      <w:r w:rsidRPr="006F13FE">
        <w:t>der, funktionshinder eller sexuell läggning är lika avskyvärd och ses som lika allvarlig från lagstiftarens sida. Moderaterna föreslår vidare att de fyra ombudsmännen mot diskriminering slås samman till en gemensam myndighet. Den nya myndigheten skall även fortsättningsvis ha i uppdrag att utöva tillsyn över diskriminering i samhäll</w:t>
      </w:r>
      <w:r w:rsidRPr="006F13FE">
        <w:t>s</w:t>
      </w:r>
      <w:r w:rsidRPr="006F13FE">
        <w:t>livet.</w:t>
      </w:r>
    </w:p>
    <w:p w:rsidR="001400CE" w:rsidRPr="006F13FE" w:rsidRDefault="001400CE" w:rsidP="001400CE">
      <w:pPr>
        <w:pStyle w:val="Rubrik3"/>
      </w:pPr>
      <w:bookmarkStart w:id="13" w:name="_Toc131234649"/>
      <w:bookmarkStart w:id="14" w:name="_Toc131827375"/>
      <w:r w:rsidRPr="006F13FE">
        <w:t>Barnets rättigheter</w:t>
      </w:r>
      <w:bookmarkEnd w:id="13"/>
      <w:bookmarkEnd w:id="14"/>
    </w:p>
    <w:p w:rsidR="001400CE" w:rsidRPr="006F13FE" w:rsidRDefault="001400CE" w:rsidP="001400CE">
      <w:r w:rsidRPr="006F13FE">
        <w:t>Insatserna för att skydda barn är centrala, med hänsyn till barns utsatta stäl</w:t>
      </w:r>
      <w:r w:rsidRPr="006F13FE">
        <w:t>l</w:t>
      </w:r>
      <w:r w:rsidRPr="006F13FE">
        <w:t>ning som beroende av vuxna för hälsa, utveckling och omhändertagande. Därför at det viktigt att åtgärder inom detta område är konkreta.</w:t>
      </w:r>
    </w:p>
    <w:p w:rsidR="001400CE" w:rsidRPr="006F13FE" w:rsidRDefault="001400CE" w:rsidP="001400CE">
      <w:pPr>
        <w:pStyle w:val="Normaltindrag"/>
      </w:pPr>
      <w:r w:rsidRPr="006F13FE">
        <w:t>Barn som brottsoffer måste ges en särskild status i rättssamhället. Barn är särskilt u</w:t>
      </w:r>
      <w:r w:rsidRPr="006F13FE">
        <w:t>t</w:t>
      </w:r>
      <w:r w:rsidRPr="006F13FE">
        <w:t>satta, både på grund av sin ålder och ofta på grund av att brottet förövats av n</w:t>
      </w:r>
      <w:r w:rsidRPr="006F13FE">
        <w:t>å</w:t>
      </w:r>
      <w:r w:rsidRPr="006F13FE">
        <w:t>gon de litar på och är beroende av. Därför har barn stora behov av särskilda insatser från rätt</w:t>
      </w:r>
      <w:r w:rsidRPr="006F13FE">
        <w:t>s</w:t>
      </w:r>
      <w:r w:rsidRPr="006F13FE">
        <w:t>väsendet.</w:t>
      </w:r>
    </w:p>
    <w:p w:rsidR="001400CE" w:rsidRPr="006F13FE" w:rsidRDefault="001400CE" w:rsidP="001400CE">
      <w:pPr>
        <w:pStyle w:val="Normaltindrag"/>
      </w:pPr>
      <w:r w:rsidRPr="006F13FE">
        <w:t>Vi anser att barn skall anses som brottsoffer juridiskt sett, då de bevittnat eller varit i närheten av misshandel riktad mot mycket nära anhörig, till e</w:t>
      </w:r>
      <w:r w:rsidRPr="006F13FE">
        <w:t>x</w:t>
      </w:r>
      <w:r w:rsidRPr="006F13FE">
        <w:t>empel förälder. Poliser, åklagare och domare som handlägger mål där barn är inblandade skall ha sä</w:t>
      </w:r>
      <w:r w:rsidRPr="006F13FE">
        <w:t>r</w:t>
      </w:r>
      <w:r w:rsidRPr="006F13FE">
        <w:t>skild kompetens. De skall kontinuerligt erhålla ut- och fortbildning om hur barn re</w:t>
      </w:r>
      <w:r w:rsidRPr="006F13FE">
        <w:t>a</w:t>
      </w:r>
      <w:r w:rsidRPr="006F13FE">
        <w:t>gerar i traumatiska situationer och om barns vittne</w:t>
      </w:r>
      <w:r w:rsidRPr="006F13FE">
        <w:t>s</w:t>
      </w:r>
      <w:r w:rsidRPr="006F13FE">
        <w:t>mål.</w:t>
      </w:r>
    </w:p>
    <w:p w:rsidR="001400CE" w:rsidRPr="006F13FE" w:rsidRDefault="001400CE" w:rsidP="001400CE">
      <w:pPr>
        <w:pStyle w:val="Rubrik3"/>
      </w:pPr>
      <w:bookmarkStart w:id="15" w:name="_Toc131234650"/>
      <w:bookmarkStart w:id="16" w:name="_Toc131827376"/>
      <w:r w:rsidRPr="006F13FE">
        <w:t>Ekonomiska</w:t>
      </w:r>
      <w:r w:rsidR="00BB0D8E" w:rsidRPr="006F13FE">
        <w:t>,</w:t>
      </w:r>
      <w:r w:rsidRPr="006F13FE">
        <w:t xml:space="preserve"> sociala och kulturella rättigheter</w:t>
      </w:r>
      <w:bookmarkEnd w:id="15"/>
      <w:bookmarkEnd w:id="16"/>
    </w:p>
    <w:p w:rsidR="001400CE" w:rsidRPr="006F13FE" w:rsidRDefault="001400CE" w:rsidP="001400CE">
      <w:pPr>
        <w:rPr>
          <w:i/>
        </w:rPr>
      </w:pPr>
      <w:r w:rsidRPr="006F13FE">
        <w:rPr>
          <w:i/>
        </w:rPr>
        <w:t>Rätten till bostad</w:t>
      </w:r>
    </w:p>
    <w:p w:rsidR="001400CE" w:rsidRPr="006F13FE" w:rsidRDefault="001400CE" w:rsidP="001400CE">
      <w:r w:rsidRPr="006F13FE">
        <w:t>Statens uppgift i bostadspolitiken är att tillhandahålla legala och finansiella instrument för bostadsbyggandet, inte bestämma hur bostadspolitiken ver</w:t>
      </w:r>
      <w:r w:rsidRPr="006F13FE">
        <w:t>k</w:t>
      </w:r>
      <w:r w:rsidRPr="006F13FE">
        <w:t>ställs på lokal nivå. De invändningar mot lagen om kommunernas bostadsfö</w:t>
      </w:r>
      <w:r w:rsidRPr="006F13FE">
        <w:t>r</w:t>
      </w:r>
      <w:r w:rsidRPr="006F13FE">
        <w:t>sörjningsansvar som anfö</w:t>
      </w:r>
      <w:r w:rsidRPr="006F13FE">
        <w:t>r</w:t>
      </w:r>
      <w:r w:rsidRPr="006F13FE">
        <w:t>des år 2000 har samma aktualitet i dag: Lagen är ett uttryck för bristande respekt för den kommunala självstyrelsen. Även Lagr</w:t>
      </w:r>
      <w:r w:rsidRPr="006F13FE">
        <w:t>å</w:t>
      </w:r>
      <w:r w:rsidRPr="006F13FE">
        <w:t>det pekade på brister i detta hänseende. Vi a</w:t>
      </w:r>
      <w:r w:rsidRPr="006F13FE">
        <w:t>n</w:t>
      </w:r>
      <w:r w:rsidRPr="006F13FE">
        <w:t>ser att varje kommun måste ges möjlighet att anpassa sin planering av bostadsfrågorna utifrån lokala föru</w:t>
      </w:r>
      <w:r w:rsidRPr="006F13FE">
        <w:t>t</w:t>
      </w:r>
      <w:r w:rsidRPr="006F13FE">
        <w:t>sättningar.</w:t>
      </w:r>
    </w:p>
    <w:p w:rsidR="001400CE" w:rsidRPr="006F13FE" w:rsidRDefault="001400CE" w:rsidP="001400CE">
      <w:pPr>
        <w:pStyle w:val="Normaltindrag"/>
      </w:pPr>
      <w:r w:rsidRPr="006F13FE">
        <w:t>Lagen riskerar att bli ett instrument för ökad statlig styrning av komm</w:t>
      </w:r>
      <w:r w:rsidRPr="006F13FE">
        <w:t>u</w:t>
      </w:r>
      <w:r w:rsidRPr="006F13FE">
        <w:t>nernas verksamhet. Ett första steg mot att göra lagen mer detaljerad togs v</w:t>
      </w:r>
      <w:r w:rsidRPr="006F13FE">
        <w:t>å</w:t>
      </w:r>
      <w:r w:rsidRPr="006F13FE">
        <w:t>ren 2002 när skärpta krav på den kommunala hanteringen av bostadsförsör</w:t>
      </w:r>
      <w:r w:rsidRPr="006F13FE">
        <w:t>j</w:t>
      </w:r>
      <w:r w:rsidRPr="006F13FE">
        <w:t>ningsplaneringen infördes. E</w:t>
      </w:r>
      <w:r w:rsidRPr="006F13FE">
        <w:t>n</w:t>
      </w:r>
      <w:r w:rsidRPr="006F13FE">
        <w:t>ligt vad samhällsbyggnadsministern aviserat kommer rege</w:t>
      </w:r>
      <w:r w:rsidRPr="006F13FE">
        <w:t>r</w:t>
      </w:r>
      <w:r w:rsidRPr="006F13FE">
        <w:t>ingen nu att åter se över lagen i syfte att lägga fram förslag om ytterligare ett antal detaljerade krav på komm</w:t>
      </w:r>
      <w:r w:rsidRPr="006F13FE">
        <w:t>u</w:t>
      </w:r>
      <w:r w:rsidRPr="006F13FE">
        <w:t>nerna och även på landets fastighetsägare.</w:t>
      </w:r>
    </w:p>
    <w:p w:rsidR="001400CE" w:rsidRPr="006F13FE" w:rsidRDefault="001400CE" w:rsidP="001400CE">
      <w:pPr>
        <w:pStyle w:val="Normaltindrag"/>
      </w:pPr>
      <w:r w:rsidRPr="006F13FE">
        <w:t>Vi motsätter oss planerna på att ytterligare inskränka den kommunala självstyrelsen. Kommunerna måste ges möjlighet att själva ta sitt bostadsfö</w:t>
      </w:r>
      <w:r w:rsidRPr="006F13FE">
        <w:t>r</w:t>
      </w:r>
      <w:r w:rsidRPr="006F13FE">
        <w:t>sörjningsansvar på det sätt som bäst passar den enskilda kommunen.</w:t>
      </w:r>
    </w:p>
    <w:p w:rsidR="001400CE" w:rsidRPr="006F13FE" w:rsidRDefault="001400CE" w:rsidP="001400CE">
      <w:pPr>
        <w:pStyle w:val="Normaltindrag"/>
      </w:pPr>
      <w:r w:rsidRPr="006F13FE">
        <w:t>För många ungdomar och studerande är det ett svårt och dyrt projekt att skaffa sig en egen bostad. I tillväxt- och utbildningsområden kan det vara ett helt omöjligt företag. Med en bättre näringslivspolitik och hö</w:t>
      </w:r>
      <w:r w:rsidRPr="006F13FE">
        <w:t>g</w:t>
      </w:r>
      <w:r w:rsidRPr="006F13FE">
        <w:t>re tillväxt hade fler ungdomar haft en bätt</w:t>
      </w:r>
      <w:r w:rsidR="00BB0D8E" w:rsidRPr="006F13FE">
        <w:t>re ställning på arbetsmarknaden</w:t>
      </w:r>
      <w:r w:rsidRPr="006F13FE">
        <w:t xml:space="preserve"> och därmed mindre problem med att få teckna hyre</w:t>
      </w:r>
      <w:r w:rsidRPr="006F13FE">
        <w:t>s</w:t>
      </w:r>
      <w:r w:rsidRPr="006F13FE">
        <w:t>kontrakt eller köpa bostadsrätter. Behovet av bostäder är akut för unga och studera</w:t>
      </w:r>
      <w:r w:rsidRPr="006F13FE">
        <w:t>n</w:t>
      </w:r>
      <w:r w:rsidRPr="006F13FE">
        <w:t>de. Vi anser därför att det krävs mer konkreta åtgärder för att ordna bostäder åt unga än att tillsätta en ungdomsb</w:t>
      </w:r>
      <w:r w:rsidRPr="006F13FE">
        <w:t>o</w:t>
      </w:r>
      <w:r w:rsidRPr="006F13FE">
        <w:t>stad</w:t>
      </w:r>
      <w:r w:rsidRPr="006F13FE">
        <w:t>s</w:t>
      </w:r>
      <w:r w:rsidRPr="006F13FE">
        <w:t>samordnare.</w:t>
      </w:r>
    </w:p>
    <w:p w:rsidR="001400CE" w:rsidRPr="006F13FE" w:rsidRDefault="001400CE" w:rsidP="001400CE">
      <w:pPr>
        <w:pStyle w:val="Rubrik3"/>
      </w:pPr>
      <w:bookmarkStart w:id="17" w:name="_Toc131234651"/>
      <w:bookmarkStart w:id="18" w:name="_Toc131827377"/>
      <w:r w:rsidRPr="006F13FE">
        <w:t>Mäns våld mot kvinnor m.m.</w:t>
      </w:r>
      <w:bookmarkEnd w:id="17"/>
      <w:bookmarkEnd w:id="18"/>
    </w:p>
    <w:p w:rsidR="001400CE" w:rsidRPr="006F13FE" w:rsidRDefault="001400CE" w:rsidP="001400CE">
      <w:r w:rsidRPr="006F13FE">
        <w:t>Våldet har ökat i samhället under de senaste decennierna. Särskilt påtaglig är ökningen av anmälda fall av kvinnomisshandel och våldtäkter. Regeringen anför i skrivelsen ett antal förslag i syfte att komma till rätta med problemet. Liksom under övriga områden som behandlas i skrivelsen är viljan att åsta</w:t>
      </w:r>
      <w:r w:rsidRPr="006F13FE">
        <w:t>d</w:t>
      </w:r>
      <w:r w:rsidRPr="006F13FE">
        <w:t>komma något större än förmågan; förslagen är allmänt hållna och borgar inte för konkreta resultat.</w:t>
      </w:r>
    </w:p>
    <w:p w:rsidR="001400CE" w:rsidRPr="006F13FE" w:rsidRDefault="001400CE" w:rsidP="001400CE">
      <w:pPr>
        <w:pStyle w:val="Normaltindrag"/>
      </w:pPr>
      <w:r w:rsidRPr="006F13FE">
        <w:t>Det bästa sättet att bekämpa våld mot kvinnor</w:t>
      </w:r>
      <w:r w:rsidR="00BB0D8E" w:rsidRPr="006F13FE">
        <w:t>,</w:t>
      </w:r>
      <w:r w:rsidRPr="006F13FE">
        <w:t xml:space="preserve"> och den kränkning av mänskliga rä</w:t>
      </w:r>
      <w:r w:rsidRPr="006F13FE">
        <w:t>t</w:t>
      </w:r>
      <w:r w:rsidRPr="006F13FE">
        <w:t>tigheter som detta innebär, är ett rättsväsende som reagerar tidigt och tydligt på brott. Vi har i andra sammanhang presenterat konkreta förslag i syfte att öka antalet poliser, förbättra och förstärka åklagare och domstolar samt höja straffen för dessa typer av våldsbrott. Regeringen har hittills inte visat någon vilja att efterkomma våra krav. Vi vidhåller att de krav vi pr</w:t>
      </w:r>
      <w:r w:rsidR="00BB0D8E" w:rsidRPr="006F13FE">
        <w:t>esenterade i motion 2005/06:Ju410</w:t>
      </w:r>
      <w:r w:rsidRPr="006F13FE">
        <w:t xml:space="preserve"> Brottsbekämpning bör genomföras i syfte att öka kvinnors säkerhet.</w:t>
      </w:r>
    </w:p>
    <w:p w:rsidR="001400CE" w:rsidRPr="006F13FE" w:rsidRDefault="001400CE" w:rsidP="001400CE">
      <w:pPr>
        <w:pStyle w:val="Normaltindrag"/>
      </w:pPr>
      <w:r w:rsidRPr="006F13FE">
        <w:t>Vad avser människohandel har mycken kritik riktats mot den lagstiftning som regeringen genomdrivit. Lagen är svårtillämpad och har inte lett till nå</w:t>
      </w:r>
      <w:r w:rsidRPr="006F13FE">
        <w:t>g</w:t>
      </w:r>
      <w:r w:rsidRPr="006F13FE">
        <w:t>ra avsevärda höjningar i uppklar</w:t>
      </w:r>
      <w:r w:rsidR="00BB0D8E" w:rsidRPr="006F13FE">
        <w:t>ingss</w:t>
      </w:r>
      <w:r w:rsidRPr="006F13FE">
        <w:t>tatistiken. Vi menar att rekvisitet ”otil</w:t>
      </w:r>
      <w:r w:rsidRPr="006F13FE">
        <w:t>l</w:t>
      </w:r>
      <w:r w:rsidRPr="006F13FE">
        <w:t>börliga medel” i lagen om människohandel bör utgå. På så sätt fokuseras rättsprocessen på den misstänktes handlande snarare än den utsattas möjligh</w:t>
      </w:r>
      <w:r w:rsidRPr="006F13FE">
        <w:t>e</w:t>
      </w:r>
      <w:r w:rsidRPr="006F13FE">
        <w:t>ter att försörja sig i sitt eget hemland och därigenom hennes eller hans incit</w:t>
      </w:r>
      <w:r w:rsidRPr="006F13FE">
        <w:t>a</w:t>
      </w:r>
      <w:r w:rsidRPr="006F13FE">
        <w:t>ment att söka sig utomlands för mer ljusskygg fö</w:t>
      </w:r>
      <w:r w:rsidRPr="006F13FE">
        <w:t>r</w:t>
      </w:r>
      <w:r w:rsidRPr="006F13FE">
        <w:t>värvsverksamhet. Detta skulle vara ett stort steg i riktning mot att förstärka utsatta människors och barns mänskliga rättigheter.</w:t>
      </w:r>
    </w:p>
    <w:p w:rsidR="001400CE" w:rsidRPr="006F13FE" w:rsidRDefault="001400CE" w:rsidP="001400CE">
      <w:pPr>
        <w:pStyle w:val="Rubrik3"/>
      </w:pPr>
      <w:bookmarkStart w:id="19" w:name="_Toc131234652"/>
      <w:bookmarkStart w:id="20" w:name="_Toc131827378"/>
      <w:r w:rsidRPr="006F13FE">
        <w:t>Rättsstatliga frågor</w:t>
      </w:r>
      <w:bookmarkEnd w:id="19"/>
      <w:bookmarkEnd w:id="20"/>
    </w:p>
    <w:p w:rsidR="001400CE" w:rsidRPr="006F13FE" w:rsidRDefault="001400CE" w:rsidP="0005403F">
      <w:pPr>
        <w:pStyle w:val="Rubrik4"/>
      </w:pPr>
      <w:r w:rsidRPr="006F13FE">
        <w:t>Utredning om oberoende utredningsorgan vid misstanke om övervåld</w:t>
      </w:r>
    </w:p>
    <w:p w:rsidR="001400CE" w:rsidRPr="006F13FE" w:rsidRDefault="001400CE" w:rsidP="0005403F">
      <w:r w:rsidRPr="006F13FE">
        <w:t>Det är av största vikt att polismyndigheter och enskilda poliser åtnjuter fö</w:t>
      </w:r>
      <w:r w:rsidRPr="006F13FE">
        <w:t>r</w:t>
      </w:r>
      <w:r w:rsidRPr="006F13FE">
        <w:t>troende bland allmänheten. Därför är förslaget i sig välkommet. Utöver detta vill vi moderater vidare utöka tillgängligheten hos polisen för medborgare som känner sig illa bemötta.</w:t>
      </w:r>
    </w:p>
    <w:p w:rsidR="001400CE" w:rsidRPr="006F13FE" w:rsidRDefault="001400CE" w:rsidP="001400CE">
      <w:pPr>
        <w:pStyle w:val="Normaltindrag"/>
        <w:rPr>
          <w:snapToGrid w:val="0"/>
        </w:rPr>
      </w:pPr>
      <w:r w:rsidRPr="006F13FE">
        <w:rPr>
          <w:snapToGrid w:val="0"/>
        </w:rPr>
        <w:t>Medborgare som upplever sig ha blivit felaktigt behandlade av polisen har alltid mö</w:t>
      </w:r>
      <w:r w:rsidRPr="006F13FE">
        <w:rPr>
          <w:snapToGrid w:val="0"/>
        </w:rPr>
        <w:t>j</w:t>
      </w:r>
      <w:r w:rsidRPr="006F13FE">
        <w:rPr>
          <w:snapToGrid w:val="0"/>
        </w:rPr>
        <w:t>lighet att göra en anmälan. En sådan anmälan skall upprättas av en polis i chefsställning. Åklag</w:t>
      </w:r>
      <w:r w:rsidRPr="006F13FE">
        <w:rPr>
          <w:snapToGrid w:val="0"/>
        </w:rPr>
        <w:t>a</w:t>
      </w:r>
      <w:r w:rsidRPr="006F13FE">
        <w:rPr>
          <w:snapToGrid w:val="0"/>
        </w:rPr>
        <w:t>re beslutar om förundersökning skall inledas. Alla klagomål är dock inte hänförliga till att poliser har gjort sig skyldiga till något brottsligt. När klagomål har sin grund i att pol</w:t>
      </w:r>
      <w:r w:rsidRPr="006F13FE">
        <w:rPr>
          <w:snapToGrid w:val="0"/>
        </w:rPr>
        <w:t>i</w:t>
      </w:r>
      <w:r w:rsidRPr="006F13FE">
        <w:rPr>
          <w:snapToGrid w:val="0"/>
        </w:rPr>
        <w:t>ser uppvisat bristande moral, småaktighet, otrevligt språkbruk eller liknande sker sällan vare sig undersökning eller åtgärder. Polisen skall ha en strukt</w:t>
      </w:r>
      <w:r w:rsidRPr="006F13FE">
        <w:rPr>
          <w:snapToGrid w:val="0"/>
        </w:rPr>
        <w:t>u</w:t>
      </w:r>
      <w:r w:rsidRPr="006F13FE">
        <w:rPr>
          <w:snapToGrid w:val="0"/>
        </w:rPr>
        <w:t>rerad hantering av klagomål och synpunkter i syfte att förbättra och utveckla ver</w:t>
      </w:r>
      <w:r w:rsidRPr="006F13FE">
        <w:rPr>
          <w:snapToGrid w:val="0"/>
        </w:rPr>
        <w:t>k</w:t>
      </w:r>
      <w:r w:rsidRPr="006F13FE">
        <w:rPr>
          <w:snapToGrid w:val="0"/>
        </w:rPr>
        <w:t>samheten. Den som fört fram synpun</w:t>
      </w:r>
      <w:r w:rsidRPr="006F13FE">
        <w:rPr>
          <w:snapToGrid w:val="0"/>
        </w:rPr>
        <w:t>k</w:t>
      </w:r>
      <w:r w:rsidRPr="006F13FE">
        <w:rPr>
          <w:snapToGrid w:val="0"/>
        </w:rPr>
        <w:t>ter skall få ett besked eller förklaring till det inträffade och i förekommande fall en ursäkt. Anställda skall få feedback på synpun</w:t>
      </w:r>
      <w:r w:rsidRPr="006F13FE">
        <w:rPr>
          <w:snapToGrid w:val="0"/>
        </w:rPr>
        <w:t>k</w:t>
      </w:r>
      <w:r w:rsidRPr="006F13FE">
        <w:rPr>
          <w:snapToGrid w:val="0"/>
        </w:rPr>
        <w:t>ter och klagomål som inkommer, även när de inte leder till en disciplinär å</w:t>
      </w:r>
      <w:r w:rsidRPr="006F13FE">
        <w:rPr>
          <w:snapToGrid w:val="0"/>
        </w:rPr>
        <w:t>t</w:t>
      </w:r>
      <w:r w:rsidRPr="006F13FE">
        <w:rPr>
          <w:snapToGrid w:val="0"/>
        </w:rPr>
        <w:t>gärd.</w:t>
      </w:r>
    </w:p>
    <w:p w:rsidR="001400CE" w:rsidRPr="006F13FE" w:rsidRDefault="001400CE" w:rsidP="0005403F">
      <w:pPr>
        <w:pStyle w:val="Rubrik4"/>
        <w:rPr>
          <w:snapToGrid w:val="0"/>
        </w:rPr>
      </w:pPr>
      <w:r w:rsidRPr="006F13FE">
        <w:rPr>
          <w:snapToGrid w:val="0"/>
        </w:rPr>
        <w:t>Polisens hantering av större demonstrationer</w:t>
      </w:r>
    </w:p>
    <w:p w:rsidR="001400CE" w:rsidRPr="006F13FE" w:rsidRDefault="001400CE" w:rsidP="0005403F">
      <w:pPr>
        <w:rPr>
          <w:snapToGrid w:val="0"/>
        </w:rPr>
      </w:pPr>
      <w:r w:rsidRPr="006F13FE">
        <w:rPr>
          <w:snapToGrid w:val="0"/>
        </w:rPr>
        <w:t>Utöver lämplig personal och en god taktik behöver polisen också alternat</w:t>
      </w:r>
      <w:r w:rsidRPr="006F13FE">
        <w:rPr>
          <w:snapToGrid w:val="0"/>
        </w:rPr>
        <w:t>i</w:t>
      </w:r>
      <w:r w:rsidRPr="006F13FE">
        <w:rPr>
          <w:snapToGrid w:val="0"/>
        </w:rPr>
        <w:t>va vapen för att kunna hanter</w:t>
      </w:r>
      <w:r w:rsidR="00BB0D8E" w:rsidRPr="006F13FE">
        <w:rPr>
          <w:snapToGrid w:val="0"/>
        </w:rPr>
        <w:t>a situationer av svårare art, t.</w:t>
      </w:r>
      <w:r w:rsidRPr="006F13FE">
        <w:rPr>
          <w:snapToGrid w:val="0"/>
        </w:rPr>
        <w:t>ex</w:t>
      </w:r>
      <w:r w:rsidR="00BB0D8E" w:rsidRPr="006F13FE">
        <w:rPr>
          <w:snapToGrid w:val="0"/>
        </w:rPr>
        <w:t>.</w:t>
      </w:r>
      <w:r w:rsidRPr="006F13FE">
        <w:rPr>
          <w:snapToGrid w:val="0"/>
        </w:rPr>
        <w:t xml:space="preserve"> massdemonstrati</w:t>
      </w:r>
      <w:r w:rsidRPr="006F13FE">
        <w:rPr>
          <w:snapToGrid w:val="0"/>
        </w:rPr>
        <w:t>o</w:t>
      </w:r>
      <w:r w:rsidRPr="006F13FE">
        <w:rPr>
          <w:snapToGrid w:val="0"/>
        </w:rPr>
        <w:t>ner av den typ vi sett i Göteborg samt</w:t>
      </w:r>
      <w:r w:rsidR="00BB0D8E" w:rsidRPr="006F13FE">
        <w:rPr>
          <w:snapToGrid w:val="0"/>
        </w:rPr>
        <w:t xml:space="preserve"> på</w:t>
      </w:r>
      <w:r w:rsidRPr="006F13FE">
        <w:rPr>
          <w:snapToGrid w:val="0"/>
        </w:rPr>
        <w:t xml:space="preserve"> Götgatan i Stockholm.</w:t>
      </w:r>
    </w:p>
    <w:p w:rsidR="001400CE" w:rsidRPr="006F13FE" w:rsidRDefault="001400CE" w:rsidP="001400CE">
      <w:pPr>
        <w:pStyle w:val="Normaltindrag"/>
      </w:pPr>
      <w:r w:rsidRPr="006F13FE">
        <w:t>Polisen behöver alternativa vapen som elpistol och pepparsprej samt til</w:t>
      </w:r>
      <w:r w:rsidRPr="006F13FE">
        <w:t>l</w:t>
      </w:r>
      <w:r w:rsidRPr="006F13FE">
        <w:t>gång till va</w:t>
      </w:r>
      <w:r w:rsidRPr="006F13FE">
        <w:t>t</w:t>
      </w:r>
      <w:r w:rsidRPr="006F13FE">
        <w:t>tenkanon vid demonstrationer och större folksamlingar. Detta bör prioriteras, i sy</w:t>
      </w:r>
      <w:r w:rsidRPr="006F13FE">
        <w:t>n</w:t>
      </w:r>
      <w:r w:rsidRPr="006F13FE">
        <w:t>nerhet som polisen inte skall använda mer våld än vad nöden kräver. Tillgång till alternativa vapen kommer sann</w:t>
      </w:r>
      <w:r w:rsidRPr="006F13FE">
        <w:t>o</w:t>
      </w:r>
      <w:r w:rsidRPr="006F13FE">
        <w:t>likt att leda till att grövre vapen används mer sällan.</w:t>
      </w:r>
    </w:p>
    <w:p w:rsidR="001400CE" w:rsidRPr="006F13FE" w:rsidRDefault="001400CE" w:rsidP="001400CE">
      <w:pPr>
        <w:pStyle w:val="Normaltindrag"/>
        <w:rPr>
          <w:snapToGrid w:val="0"/>
        </w:rPr>
      </w:pPr>
      <w:r w:rsidRPr="006F13FE">
        <w:t xml:space="preserve">Polisen måste också få tillgång till skyddade fordon för att kunna upplösa våldsamma folkmassor med så liten risk för skador som möjligt för både demonstranter och poliser. </w:t>
      </w:r>
      <w:r w:rsidRPr="006F13FE">
        <w:rPr>
          <w:snapToGrid w:val="0"/>
        </w:rPr>
        <w:t>Polisbilar bör även utrustas med digital videok</w:t>
      </w:r>
      <w:r w:rsidRPr="006F13FE">
        <w:rPr>
          <w:snapToGrid w:val="0"/>
        </w:rPr>
        <w:t>a</w:t>
      </w:r>
      <w:r w:rsidRPr="006F13FE">
        <w:rPr>
          <w:snapToGrid w:val="0"/>
        </w:rPr>
        <w:t>mera för att effektivt dokumentera brott</w:t>
      </w:r>
      <w:r w:rsidRPr="006F13FE">
        <w:rPr>
          <w:snapToGrid w:val="0"/>
        </w:rPr>
        <w:t>s</w:t>
      </w:r>
      <w:r w:rsidRPr="006F13FE">
        <w:rPr>
          <w:snapToGrid w:val="0"/>
        </w:rPr>
        <w:t>platser, skador och förhör. Ett sådant hjälpmedel ökar rättssäkerheten både för poliser och medborgarna b</w:t>
      </w:r>
      <w:r w:rsidRPr="006F13FE">
        <w:rPr>
          <w:snapToGrid w:val="0"/>
        </w:rPr>
        <w:t>e</w:t>
      </w:r>
      <w:r w:rsidRPr="006F13FE">
        <w:rPr>
          <w:snapToGrid w:val="0"/>
        </w:rPr>
        <w:t>tydl</w:t>
      </w:r>
      <w:r w:rsidR="0005403F" w:rsidRPr="006F13FE">
        <w:rPr>
          <w:snapToGrid w:val="0"/>
        </w:rPr>
        <w:t>igt och bidrar till att uppklar</w:t>
      </w:r>
      <w:r w:rsidRPr="006F13FE">
        <w:rPr>
          <w:snapToGrid w:val="0"/>
        </w:rPr>
        <w:t>i</w:t>
      </w:r>
      <w:r w:rsidR="0005403F" w:rsidRPr="006F13FE">
        <w:rPr>
          <w:snapToGrid w:val="0"/>
        </w:rPr>
        <w:t>n</w:t>
      </w:r>
      <w:r w:rsidRPr="006F13FE">
        <w:rPr>
          <w:snapToGrid w:val="0"/>
        </w:rPr>
        <w:t>gsprocenten höjs.</w:t>
      </w:r>
    </w:p>
    <w:p w:rsidR="001400CE" w:rsidRPr="006F13FE" w:rsidRDefault="001400CE" w:rsidP="0005403F">
      <w:pPr>
        <w:pStyle w:val="Rubrik4"/>
        <w:rPr>
          <w:snapToGrid w:val="0"/>
        </w:rPr>
      </w:pPr>
      <w:r w:rsidRPr="006F13FE">
        <w:rPr>
          <w:snapToGrid w:val="0"/>
        </w:rPr>
        <w:t>Förstärkt granskning av användningen av hemliga tvångsmedel</w:t>
      </w:r>
    </w:p>
    <w:p w:rsidR="001400CE" w:rsidRPr="006F13FE" w:rsidRDefault="001400CE" w:rsidP="0005403F">
      <w:r w:rsidRPr="006F13FE">
        <w:t>Detta förslag förtjänar knappast att nämnas i regeringens skrivelse efte</w:t>
      </w:r>
      <w:r w:rsidRPr="006F13FE">
        <w:t>r</w:t>
      </w:r>
      <w:r w:rsidRPr="006F13FE">
        <w:t>som det ännu inte finns mer än en hårt kritiserad departementsskrivelse i ämnet.</w:t>
      </w:r>
    </w:p>
    <w:p w:rsidR="001400CE" w:rsidRPr="006F13FE" w:rsidRDefault="001400CE" w:rsidP="001400CE">
      <w:pPr>
        <w:pStyle w:val="Normaltindrag"/>
      </w:pPr>
      <w:r w:rsidRPr="006F13FE">
        <w:t>Det förslag som ensamutredar</w:t>
      </w:r>
      <w:r w:rsidR="00BB0D8E" w:rsidRPr="006F13FE">
        <w:t>en Carl-Anton Spak lämnade i Ds</w:t>
      </w:r>
      <w:r w:rsidRPr="006F13FE">
        <w:t xml:space="preserve"> 2005:53 Hemliga tvångsmedel m.m. under en stärkt parlamentarisk kontroll kommer svårligen att öka den parlamentariska insynen i användandet av denna typ av operativa verktyg för p</w:t>
      </w:r>
      <w:r w:rsidRPr="006F13FE">
        <w:t>o</w:t>
      </w:r>
      <w:r w:rsidRPr="006F13FE">
        <w:t>lis och åklagare.</w:t>
      </w:r>
    </w:p>
    <w:p w:rsidR="001400CE" w:rsidRPr="006F13FE" w:rsidRDefault="001400CE" w:rsidP="001400CE">
      <w:pPr>
        <w:pStyle w:val="Normaltindrag"/>
        <w:rPr>
          <w:color w:val="000000"/>
          <w:szCs w:val="24"/>
        </w:rPr>
      </w:pPr>
      <w:r w:rsidRPr="006F13FE">
        <w:t>Förslaget har kritiserats i den allmänna debatten. Kammarrättspresident Sten Hec</w:t>
      </w:r>
      <w:r w:rsidRPr="006F13FE">
        <w:t>k</w:t>
      </w:r>
      <w:r w:rsidRPr="006F13FE">
        <w:t>scher anser att förslaget innebär en minskad, snarare än en stärkt, parlamentarisk ko</w:t>
      </w:r>
      <w:r w:rsidRPr="006F13FE">
        <w:t>n</w:t>
      </w:r>
      <w:r w:rsidRPr="006F13FE">
        <w:t>troll. Han menar även att det är konstitutionellt tveksamt att en myndighet under r</w:t>
      </w:r>
      <w:r w:rsidRPr="006F13FE">
        <w:t>e</w:t>
      </w:r>
      <w:r w:rsidRPr="006F13FE">
        <w:t>geringen skall kunna kontrollera vad regeringen har ansvar för.</w:t>
      </w:r>
    </w:p>
    <w:p w:rsidR="001400CE" w:rsidRPr="006F13FE" w:rsidRDefault="001400CE" w:rsidP="001400CE">
      <w:pPr>
        <w:pStyle w:val="Normaltindrag"/>
      </w:pPr>
      <w:r w:rsidRPr="006F13FE">
        <w:t>Förslaget har vidare kritiserats av remissinstanser. Registernämnden avslår förslaget på grund av att det inte innebär någon stärkt kontroll. Man anför att riksdagen genom förslaget kommer att få insyn endast genom de valda led</w:t>
      </w:r>
      <w:r w:rsidRPr="006F13FE">
        <w:t>a</w:t>
      </w:r>
      <w:r w:rsidRPr="006F13FE">
        <w:t>möterna, i stället för öppet i kammaren, som i dag. Advokatsamfundet delar b</w:t>
      </w:r>
      <w:r w:rsidRPr="006F13FE">
        <w:t>e</w:t>
      </w:r>
      <w:r w:rsidRPr="006F13FE">
        <w:t xml:space="preserve">dömningen att förslaget de facto minskar den parlamentariska kontrollen. </w:t>
      </w:r>
      <w:r w:rsidRPr="006F13FE">
        <w:rPr>
          <w:color w:val="000000"/>
          <w:szCs w:val="24"/>
        </w:rPr>
        <w:t>I stället för den föreslagna myndigheten u</w:t>
      </w:r>
      <w:r w:rsidRPr="006F13FE">
        <w:rPr>
          <w:color w:val="000000"/>
          <w:szCs w:val="24"/>
        </w:rPr>
        <w:t>n</w:t>
      </w:r>
      <w:r w:rsidRPr="006F13FE">
        <w:rPr>
          <w:color w:val="000000"/>
          <w:szCs w:val="24"/>
        </w:rPr>
        <w:t>der regeringen anser samfundet att man bör vidta å</w:t>
      </w:r>
      <w:r w:rsidRPr="006F13FE">
        <w:rPr>
          <w:color w:val="000000"/>
          <w:szCs w:val="24"/>
        </w:rPr>
        <w:t>t</w:t>
      </w:r>
      <w:r w:rsidRPr="006F13FE">
        <w:rPr>
          <w:color w:val="000000"/>
          <w:szCs w:val="24"/>
        </w:rPr>
        <w:t>gärder för att förbättra den årliga redovisningen till riksdagen av hur tvångsmedlen används. Först om detta inte fungerar bör en ny my</w:t>
      </w:r>
      <w:r w:rsidRPr="006F13FE">
        <w:rPr>
          <w:color w:val="000000"/>
          <w:szCs w:val="24"/>
        </w:rPr>
        <w:t>n</w:t>
      </w:r>
      <w:r w:rsidRPr="006F13FE">
        <w:rPr>
          <w:color w:val="000000"/>
          <w:szCs w:val="24"/>
        </w:rPr>
        <w:t>dighet under riksdagen övervägas. Domstolsverket har i remissvar kallat fö</w:t>
      </w:r>
      <w:r w:rsidRPr="006F13FE">
        <w:rPr>
          <w:color w:val="000000"/>
          <w:szCs w:val="24"/>
        </w:rPr>
        <w:t>r</w:t>
      </w:r>
      <w:r w:rsidRPr="006F13FE">
        <w:rPr>
          <w:color w:val="000000"/>
          <w:szCs w:val="24"/>
        </w:rPr>
        <w:t>slaget för ”långsökt”.</w:t>
      </w:r>
    </w:p>
    <w:p w:rsidR="001400CE" w:rsidRPr="006F13FE" w:rsidRDefault="00BB0D8E" w:rsidP="001400CE">
      <w:pPr>
        <w:pStyle w:val="Normaltindrag"/>
      </w:pPr>
      <w:r w:rsidRPr="006F13FE">
        <w:t>Vi stöd</w:t>
      </w:r>
      <w:r w:rsidR="001400CE" w:rsidRPr="006F13FE">
        <w:t>er kraven på en parlamentarisk kontroll, för att säkerställa att st</w:t>
      </w:r>
      <w:r w:rsidR="001400CE" w:rsidRPr="006F13FE">
        <w:t>a</w:t>
      </w:r>
      <w:r w:rsidR="001400CE" w:rsidRPr="006F13FE">
        <w:t>tens användande av hemliga tvångsmedel mot enskilda används på ett rättss</w:t>
      </w:r>
      <w:r w:rsidR="001400CE" w:rsidRPr="006F13FE">
        <w:t>ä</w:t>
      </w:r>
      <w:r w:rsidR="001400CE" w:rsidRPr="006F13FE">
        <w:t>kert sätt i kampen mot grov brottslighet. En sådan kontroll kan till exempel åstadkommas genom vidgad redovisning till riksdagen, skriftligen eller mun</w:t>
      </w:r>
      <w:r w:rsidR="001400CE" w:rsidRPr="006F13FE">
        <w:t>t</w:t>
      </w:r>
      <w:r w:rsidR="001400CE" w:rsidRPr="006F13FE">
        <w:t>ligen. Det kan även åstadkommas genom utfrågningar av myndighetsföretr</w:t>
      </w:r>
      <w:r w:rsidR="001400CE" w:rsidRPr="006F13FE">
        <w:t>ä</w:t>
      </w:r>
      <w:r w:rsidR="001400CE" w:rsidRPr="006F13FE">
        <w:t>dare.</w:t>
      </w:r>
    </w:p>
    <w:p w:rsidR="001400CE" w:rsidRPr="006F13FE" w:rsidRDefault="001400CE" w:rsidP="0005403F">
      <w:pPr>
        <w:pStyle w:val="Rubrik4"/>
      </w:pPr>
      <w:r w:rsidRPr="006F13FE">
        <w:t>Frihetsberö</w:t>
      </w:r>
      <w:r w:rsidR="00BB0D8E" w:rsidRPr="006F13FE">
        <w:t>vanden: Kriminalvård och häkten</w:t>
      </w:r>
    </w:p>
    <w:p w:rsidR="001400CE" w:rsidRPr="006F13FE" w:rsidRDefault="001400CE" w:rsidP="0005403F">
      <w:r w:rsidRPr="006F13FE">
        <w:t>Regeringen har i proposition 2005/06:123 presenterat brottstycken ur den utredning som Kriminalvårdskommittén presenterade och som refereras i förevarande skrivelse.</w:t>
      </w:r>
    </w:p>
    <w:p w:rsidR="001400CE" w:rsidRPr="006F13FE" w:rsidRDefault="001400CE" w:rsidP="001400CE">
      <w:pPr>
        <w:pStyle w:val="Normaltindrag"/>
      </w:pPr>
      <w:r w:rsidRPr="006F13FE">
        <w:t>Vi vände oss emot att regeringen bröt ut ett antal förslag, utan att se till helheten i u</w:t>
      </w:r>
      <w:r w:rsidRPr="006F13FE">
        <w:t>t</w:t>
      </w:r>
      <w:r w:rsidRPr="006F13FE">
        <w:t>redningen. Kriminalvården i Sverige har stora problem. En rad offentliga rapporter har kritiserat bristerna i verksamheten, och återfallsstat</w:t>
      </w:r>
      <w:r w:rsidRPr="006F13FE">
        <w:t>i</w:t>
      </w:r>
      <w:r w:rsidRPr="006F13FE">
        <w:t>stiken talar sitt tydliga språk. Inom vissa brottskategorier återfaller så många som 80 procent i brott inom tre år e</w:t>
      </w:r>
      <w:r w:rsidRPr="006F13FE">
        <w:t>f</w:t>
      </w:r>
      <w:r w:rsidRPr="006F13FE">
        <w:t>ter frigivningen. Platsbristen på anstalter och häkten gör att de intagnas rättigheter kränks. Det krävs åtgärder inom hela kriminalvården, från resu</w:t>
      </w:r>
      <w:r w:rsidRPr="006F13FE">
        <w:t>r</w:t>
      </w:r>
      <w:r w:rsidRPr="006F13FE">
        <w:t>ser till utslussning, för att komma till rätta med problemen och därigenom säkra de intagnas mänskliga rä</w:t>
      </w:r>
      <w:r w:rsidRPr="006F13FE">
        <w:t>t</w:t>
      </w:r>
      <w:r w:rsidRPr="006F13FE">
        <w:t>tigheter.</w:t>
      </w:r>
    </w:p>
    <w:p w:rsidR="001400CE" w:rsidRPr="006F13FE" w:rsidRDefault="001400CE" w:rsidP="00E1005F">
      <w:pPr>
        <w:pStyle w:val="Rubrik4"/>
      </w:pPr>
      <w:r w:rsidRPr="006F13FE">
        <w:t>Asylsökandes situation</w:t>
      </w:r>
    </w:p>
    <w:p w:rsidR="001400CE" w:rsidRPr="006F13FE" w:rsidRDefault="001400CE" w:rsidP="0005403F">
      <w:r w:rsidRPr="006F13FE">
        <w:t>I skrivelsen talas om frihetsberövande p.g.a. brott och frihetsberövande e</w:t>
      </w:r>
      <w:r w:rsidRPr="006F13FE">
        <w:t>n</w:t>
      </w:r>
      <w:r w:rsidRPr="006F13FE">
        <w:t>ligt smittskyddslagen, men ingenting sägs om frihetsberövande av asylsöka</w:t>
      </w:r>
      <w:r w:rsidRPr="006F13FE">
        <w:t>n</w:t>
      </w:r>
      <w:r w:rsidRPr="006F13FE">
        <w:t>de.</w:t>
      </w:r>
    </w:p>
    <w:p w:rsidR="001400CE" w:rsidRPr="006F13FE" w:rsidRDefault="001400CE" w:rsidP="001400CE">
      <w:pPr>
        <w:pStyle w:val="Normaltindrag"/>
      </w:pPr>
      <w:r w:rsidRPr="006F13FE">
        <w:t>Här krävs komplettering från regeringens sida. Förvarstagande av asyls</w:t>
      </w:r>
      <w:r w:rsidRPr="006F13FE">
        <w:t>ö</w:t>
      </w:r>
      <w:r w:rsidRPr="006F13FE">
        <w:t>kande i Sv</w:t>
      </w:r>
      <w:r w:rsidRPr="006F13FE">
        <w:t>e</w:t>
      </w:r>
      <w:r w:rsidRPr="006F13FE">
        <w:t>rige är i många stycken en skamfläck för vårt land. Människor som inte begått några kriminella han</w:t>
      </w:r>
      <w:r w:rsidRPr="006F13FE">
        <w:t>d</w:t>
      </w:r>
      <w:r w:rsidRPr="006F13FE">
        <w:t>lingar sitter inlåsta under fängelselika förhållanden, inte sällan i långa tider. Förutom att detta rimmar illa med en fungerande rättsstat kostar det dessutom skjortan för skattebetalarna, ca 3</w:t>
      </w:r>
      <w:r w:rsidR="00BB0D8E" w:rsidRPr="006F13FE">
        <w:t> </w:t>
      </w:r>
      <w:r w:rsidRPr="006F13FE">
        <w:t>000 kronor per dag. Vi anser att regeltillämpningen bör ses över och att man i större utsträckning bör tillämpa möjligheten att ställa individer under uppsikt istället för att ta dem i förvar.</w:t>
      </w:r>
    </w:p>
    <w:p w:rsidR="001400CE" w:rsidRPr="006F13FE" w:rsidRDefault="001400CE" w:rsidP="0005403F">
      <w:pPr>
        <w:pStyle w:val="Rubrik4"/>
      </w:pPr>
      <w:r w:rsidRPr="006F13FE">
        <w:t>Rätten till domstolsprövning och rätten till effektivt rättsmedel</w:t>
      </w:r>
    </w:p>
    <w:p w:rsidR="001400CE" w:rsidRPr="006F13FE" w:rsidRDefault="001400CE" w:rsidP="0005403F">
      <w:r w:rsidRPr="006F13FE">
        <w:t>Det intressanta i detta avsnitt är inte vad som skrivs utan vad som saknas. Sverige har vid ett antal tillfällen fällts i Europadomstolen för brott mot Eur</w:t>
      </w:r>
      <w:r w:rsidRPr="006F13FE">
        <w:t>o</w:t>
      </w:r>
      <w:r w:rsidRPr="006F13FE">
        <w:t>pako</w:t>
      </w:r>
      <w:r w:rsidRPr="006F13FE">
        <w:t>n</w:t>
      </w:r>
      <w:r w:rsidRPr="006F13FE">
        <w:t>ventionen. Domarna har gällt främst systemet med skattetillägg men också långvariga byggnadsförbud. Do</w:t>
      </w:r>
      <w:r w:rsidRPr="006F13FE">
        <w:t>m</w:t>
      </w:r>
      <w:r w:rsidRPr="006F13FE">
        <w:t>stolen har pekat på ett antal brister i svenska medborgares rättssäkerhet mot staten. Det svenska skattetillägget är att anse som ett straff, inte en adminis</w:t>
      </w:r>
      <w:r w:rsidRPr="006F13FE">
        <w:t>t</w:t>
      </w:r>
      <w:r w:rsidRPr="006F13FE">
        <w:t>rativ avgift, och måste därför omges med de rättssäkerhetsgarantier som följer av detta. Rätten att få sitt straff prövat i domstol inom rimlig tid är ett sådant krav. Det svenska systemet med väntetider i upp till tio år är orimliga.</w:t>
      </w:r>
    </w:p>
    <w:p w:rsidR="001400CE" w:rsidRPr="006F13FE" w:rsidRDefault="001400CE" w:rsidP="001400CE">
      <w:pPr>
        <w:pStyle w:val="Normaltindrag"/>
      </w:pPr>
      <w:r w:rsidRPr="006F13FE">
        <w:t>Det är otillständigt att ett land som berömmer sig av att vara en rättsstat faller på grundläggande rättssäkerhetskrav, såsom de anges i Europakonve</w:t>
      </w:r>
      <w:r w:rsidRPr="006F13FE">
        <w:t>n</w:t>
      </w:r>
      <w:r w:rsidRPr="006F13FE">
        <w:t>tionen. Konventionen måste fullt ut respekteras; endera genom att den up</w:t>
      </w:r>
      <w:r w:rsidRPr="006F13FE">
        <w:t>p</w:t>
      </w:r>
      <w:r w:rsidRPr="006F13FE">
        <w:t>höjs till grundlag eller g</w:t>
      </w:r>
      <w:r w:rsidRPr="006F13FE">
        <w:t>e</w:t>
      </w:r>
      <w:r w:rsidRPr="006F13FE">
        <w:t>nom att regeringsformens skyddsnivåer utvidgas till att o</w:t>
      </w:r>
      <w:r w:rsidRPr="006F13FE">
        <w:t>m</w:t>
      </w:r>
      <w:r w:rsidRPr="006F13FE">
        <w:t>fatta även konventionen. Ingen skrivelse om mänskliga rättigheter kan anses seriös utan att dessa krav bemöts.</w:t>
      </w:r>
    </w:p>
    <w:p w:rsidR="00C51159" w:rsidRPr="006F13FE" w:rsidRDefault="00C51159" w:rsidP="0005403F">
      <w:pPr>
        <w:pStyle w:val="Rubrik4"/>
      </w:pPr>
      <w:r w:rsidRPr="006F13FE">
        <w:t>Arbetet mot terrorism</w:t>
      </w:r>
    </w:p>
    <w:p w:rsidR="00C51159" w:rsidRPr="006F13FE" w:rsidRDefault="00C51159" w:rsidP="0005403F">
      <w:r w:rsidRPr="006F13FE">
        <w:t>Det bör i sammanhanget anmärkas att kampen mot terrorism och grov organ</w:t>
      </w:r>
      <w:r w:rsidRPr="006F13FE">
        <w:t>i</w:t>
      </w:r>
      <w:r w:rsidRPr="006F13FE">
        <w:t>serad brottslighet är ett sätt att stärka de mänskliga rättigheterna. Dessa typer av allvarlig och systemhotande brottslighet riktar sig mot demokratin och de grundläggande fri- och rättigheterna. Det är i sig en mänsklig rättighet att inte riskera att kränkas till liv och hälsa. Därför bör det uttalas att kampen mot terrorism och annan grov brottslighet är ett led i kampen för de mänskl</w:t>
      </w:r>
      <w:r w:rsidRPr="006F13FE">
        <w:t>i</w:t>
      </w:r>
      <w:r w:rsidRPr="006F13FE">
        <w:t>ga rättigheterna.</w:t>
      </w:r>
    </w:p>
    <w:p w:rsidR="00C51159" w:rsidRPr="006F13FE" w:rsidRDefault="00C51159" w:rsidP="001400CE">
      <w:pPr>
        <w:pStyle w:val="Normaltindrag"/>
      </w:pPr>
      <w:r w:rsidRPr="006F13FE">
        <w:t>Denna kamp skall naturligtvis föras på rättsstatens grund och med respekt för de rättigheter den är ägnad att försvara.</w:t>
      </w:r>
    </w:p>
    <w:p w:rsidR="001400CE" w:rsidRPr="006F13FE" w:rsidRDefault="001400CE" w:rsidP="0044118D">
      <w:pPr>
        <w:pStyle w:val="Rubrik2"/>
      </w:pPr>
      <w:bookmarkStart w:id="21" w:name="_Toc131234653"/>
      <w:bookmarkStart w:id="22" w:name="_Toc131827379"/>
      <w:r w:rsidRPr="006F13FE">
        <w:t>Politiska rättigheter</w:t>
      </w:r>
      <w:bookmarkEnd w:id="21"/>
      <w:bookmarkEnd w:id="22"/>
    </w:p>
    <w:p w:rsidR="001400CE" w:rsidRPr="006F13FE" w:rsidRDefault="001400CE" w:rsidP="0005403F">
      <w:pPr>
        <w:pStyle w:val="Rubrik3"/>
      </w:pPr>
      <w:bookmarkStart w:id="23" w:name="_Toc131827380"/>
      <w:r w:rsidRPr="006F13FE">
        <w:t>Föreningsfriheten</w:t>
      </w:r>
      <w:bookmarkEnd w:id="23"/>
    </w:p>
    <w:p w:rsidR="001400CE" w:rsidRPr="006F13FE" w:rsidRDefault="001400CE" w:rsidP="001400CE">
      <w:r w:rsidRPr="006F13FE">
        <w:t>Rätten att tillhöra en förening måste kombineras med rätten att stå utanför. Ingen skall behöva vara tvingad till tillhörighet i en organisation och ingen skall få u</w:t>
      </w:r>
      <w:r w:rsidRPr="006F13FE">
        <w:t>t</w:t>
      </w:r>
      <w:r w:rsidRPr="006F13FE">
        <w:t>öva otillbörlig påtryckning för att förhindra någon att stå utanför eller att utträda ur en förening.</w:t>
      </w:r>
    </w:p>
    <w:p w:rsidR="001400CE" w:rsidRPr="006F13FE" w:rsidRDefault="001400CE" w:rsidP="001400CE">
      <w:pPr>
        <w:pStyle w:val="Normaltindrag"/>
      </w:pPr>
      <w:r w:rsidRPr="006F13FE">
        <w:t>Arbetsdomstolen har vid flera tillfällen klargjort att en medlem i en facklig organis</w:t>
      </w:r>
      <w:r w:rsidRPr="006F13FE">
        <w:t>a</w:t>
      </w:r>
      <w:r w:rsidRPr="006F13FE">
        <w:t>tion har rätt att lämna organisationen på egen begäran. Europarådets organ i Stra</w:t>
      </w:r>
      <w:r w:rsidRPr="006F13FE">
        <w:t>s</w:t>
      </w:r>
      <w:r w:rsidRPr="006F13FE">
        <w:t>bourg har också tolkat Europakonventionen som att den negativa föreningsfriheten är skyddad på svensk arbetsmarknad. Trots detta föreko</w:t>
      </w:r>
      <w:r w:rsidRPr="006F13FE">
        <w:t>m</w:t>
      </w:r>
      <w:r w:rsidRPr="006F13FE">
        <w:t>mer det fortfarande att fackliga organisationen nekar eller obstruerar då me</w:t>
      </w:r>
      <w:r w:rsidRPr="006F13FE">
        <w:t>d</w:t>
      </w:r>
      <w:r w:rsidRPr="006F13FE">
        <w:t>lemmar önskar utträda ur för</w:t>
      </w:r>
      <w:r w:rsidRPr="006F13FE">
        <w:t>e</w:t>
      </w:r>
      <w:r w:rsidR="00BB0D8E" w:rsidRPr="006F13FE">
        <w:t>ningen</w:t>
      </w:r>
      <w:r w:rsidRPr="006F13FE">
        <w:t xml:space="preserve"> eller då arbetssökande vid en arbetsplats tillhör </w:t>
      </w:r>
      <w:r w:rsidR="00BB0D8E" w:rsidRPr="006F13FE">
        <w:t>en annan förening än den gängse</w:t>
      </w:r>
      <w:r w:rsidRPr="006F13FE">
        <w:t xml:space="preserve"> eller helt står utanför fackförening</w:t>
      </w:r>
      <w:r w:rsidRPr="006F13FE">
        <w:t>s</w:t>
      </w:r>
      <w:r w:rsidRPr="006F13FE">
        <w:t>väsendet. Vi</w:t>
      </w:r>
      <w:r w:rsidRPr="006F13FE">
        <w:t>s</w:t>
      </w:r>
      <w:r w:rsidRPr="006F13FE">
        <w:t>sa extrema sekter försöker likaledes hindra medlemmar från att utträda. Rätten att stå utanför en förening måste ständigt försvaras.</w:t>
      </w:r>
    </w:p>
    <w:p w:rsidR="001400CE" w:rsidRPr="006F13FE" w:rsidRDefault="001400CE" w:rsidP="001400CE">
      <w:pPr>
        <w:pStyle w:val="Normaltindrag"/>
      </w:pPr>
      <w:r w:rsidRPr="006F13FE">
        <w:t>Regeringsformen bör ge ett lika starkt skydd i detta avseende som den ger för rätten till tillhörighet.</w:t>
      </w:r>
    </w:p>
    <w:p w:rsidR="001400CE" w:rsidRPr="006F13FE" w:rsidRDefault="001400CE" w:rsidP="0005403F">
      <w:pPr>
        <w:pStyle w:val="Rubrik3"/>
      </w:pPr>
      <w:bookmarkStart w:id="24" w:name="_Toc131827381"/>
      <w:r w:rsidRPr="006F13FE">
        <w:t>Övriga fri- och rättigheter</w:t>
      </w:r>
      <w:bookmarkEnd w:id="24"/>
    </w:p>
    <w:p w:rsidR="001400CE" w:rsidRPr="006F13FE" w:rsidRDefault="001400CE" w:rsidP="0005403F">
      <w:r w:rsidRPr="006F13FE">
        <w:t>Den liberala demokratisynen utgår från att begreppet demokrati inte bara är en beslutsform, utan också innebär att de beslut som fattas beaktar den e</w:t>
      </w:r>
      <w:r w:rsidRPr="006F13FE">
        <w:t>n</w:t>
      </w:r>
      <w:r w:rsidRPr="006F13FE">
        <w:t>skildes frihet, rätt och ansvar i förhållande till statsmakten. Därför är det cen</w:t>
      </w:r>
      <w:r w:rsidRPr="006F13FE">
        <w:t>t</w:t>
      </w:r>
      <w:r w:rsidRPr="006F13FE">
        <w:t>ralt att människors grun</w:t>
      </w:r>
      <w:r w:rsidRPr="006F13FE">
        <w:t>d</w:t>
      </w:r>
      <w:r w:rsidRPr="006F13FE">
        <w:t>läggande fri- och rättigheter anges</w:t>
      </w:r>
      <w:r w:rsidR="00BB0D8E" w:rsidRPr="006F13FE">
        <w:t xml:space="preserve"> klart och tydligt i grundlagen</w:t>
      </w:r>
      <w:r w:rsidRPr="006F13FE">
        <w:t xml:space="preserve"> och att dessa rätti</w:t>
      </w:r>
      <w:r w:rsidRPr="006F13FE">
        <w:t>g</w:t>
      </w:r>
      <w:r w:rsidRPr="006F13FE">
        <w:t>heter skyddas.</w:t>
      </w:r>
    </w:p>
    <w:p w:rsidR="001400CE" w:rsidRPr="006F13FE" w:rsidRDefault="001400CE" w:rsidP="001400CE">
      <w:pPr>
        <w:pStyle w:val="Normaltindrag"/>
      </w:pPr>
      <w:r w:rsidRPr="006F13FE">
        <w:t>Skydd för medborgarna mot makten har funnits i svensk lag sedan 1300-talet. 1809 års regeringsform innehöll en sammanhållen bestämmelse vari fastslogs vissa rättsstatliga och för individen väsentliga principer: Inga i</w:t>
      </w:r>
      <w:r w:rsidRPr="006F13FE">
        <w:t>n</w:t>
      </w:r>
      <w:r w:rsidRPr="006F13FE">
        <w:t>grepp i den enskildes personliga frihet, välfärd och egendom utan laga ran</w:t>
      </w:r>
      <w:r w:rsidRPr="006F13FE">
        <w:t>n</w:t>
      </w:r>
      <w:r w:rsidRPr="006F13FE">
        <w:t>sakan och dom</w:t>
      </w:r>
      <w:r w:rsidR="00BB0D8E" w:rsidRPr="006F13FE">
        <w:t>,</w:t>
      </w:r>
      <w:r w:rsidRPr="006F13FE">
        <w:t xml:space="preserve"> skydd mot husrannsakan</w:t>
      </w:r>
      <w:r w:rsidR="00BB0D8E" w:rsidRPr="006F13FE">
        <w:t>, garanti för laga domstol</w:t>
      </w:r>
      <w:r w:rsidRPr="006F13FE">
        <w:t xml:space="preserve"> samt rel</w:t>
      </w:r>
      <w:r w:rsidRPr="006F13FE">
        <w:t>i</w:t>
      </w:r>
      <w:r w:rsidRPr="006F13FE">
        <w:t>gionsfrihet. I bestämmelsen nämndes dock inte vare sig yttrandefriheten, mötesfriheten eller föreningsfriheten. Utvecklingen i Europa u</w:t>
      </w:r>
      <w:r w:rsidRPr="006F13FE">
        <w:t>n</w:t>
      </w:r>
      <w:r w:rsidRPr="006F13FE">
        <w:t>der 1930-talet aktualiserade emellertid frågan om ett starkare skydd för medborgerliga fri- och rättigheter, vilket resulterade i dagens rättighetskatalog i grun</w:t>
      </w:r>
      <w:r w:rsidRPr="006F13FE">
        <w:t>d</w:t>
      </w:r>
      <w:r w:rsidRPr="006F13FE">
        <w:t>lagen.</w:t>
      </w:r>
    </w:p>
    <w:p w:rsidR="001400CE" w:rsidRPr="006F13FE" w:rsidRDefault="001400CE" w:rsidP="001400CE">
      <w:pPr>
        <w:pStyle w:val="Normaltindrag"/>
      </w:pPr>
      <w:r w:rsidRPr="006F13FE">
        <w:t>Fri- och rättigheterna skall kunna ha rättsverkningar, vilket innebär att de av nat</w:t>
      </w:r>
      <w:r w:rsidRPr="006F13FE">
        <w:t>u</w:t>
      </w:r>
      <w:r w:rsidRPr="006F13FE">
        <w:t>ren måste begränsas till det mest grundläggande. Här skiljer sig de grundlagsfästa fri- och rättigheterna från så kallade sociala rättighetskrav, som ibland åberopas i författning</w:t>
      </w:r>
      <w:r w:rsidRPr="006F13FE">
        <w:t>s</w:t>
      </w:r>
      <w:r w:rsidRPr="006F13FE">
        <w:t>sammanhang. Dessa två företeelser bör hållas åtskilda.</w:t>
      </w:r>
    </w:p>
    <w:p w:rsidR="001400CE" w:rsidRPr="006F13FE" w:rsidRDefault="001400CE" w:rsidP="001400CE">
      <w:pPr>
        <w:pStyle w:val="Normaltindrag"/>
      </w:pPr>
      <w:r w:rsidRPr="006F13FE">
        <w:t>I dag åtnjuter inte alla fri- och rättigheter i regeringsformen samma typ av skydd mot rättighetsbegränsande lagstiftning. Till exempel är skyddet för äganderätten sv</w:t>
      </w:r>
      <w:r w:rsidRPr="006F13FE">
        <w:t>a</w:t>
      </w:r>
      <w:r w:rsidRPr="006F13FE">
        <w:t>gare än skyddet för andra grundläggande fri- och rättigheter, såsom yttrande-, mötes- och informationsfrihet. Vi vill verka för att alla grundlagsfästa fri- och rättigheter skall tillmätas samma skydd.</w:t>
      </w:r>
    </w:p>
    <w:p w:rsidR="001400CE" w:rsidRPr="006F13FE" w:rsidRDefault="001400CE" w:rsidP="001400CE">
      <w:pPr>
        <w:pStyle w:val="Normaltindrag"/>
      </w:pPr>
      <w:r w:rsidRPr="006F13FE">
        <w:t xml:space="preserve">Rätten att äga är det fria samhällets grundval. Utan enskild äganderätt kan inte ett fritt och demokratiskt samhälle existera. Det är den entydiga slutsatsen från </w:t>
      </w:r>
      <w:r w:rsidR="00BB0D8E" w:rsidRPr="006F13FE">
        <w:t>Central</w:t>
      </w:r>
      <w:r w:rsidRPr="006F13FE">
        <w:t xml:space="preserve">- och </w:t>
      </w:r>
      <w:r w:rsidR="00BB0D8E" w:rsidRPr="006F13FE">
        <w:t xml:space="preserve">Östeuropas </w:t>
      </w:r>
      <w:r w:rsidRPr="006F13FE">
        <w:t>frigörelse. Ägandet möjliggör den frihet från staten som är nö</w:t>
      </w:r>
      <w:r w:rsidRPr="006F13FE">
        <w:t>d</w:t>
      </w:r>
      <w:r w:rsidRPr="006F13FE">
        <w:t>vändig i ett demok</w:t>
      </w:r>
      <w:r w:rsidR="00BB0D8E" w:rsidRPr="006F13FE">
        <w:t>r</w:t>
      </w:r>
      <w:r w:rsidRPr="006F13FE">
        <w:t>atiskt samhälle. Eget ägande läg</w:t>
      </w:r>
      <w:r w:rsidR="00BB0D8E" w:rsidRPr="006F13FE">
        <w:t>g</w:t>
      </w:r>
      <w:r w:rsidRPr="006F13FE">
        <w:t>er grunden till ett livsbygge och skapar frihet, trygghet och ansvar. Förutom att åtnjuta ett utökat skydd bör äganderätten också anpassas till samhällsutvec</w:t>
      </w:r>
      <w:r w:rsidRPr="006F13FE">
        <w:t>k</w:t>
      </w:r>
      <w:r w:rsidRPr="006F13FE">
        <w:t>lingen. I dag omfattas inte immateriella rättigheter av grundlagsskyddet, vi</w:t>
      </w:r>
      <w:r w:rsidRPr="006F13FE">
        <w:t>l</w:t>
      </w:r>
      <w:r w:rsidRPr="006F13FE">
        <w:t>ket är orimligt i ljuset av den tekniska utvecklin</w:t>
      </w:r>
      <w:r w:rsidRPr="006F13FE">
        <w:t>g</w:t>
      </w:r>
      <w:r w:rsidRPr="006F13FE">
        <w:t>en. Även idéer kan ägas, vilket bör framgå av författningen.</w:t>
      </w:r>
    </w:p>
    <w:p w:rsidR="001400CE" w:rsidRPr="006F13FE" w:rsidRDefault="001400CE" w:rsidP="0005403F">
      <w:pPr>
        <w:pStyle w:val="Rubrik3"/>
      </w:pPr>
      <w:bookmarkStart w:id="25" w:name="_Toc114891411"/>
      <w:bookmarkStart w:id="26" w:name="_Toc114891483"/>
      <w:bookmarkStart w:id="27" w:name="_Toc131827382"/>
      <w:r w:rsidRPr="006F13FE">
        <w:t>Ett förstärkt minoritetsskydd</w:t>
      </w:r>
      <w:bookmarkEnd w:id="25"/>
      <w:bookmarkEnd w:id="26"/>
      <w:bookmarkEnd w:id="27"/>
    </w:p>
    <w:p w:rsidR="001400CE" w:rsidRPr="006F13FE" w:rsidRDefault="001400CE" w:rsidP="0005403F">
      <w:r w:rsidRPr="006F13FE">
        <w:t>Eftersom demokratin ger majoriteten möjligheten att utöva tvång måste den också visa respekt och ö</w:t>
      </w:r>
      <w:r w:rsidRPr="006F13FE">
        <w:t>d</w:t>
      </w:r>
      <w:r w:rsidRPr="006F13FE">
        <w:t>mjukhet mot dem som är färre. En ökad hänsyn måste därför tas till minoritetens legitima i</w:t>
      </w:r>
      <w:r w:rsidRPr="006F13FE">
        <w:t>n</w:t>
      </w:r>
      <w:r w:rsidRPr="006F13FE">
        <w:t>tressen.</w:t>
      </w:r>
    </w:p>
    <w:p w:rsidR="001400CE" w:rsidRPr="006F13FE" w:rsidRDefault="001400CE" w:rsidP="00BB0D8E">
      <w:pPr>
        <w:pStyle w:val="Normaltindrag"/>
      </w:pPr>
      <w:r w:rsidRPr="006F13FE">
        <w:t>Vi vill stärka minoritetsskyddet vid beslut om lagstiftning som innebär i</w:t>
      </w:r>
      <w:r w:rsidRPr="006F13FE">
        <w:t>n</w:t>
      </w:r>
      <w:r w:rsidRPr="006F13FE">
        <w:t>skränknin</w:t>
      </w:r>
      <w:r w:rsidRPr="006F13FE">
        <w:t>g</w:t>
      </w:r>
      <w:r w:rsidRPr="006F13FE">
        <w:t>ar i de medborgerliga fri- och rättigheterna genom att en sjättedel av kammarens l</w:t>
      </w:r>
      <w:r w:rsidRPr="006F13FE">
        <w:t>e</w:t>
      </w:r>
      <w:r w:rsidRPr="006F13FE">
        <w:t>damöter alltid skall kunna tvinga fram ett års uppskov med beslut. En fö</w:t>
      </w:r>
      <w:r w:rsidRPr="006F13FE">
        <w:t>r</w:t>
      </w:r>
      <w:r w:rsidRPr="006F13FE">
        <w:t>stärkning av minoritetsskyddet skulle ge mer tid för debatt, eftertanke och öve</w:t>
      </w:r>
      <w:r w:rsidRPr="006F13FE">
        <w:t>r</w:t>
      </w:r>
      <w:r w:rsidRPr="006F13FE">
        <w:t>vägande.</w:t>
      </w:r>
    </w:p>
    <w:p w:rsidR="001400CE" w:rsidRPr="006F13FE" w:rsidRDefault="001400CE" w:rsidP="0044118D">
      <w:pPr>
        <w:pStyle w:val="Rubrik2"/>
      </w:pPr>
      <w:bookmarkStart w:id="28" w:name="_Toc131234654"/>
      <w:bookmarkStart w:id="29" w:name="_Toc131827383"/>
      <w:r w:rsidRPr="006F13FE">
        <w:t>Attitydpåverkande arbete</w:t>
      </w:r>
      <w:bookmarkEnd w:id="28"/>
      <w:bookmarkEnd w:id="29"/>
    </w:p>
    <w:p w:rsidR="001400CE" w:rsidRPr="006F13FE" w:rsidRDefault="001400CE" w:rsidP="00BB0D8E">
      <w:pPr>
        <w:pStyle w:val="Rubrik3"/>
        <w:spacing w:before="120"/>
      </w:pPr>
      <w:bookmarkStart w:id="30" w:name="_Toc131234655"/>
      <w:bookmarkStart w:id="31" w:name="_Toc131827384"/>
      <w:r w:rsidRPr="006F13FE">
        <w:t>Språk</w:t>
      </w:r>
      <w:r w:rsidR="00BB0D8E" w:rsidRPr="006F13FE">
        <w:t>-</w:t>
      </w:r>
      <w:r w:rsidRPr="006F13FE">
        <w:t xml:space="preserve"> och informationsfrågor</w:t>
      </w:r>
      <w:bookmarkEnd w:id="30"/>
      <w:bookmarkEnd w:id="31"/>
    </w:p>
    <w:p w:rsidR="001400CE" w:rsidRPr="006F13FE" w:rsidRDefault="001400CE" w:rsidP="001400CE">
      <w:r w:rsidRPr="006F13FE">
        <w:t xml:space="preserve">Under hösten 2005 presenterades en proposition rörande det svenska språkets ställning. I utredningen som ligger till grund för propositionen (SOU 200:27 Mål i mun) föreslås att en lag om svenska språkets ställning införs. Detta förslag följdes inte upp i propositionen, vilket vi anser </w:t>
      </w:r>
      <w:r w:rsidR="00BB0D8E" w:rsidRPr="006F13FE">
        <w:t xml:space="preserve">att det </w:t>
      </w:r>
      <w:r w:rsidRPr="006F13FE">
        <w:t>borde ha gjorts.</w:t>
      </w:r>
    </w:p>
    <w:p w:rsidR="001400CE" w:rsidRPr="006F13FE" w:rsidRDefault="001400CE" w:rsidP="001400CE">
      <w:pPr>
        <w:pStyle w:val="Normaltindrag"/>
      </w:pPr>
      <w:r w:rsidRPr="006F13FE">
        <w:t>Utredningen drar paralleller till bl.a. vårt grannland Finland som har fin</w:t>
      </w:r>
      <w:r w:rsidRPr="006F13FE">
        <w:t>s</w:t>
      </w:r>
      <w:r w:rsidRPr="006F13FE">
        <w:t>kans och svenskans ställning reglerad i grundlagen. De</w:t>
      </w:r>
      <w:r w:rsidR="00BB0D8E" w:rsidRPr="006F13FE">
        <w:t>t</w:t>
      </w:r>
      <w:r w:rsidRPr="006F13FE">
        <w:t>samma gäller bl.a. Frankrike och Polen som också har respektive språk skyddat i grundlagen. Man hävdade i utredningen vidare att det svenska språket på intet sätt är oh</w:t>
      </w:r>
      <w:r w:rsidRPr="006F13FE">
        <w:t>o</w:t>
      </w:r>
      <w:r w:rsidRPr="006F13FE">
        <w:t>tat – inte minst utgör engelskan ett allt vanligare inslag i svenskt vardagsliv. Sedan några år tillbaka finns det dessutom fem minoritetsspråk reglerade i lag. Det är mot den bakgrunden, enligt utredningen, viktigt att man i ett så mångkulturellt samhälle har ett gemensamt språk som huvudspråk. En la</w:t>
      </w:r>
      <w:r w:rsidRPr="006F13FE">
        <w:t>g</w:t>
      </w:r>
      <w:r w:rsidRPr="006F13FE">
        <w:t>stiftning skall ses som en markering.</w:t>
      </w:r>
    </w:p>
    <w:p w:rsidR="001400CE" w:rsidRPr="006F13FE" w:rsidRDefault="001400CE" w:rsidP="001400CE">
      <w:pPr>
        <w:pStyle w:val="Normaltindrag"/>
      </w:pPr>
      <w:r w:rsidRPr="006F13FE">
        <w:t>Flera remissinstanser förordar också en lagreglering av det svenska spr</w:t>
      </w:r>
      <w:r w:rsidRPr="006F13FE">
        <w:t>å</w:t>
      </w:r>
      <w:r w:rsidRPr="006F13FE">
        <w:t>ket. I sitt yt</w:t>
      </w:r>
      <w:r w:rsidRPr="006F13FE">
        <w:t>t</w:t>
      </w:r>
      <w:r w:rsidRPr="006F13FE">
        <w:t>rande till utredningen skriver Svenska Akademien, som måste ses som en i samma</w:t>
      </w:r>
      <w:r w:rsidRPr="006F13FE">
        <w:t>n</w:t>
      </w:r>
      <w:r w:rsidRPr="006F13FE">
        <w:t>hanget mycket tung remissinstans följande: ”Att lagstifta om svenskan som huvudspråk i Sverige har stor pra</w:t>
      </w:r>
      <w:r w:rsidR="00BB0D8E" w:rsidRPr="006F13FE">
        <w:t>ktisk och symbolisk betyde</w:t>
      </w:r>
      <w:r w:rsidR="00BB0D8E" w:rsidRPr="006F13FE">
        <w:t>l</w:t>
      </w:r>
      <w:r w:rsidR="00BB0D8E" w:rsidRPr="006F13FE">
        <w:t>se.”</w:t>
      </w:r>
    </w:p>
    <w:p w:rsidR="001400CE" w:rsidRPr="006F13FE" w:rsidRDefault="001400CE" w:rsidP="007A05CB">
      <w:pPr>
        <w:pStyle w:val="Normaltindrag"/>
      </w:pPr>
      <w:r w:rsidRPr="006F13FE">
        <w:t>Vi moderater biträder såväl utredningens förslag som Sven</w:t>
      </w:r>
      <w:r w:rsidR="00BB0D8E" w:rsidRPr="006F13FE">
        <w:t>ska Akadem</w:t>
      </w:r>
      <w:r w:rsidR="00BB0D8E" w:rsidRPr="006F13FE">
        <w:t>i</w:t>
      </w:r>
      <w:r w:rsidR="00BB0D8E" w:rsidRPr="006F13FE">
        <w:t>ens yttrande över det</w:t>
      </w:r>
      <w:r w:rsidRPr="006F13FE">
        <w:t>samma. Det förslag till lydelse som finns i utredningen kan med fördel a</w:t>
      </w:r>
      <w:r w:rsidRPr="006F13FE">
        <w:t>n</w:t>
      </w:r>
      <w:r w:rsidRPr="006F13FE">
        <w:t>vändas.</w:t>
      </w:r>
    </w:p>
    <w:p w:rsidR="001400CE" w:rsidRPr="006F13FE" w:rsidRDefault="001400CE" w:rsidP="0044118D">
      <w:pPr>
        <w:pStyle w:val="Rubrik2"/>
      </w:pPr>
      <w:bookmarkStart w:id="32" w:name="_Toc131234656"/>
      <w:bookmarkStart w:id="33" w:name="_Toc131827385"/>
      <w:r w:rsidRPr="006F13FE">
        <w:t>Internationellt</w:t>
      </w:r>
      <w:bookmarkEnd w:id="32"/>
      <w:bookmarkEnd w:id="33"/>
    </w:p>
    <w:p w:rsidR="009E648F" w:rsidRPr="006F13FE" w:rsidRDefault="009E648F" w:rsidP="009E648F">
      <w:r w:rsidRPr="006F13FE">
        <w:t xml:space="preserve">Främjande av de mänskliga rättigheterna skall utgöra en integrerad del i all utrikes- och säkerhetspolitik. Sverige och EU skall i sina förbindelser med andra länder och i FN i större utsträckning värna och framhäva demokrati och respekt för de mänskliga rättigheterna som grund för samhällelig utveckling. </w:t>
      </w:r>
    </w:p>
    <w:p w:rsidR="009E648F" w:rsidRPr="006F13FE" w:rsidRDefault="009E648F" w:rsidP="00BB0D8E">
      <w:pPr>
        <w:pStyle w:val="Normaltindrag"/>
      </w:pPr>
      <w:r w:rsidRPr="006F13FE">
        <w:t xml:space="preserve">Vi välkomnar slutsatserna i FN:s toppmötesdeklaration från september 2005 om ansvaret att skydda </w:t>
      </w:r>
      <w:r w:rsidRPr="006F13FE">
        <w:rPr>
          <w:i/>
          <w:iCs/>
        </w:rPr>
        <w:t xml:space="preserve">(responsibility to protect). </w:t>
      </w:r>
      <w:r w:rsidRPr="006F13FE">
        <w:t>Det är viktigt att dessa nu omsätts i praktiken. Suveräniteten och nationsgränserna får således aldrig överordnas människorätten och bli en sköld bakom vilken förtryck och brott mot de mänskliga rättigheterna kan accepteras.</w:t>
      </w:r>
    </w:p>
    <w:p w:rsidR="006D6991" w:rsidRPr="006F13FE" w:rsidRDefault="001400CE" w:rsidP="00BB0D8E">
      <w:pPr>
        <w:pStyle w:val="Normaltindrag"/>
      </w:pPr>
      <w:r w:rsidRPr="006F13FE">
        <w:t>Vi anser därför att Sverige och EU med kraft skall verka för att respekt för de mänskliga rättigheterna och demokrati uttrycklige</w:t>
      </w:r>
      <w:r w:rsidR="00BB0D8E" w:rsidRPr="006F13FE">
        <w:t>n inbegrips i FN:</w:t>
      </w:r>
      <w:r w:rsidRPr="006F13FE">
        <w:t>s mi</w:t>
      </w:r>
      <w:r w:rsidRPr="006F13FE">
        <w:t>l</w:t>
      </w:r>
      <w:r w:rsidRPr="006F13FE">
        <w:t>lenniemål. Vi anser också att Sverige och EU skall kräva att en ländervis översikt över brott mot de mänskliga rättigheterna och demokrati</w:t>
      </w:r>
      <w:r w:rsidR="00BB0D8E" w:rsidRPr="006F13FE">
        <w:t xml:space="preserve"> redovisas och debatteras i FN:</w:t>
      </w:r>
      <w:r w:rsidRPr="006F13FE">
        <w:t>s generalfö</w:t>
      </w:r>
      <w:r w:rsidRPr="006F13FE">
        <w:t>r</w:t>
      </w:r>
      <w:r w:rsidRPr="006F13FE">
        <w:t>samling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0D8E" w:rsidRPr="006F13FE">
        <w:tblPrEx>
          <w:tblCellMar>
            <w:top w:w="0" w:type="dxa"/>
            <w:bottom w:w="0" w:type="dxa"/>
          </w:tblCellMar>
        </w:tblPrEx>
        <w:trPr>
          <w:cantSplit/>
        </w:trPr>
        <w:tc>
          <w:tcPr>
            <w:tcW w:w="3046" w:type="dxa"/>
          </w:tcPr>
          <w:p w:rsidR="00BB0D8E" w:rsidRPr="006F13FE" w:rsidRDefault="00BB0D8E" w:rsidP="0005403F">
            <w:pPr>
              <w:pStyle w:val="UnderskriftDatum"/>
              <w:spacing w:before="0"/>
            </w:pPr>
            <w:r w:rsidRPr="006F13FE">
              <w:t>Stockholm den 29 mars 2006</w:t>
            </w:r>
          </w:p>
        </w:tc>
        <w:tc>
          <w:tcPr>
            <w:tcW w:w="3047" w:type="dxa"/>
          </w:tcPr>
          <w:p w:rsidR="00BB0D8E" w:rsidRPr="006F13FE" w:rsidRDefault="00BB0D8E" w:rsidP="0005403F">
            <w:pPr>
              <w:pStyle w:val="Underskrifter"/>
            </w:pPr>
          </w:p>
        </w:tc>
      </w:tr>
      <w:tr w:rsidR="00BB0D8E" w:rsidRPr="006F13FE">
        <w:tblPrEx>
          <w:tblCellMar>
            <w:top w:w="0" w:type="dxa"/>
            <w:bottom w:w="0" w:type="dxa"/>
          </w:tblCellMar>
        </w:tblPrEx>
        <w:trPr>
          <w:cantSplit/>
        </w:trPr>
        <w:tc>
          <w:tcPr>
            <w:tcW w:w="3046" w:type="dxa"/>
          </w:tcPr>
          <w:p w:rsidR="00BB0D8E" w:rsidRPr="006F13FE" w:rsidRDefault="00BB0D8E" w:rsidP="0005403F">
            <w:pPr>
              <w:pStyle w:val="Underskrifter"/>
            </w:pPr>
            <w:r w:rsidRPr="006F13FE">
              <w:t>Göran Lennmarker (m)</w:t>
            </w:r>
          </w:p>
        </w:tc>
        <w:tc>
          <w:tcPr>
            <w:tcW w:w="3047" w:type="dxa"/>
          </w:tcPr>
          <w:p w:rsidR="00BB0D8E" w:rsidRPr="006F13FE" w:rsidRDefault="00BB0D8E" w:rsidP="0005403F">
            <w:pPr>
              <w:pStyle w:val="Underskrifter"/>
            </w:pPr>
          </w:p>
        </w:tc>
      </w:tr>
      <w:tr w:rsidR="00BB0D8E" w:rsidRPr="006F13FE">
        <w:tblPrEx>
          <w:tblCellMar>
            <w:top w:w="0" w:type="dxa"/>
            <w:bottom w:w="0" w:type="dxa"/>
          </w:tblCellMar>
        </w:tblPrEx>
        <w:trPr>
          <w:cantSplit/>
        </w:trPr>
        <w:tc>
          <w:tcPr>
            <w:tcW w:w="3046" w:type="dxa"/>
          </w:tcPr>
          <w:p w:rsidR="00BB0D8E" w:rsidRPr="006F13FE" w:rsidRDefault="00BB0D8E" w:rsidP="0005403F">
            <w:pPr>
              <w:pStyle w:val="Underskrifter"/>
            </w:pPr>
            <w:r w:rsidRPr="006F13FE">
              <w:t>Henrik S Järrel (m)</w:t>
            </w:r>
          </w:p>
        </w:tc>
        <w:tc>
          <w:tcPr>
            <w:tcW w:w="3047" w:type="dxa"/>
          </w:tcPr>
          <w:p w:rsidR="00BB0D8E" w:rsidRPr="006F13FE" w:rsidRDefault="00BB0D8E" w:rsidP="0005403F">
            <w:pPr>
              <w:pStyle w:val="Underskrifter"/>
            </w:pPr>
            <w:r w:rsidRPr="006F13FE">
              <w:t>Nils Fredrik Aurelius (m)</w:t>
            </w:r>
          </w:p>
        </w:tc>
      </w:tr>
      <w:tr w:rsidR="00BB0D8E" w:rsidRPr="006F13FE">
        <w:tblPrEx>
          <w:tblCellMar>
            <w:top w:w="0" w:type="dxa"/>
            <w:bottom w:w="0" w:type="dxa"/>
          </w:tblCellMar>
        </w:tblPrEx>
        <w:trPr>
          <w:cantSplit/>
        </w:trPr>
        <w:tc>
          <w:tcPr>
            <w:tcW w:w="3046" w:type="dxa"/>
          </w:tcPr>
          <w:p w:rsidR="00BB0D8E" w:rsidRPr="006F13FE" w:rsidRDefault="00BB0D8E" w:rsidP="0005403F">
            <w:pPr>
              <w:pStyle w:val="Underskrifter"/>
            </w:pPr>
            <w:r w:rsidRPr="006F13FE">
              <w:t>Carl-Erik Skårman (m)</w:t>
            </w:r>
          </w:p>
        </w:tc>
        <w:tc>
          <w:tcPr>
            <w:tcW w:w="3047" w:type="dxa"/>
          </w:tcPr>
          <w:p w:rsidR="00BB0D8E" w:rsidRPr="006F13FE" w:rsidRDefault="00BB0D8E" w:rsidP="0005403F">
            <w:pPr>
              <w:pStyle w:val="Underskrifter"/>
            </w:pPr>
            <w:r w:rsidRPr="006F13FE">
              <w:t>Cecilia Magnusson (m)</w:t>
            </w:r>
          </w:p>
        </w:tc>
      </w:tr>
      <w:tr w:rsidR="00BB0D8E" w:rsidRPr="006F13FE">
        <w:tblPrEx>
          <w:tblCellMar>
            <w:top w:w="0" w:type="dxa"/>
            <w:bottom w:w="0" w:type="dxa"/>
          </w:tblCellMar>
        </w:tblPrEx>
        <w:trPr>
          <w:cantSplit/>
        </w:trPr>
        <w:tc>
          <w:tcPr>
            <w:tcW w:w="3046" w:type="dxa"/>
          </w:tcPr>
          <w:p w:rsidR="00BB0D8E" w:rsidRPr="006F13FE" w:rsidRDefault="00BB0D8E" w:rsidP="0005403F">
            <w:pPr>
              <w:pStyle w:val="Underskrifter"/>
            </w:pPr>
            <w:r w:rsidRPr="006F13FE">
              <w:t>Henrik von Sydow (m)</w:t>
            </w:r>
          </w:p>
        </w:tc>
        <w:tc>
          <w:tcPr>
            <w:tcW w:w="3047" w:type="dxa"/>
          </w:tcPr>
          <w:p w:rsidR="00BB0D8E" w:rsidRPr="006F13FE" w:rsidRDefault="00BB0D8E" w:rsidP="0005403F">
            <w:pPr>
              <w:pStyle w:val="Underskrifter"/>
            </w:pPr>
          </w:p>
        </w:tc>
      </w:tr>
    </w:tbl>
    <w:p w:rsidR="001400CE" w:rsidRPr="006F13FE" w:rsidRDefault="001400CE" w:rsidP="00BB0D8E">
      <w:pPr>
        <w:pStyle w:val="Normaltindrag"/>
      </w:pPr>
    </w:p>
    <w:sectPr w:rsidR="001400CE" w:rsidRPr="006F13FE" w:rsidSect="00BB0D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42E" w:rsidRPr="006F13FE" w:rsidRDefault="00F3742E">
      <w:r w:rsidRPr="006F13FE">
        <w:separator/>
      </w:r>
    </w:p>
  </w:endnote>
  <w:endnote w:type="continuationSeparator" w:id="0">
    <w:p w:rsidR="00F3742E" w:rsidRPr="006F13FE" w:rsidRDefault="00F3742E">
      <w:r w:rsidRPr="006F1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22" w:rsidRPr="006F13FE" w:rsidRDefault="006F13FE" w:rsidP="00BB0D8E">
    <w:pPr>
      <w:pStyle w:val="Sidfot"/>
    </w:pPr>
    <w:r w:rsidRPr="006F13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602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8E" w:rsidRDefault="00BB0D8E">
                          <w:pPr>
                            <w:pStyle w:val="NormalS5sidnrV"/>
                          </w:pPr>
                          <w:r>
                            <w:fldChar w:fldCharType="begin"/>
                          </w:r>
                          <w:r>
                            <w:instrText xml:space="preserve"> PAGE *\charformat</w:instrText>
                          </w:r>
                          <w:r>
                            <w:fldChar w:fldCharType="separate"/>
                          </w:r>
                          <w:r w:rsidR="00E100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D8E" w:rsidRDefault="00BB0D8E">
                    <w:pPr>
                      <w:pStyle w:val="NormalS5sidnrV"/>
                    </w:pPr>
                    <w:r>
                      <w:fldChar w:fldCharType="begin"/>
                    </w:r>
                    <w:r>
                      <w:instrText xml:space="preserve"> PAGE *\charformat</w:instrText>
                    </w:r>
                    <w:r>
                      <w:fldChar w:fldCharType="separate"/>
                    </w:r>
                    <w:r w:rsidR="00E100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6A" w:rsidRPr="006F13FE" w:rsidRDefault="006F13FE" w:rsidP="00BB0D8E">
    <w:pPr>
      <w:pStyle w:val="Sidfot"/>
    </w:pPr>
    <w:r w:rsidRPr="006F13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570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8E" w:rsidRDefault="00BB0D8E">
                          <w:pPr>
                            <w:pStyle w:val="NormalS5sidnrH"/>
                            <w:ind w:right="0"/>
                          </w:pPr>
                          <w:r>
                            <w:fldChar w:fldCharType="begin"/>
                          </w:r>
                          <w:r>
                            <w:instrText xml:space="preserve"> PAGE *\charformat</w:instrText>
                          </w:r>
                          <w:r>
                            <w:fldChar w:fldCharType="separate"/>
                          </w:r>
                          <w:r w:rsidR="00E1005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D8E" w:rsidRDefault="00BB0D8E">
                    <w:pPr>
                      <w:pStyle w:val="NormalS5sidnrH"/>
                      <w:ind w:right="0"/>
                    </w:pPr>
                    <w:r>
                      <w:fldChar w:fldCharType="begin"/>
                    </w:r>
                    <w:r>
                      <w:instrText xml:space="preserve"> PAGE *\charformat</w:instrText>
                    </w:r>
                    <w:r>
                      <w:fldChar w:fldCharType="separate"/>
                    </w:r>
                    <w:r w:rsidR="00E1005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6A" w:rsidRPr="006F13FE" w:rsidRDefault="006F13FE" w:rsidP="00BB0D8E">
    <w:pPr>
      <w:pStyle w:val="Sidfot"/>
    </w:pPr>
    <w:r w:rsidRPr="006F13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428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8E" w:rsidRDefault="00BB0D8E">
                          <w:pPr>
                            <w:pStyle w:val="NormalS5sidnrH"/>
                            <w:ind w:right="0"/>
                          </w:pPr>
                          <w:r>
                            <w:fldChar w:fldCharType="begin"/>
                          </w:r>
                          <w:r>
                            <w:instrText xml:space="preserve"> PAGE *\charformat</w:instrText>
                          </w:r>
                          <w:r>
                            <w:fldChar w:fldCharType="separate"/>
                          </w:r>
                          <w:r w:rsidR="00E100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D8E" w:rsidRDefault="00BB0D8E">
                    <w:pPr>
                      <w:pStyle w:val="NormalS5sidnrH"/>
                      <w:ind w:right="0"/>
                    </w:pPr>
                    <w:r>
                      <w:fldChar w:fldCharType="begin"/>
                    </w:r>
                    <w:r>
                      <w:instrText xml:space="preserve"> PAGE *\charformat</w:instrText>
                    </w:r>
                    <w:r>
                      <w:fldChar w:fldCharType="separate"/>
                    </w:r>
                    <w:r w:rsidR="00E100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42E" w:rsidRPr="006F13FE" w:rsidRDefault="00F3742E">
      <w:r w:rsidRPr="006F13FE">
        <w:separator/>
      </w:r>
    </w:p>
  </w:footnote>
  <w:footnote w:type="continuationSeparator" w:id="0">
    <w:p w:rsidR="00F3742E" w:rsidRPr="006F13FE" w:rsidRDefault="00F3742E">
      <w:r w:rsidRPr="006F1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22" w:rsidRPr="006F13FE" w:rsidRDefault="006F13FE" w:rsidP="00BB0D8E">
    <w:pPr>
      <w:pStyle w:val="Sidhuvud"/>
    </w:pPr>
    <w:r w:rsidRPr="006F13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362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8E" w:rsidRDefault="00BB0D8E">
                          <w:pPr>
                            <w:pStyle w:val="KantRubrikS5V"/>
                          </w:pPr>
                          <w:r>
                            <w:fldChar w:fldCharType="begin"/>
                          </w:r>
                          <w:r>
                            <w:instrText xml:space="preserve"> DOCPROPERTY "YearUser" *\charformat </w:instrText>
                          </w:r>
                          <w:r>
                            <w:fldChar w:fldCharType="separate"/>
                          </w:r>
                          <w:r w:rsidR="00E1005F">
                            <w:t>2005/06</w:t>
                          </w:r>
                          <w:r>
                            <w:fldChar w:fldCharType="end"/>
                          </w:r>
                          <w:r>
                            <w:t>:</w:t>
                          </w:r>
                          <w:r>
                            <w:fldChar w:fldCharType="begin"/>
                          </w:r>
                          <w:r>
                            <w:instrText xml:space="preserve"> DOCPROPERTY "Motionsnummer" *\charformat </w:instrText>
                          </w:r>
                          <w:r>
                            <w:fldChar w:fldCharType="separate"/>
                          </w:r>
                          <w:r w:rsidR="00E1005F">
                            <w:t>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D8E" w:rsidRDefault="00BB0D8E">
                    <w:pPr>
                      <w:pStyle w:val="KantRubrikS5V"/>
                    </w:pPr>
                    <w:r>
                      <w:fldChar w:fldCharType="begin"/>
                    </w:r>
                    <w:r>
                      <w:instrText xml:space="preserve"> DOCPROPERTY "YearUser" *\charformat </w:instrText>
                    </w:r>
                    <w:r>
                      <w:fldChar w:fldCharType="separate"/>
                    </w:r>
                    <w:r w:rsidR="00E1005F">
                      <w:t>2005/06</w:t>
                    </w:r>
                    <w:r>
                      <w:fldChar w:fldCharType="end"/>
                    </w:r>
                    <w:r>
                      <w:t>:</w:t>
                    </w:r>
                    <w:r>
                      <w:fldChar w:fldCharType="begin"/>
                    </w:r>
                    <w:r>
                      <w:instrText xml:space="preserve"> DOCPROPERTY "Motionsnummer" *\charformat </w:instrText>
                    </w:r>
                    <w:r>
                      <w:fldChar w:fldCharType="separate"/>
                    </w:r>
                    <w:r w:rsidR="00E1005F">
                      <w:t>K17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6A" w:rsidRPr="006F13FE" w:rsidRDefault="006F13FE" w:rsidP="00BB0D8E">
    <w:pPr>
      <w:pStyle w:val="Sidhuvud"/>
    </w:pPr>
    <w:r w:rsidRPr="006F13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78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8E" w:rsidRDefault="00BB0D8E">
                          <w:pPr>
                            <w:pStyle w:val="KantRubrikS5H"/>
                            <w:ind w:right="0"/>
                          </w:pPr>
                          <w:r>
                            <w:fldChar w:fldCharType="begin"/>
                          </w:r>
                          <w:r>
                            <w:instrText xml:space="preserve"> DOCPROPERTY "YearUser" *\charformat </w:instrText>
                          </w:r>
                          <w:r>
                            <w:fldChar w:fldCharType="separate"/>
                          </w:r>
                          <w:r w:rsidR="00E1005F">
                            <w:t>2005/06</w:t>
                          </w:r>
                          <w:r>
                            <w:fldChar w:fldCharType="end"/>
                          </w:r>
                          <w:r>
                            <w:t>:</w:t>
                          </w:r>
                          <w:r>
                            <w:fldChar w:fldCharType="begin"/>
                          </w:r>
                          <w:r>
                            <w:instrText xml:space="preserve"> DOCPROPERTY "Motionsnummer" *\charformat </w:instrText>
                          </w:r>
                          <w:r>
                            <w:fldChar w:fldCharType="separate"/>
                          </w:r>
                          <w:r w:rsidR="00E1005F">
                            <w:t>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D8E" w:rsidRDefault="00BB0D8E">
                    <w:pPr>
                      <w:pStyle w:val="KantRubrikS5H"/>
                      <w:ind w:right="0"/>
                    </w:pPr>
                    <w:r>
                      <w:fldChar w:fldCharType="begin"/>
                    </w:r>
                    <w:r>
                      <w:instrText xml:space="preserve"> DOCPROPERTY "YearUser" *\charformat </w:instrText>
                    </w:r>
                    <w:r>
                      <w:fldChar w:fldCharType="separate"/>
                    </w:r>
                    <w:r w:rsidR="00E1005F">
                      <w:t>2005/06</w:t>
                    </w:r>
                    <w:r>
                      <w:fldChar w:fldCharType="end"/>
                    </w:r>
                    <w:r>
                      <w:t>:</w:t>
                    </w:r>
                    <w:r>
                      <w:fldChar w:fldCharType="begin"/>
                    </w:r>
                    <w:r>
                      <w:instrText xml:space="preserve"> DOCPROPERTY "Motionsnummer" *\charformat </w:instrText>
                    </w:r>
                    <w:r>
                      <w:fldChar w:fldCharType="separate"/>
                    </w:r>
                    <w:r w:rsidR="00E1005F">
                      <w:t>K17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D8E" w:rsidRPr="006F13FE" w:rsidRDefault="00BB0D8E">
    <w:pPr>
      <w:pStyle w:val="FSHNormal"/>
      <w:tabs>
        <w:tab w:val="right" w:pos="5840"/>
      </w:tabs>
    </w:pPr>
    <w:r w:rsidRPr="006F13FE">
      <w:br/>
    </w:r>
    <w:r w:rsidRPr="006F13FE">
      <w:fldChar w:fldCharType="begin" w:fldLock="1"/>
    </w:r>
    <w:r w:rsidRPr="006F13FE">
      <w:instrText xml:space="preserve"> DOCPROPERTY</w:instrText>
    </w:r>
    <w:r w:rsidRPr="006F13FE">
      <w:rPr>
        <w:sz w:val="18"/>
      </w:rPr>
      <w:instrText xml:space="preserve"> "YearUser" *\charformat </w:instrText>
    </w:r>
    <w:r w:rsidRPr="006F13FE">
      <w:fldChar w:fldCharType="separate"/>
    </w:r>
    <w:r w:rsidR="00E1005F" w:rsidRPr="006F13FE">
      <w:t>2005/06</w:t>
    </w:r>
    <w:r w:rsidRPr="006F13FE">
      <w:fldChar w:fldCharType="end"/>
    </w:r>
    <w:r w:rsidRPr="006F13FE">
      <w:t xml:space="preserve"> </w:t>
    </w:r>
    <w:r w:rsidRPr="006F13FE">
      <w:tab/>
      <w:t xml:space="preserve">mnr: </w:t>
    </w:r>
    <w:r w:rsidRPr="006F13FE">
      <w:fldChar w:fldCharType="begin" w:fldLock="1"/>
    </w:r>
    <w:r w:rsidRPr="006F13FE">
      <w:instrText xml:space="preserve"> DOCPROPERTY</w:instrText>
    </w:r>
    <w:r w:rsidRPr="006F13FE">
      <w:rPr>
        <w:sz w:val="18"/>
      </w:rPr>
      <w:instrText xml:space="preserve"> "Motionsnummer" *\charformat </w:instrText>
    </w:r>
    <w:r w:rsidRPr="006F13FE">
      <w:fldChar w:fldCharType="separate"/>
    </w:r>
    <w:r w:rsidR="00E1005F" w:rsidRPr="006F13FE">
      <w:t>K17</w:t>
    </w:r>
    <w:r w:rsidRPr="006F13FE">
      <w:fldChar w:fldCharType="end"/>
    </w:r>
    <w:r w:rsidRPr="006F13FE">
      <w:br/>
    </w:r>
    <w:r w:rsidRPr="006F13FE">
      <w:fldChar w:fldCharType="begin" w:fldLock="1"/>
    </w:r>
    <w:r w:rsidRPr="006F13FE">
      <w:instrText xml:space="preserve"> DOCPROPERTY</w:instrText>
    </w:r>
    <w:r w:rsidRPr="006F13FE">
      <w:rPr>
        <w:sz w:val="18"/>
      </w:rPr>
      <w:instrText xml:space="preserve"> "Samling" *\charformat </w:instrText>
    </w:r>
    <w:r w:rsidRPr="006F13FE">
      <w:fldChar w:fldCharType="end"/>
    </w:r>
    <w:r w:rsidRPr="006F13FE">
      <w:tab/>
      <w:t xml:space="preserve">pnr: </w:t>
    </w:r>
    <w:r w:rsidRPr="006F13FE">
      <w:fldChar w:fldCharType="begin" w:fldLock="1"/>
    </w:r>
    <w:r w:rsidRPr="006F13FE">
      <w:instrText xml:space="preserve"> DOCPROPERTY</w:instrText>
    </w:r>
    <w:r w:rsidRPr="006F13FE">
      <w:rPr>
        <w:sz w:val="18"/>
      </w:rPr>
      <w:instrText xml:space="preserve"> "Partinummer" *\charformat </w:instrText>
    </w:r>
    <w:r w:rsidRPr="006F13FE">
      <w:fldChar w:fldCharType="separate"/>
    </w:r>
    <w:r w:rsidR="00E1005F" w:rsidRPr="006F13FE">
      <w:t>m217</w:t>
    </w:r>
    <w:r w:rsidRPr="006F13FE">
      <w:fldChar w:fldCharType="end"/>
    </w:r>
  </w:p>
  <w:p w:rsidR="00BB0D8E" w:rsidRPr="006F13FE" w:rsidRDefault="00BB0D8E">
    <w:pPr>
      <w:pStyle w:val="FSHRub1"/>
    </w:pPr>
    <w:r w:rsidRPr="006F13FE">
      <w:t>Motion till riksdagen</w:t>
    </w:r>
    <w:r w:rsidRPr="006F13FE">
      <w:br/>
    </w:r>
    <w:r w:rsidRPr="006F13FE">
      <w:fldChar w:fldCharType="begin" w:fldLock="1"/>
    </w:r>
    <w:r w:rsidRPr="006F13FE">
      <w:instrText xml:space="preserve"> DOCPROPERTY "YearUser" *\charformat </w:instrText>
    </w:r>
    <w:r w:rsidRPr="006F13FE">
      <w:fldChar w:fldCharType="separate"/>
    </w:r>
    <w:r w:rsidR="00E1005F" w:rsidRPr="006F13FE">
      <w:t>2005/06</w:t>
    </w:r>
    <w:r w:rsidRPr="006F13FE">
      <w:fldChar w:fldCharType="end"/>
    </w:r>
    <w:r w:rsidRPr="006F13FE">
      <w:t>:</w:t>
    </w:r>
    <w:r w:rsidRPr="006F13FE">
      <w:fldChar w:fldCharType="begin" w:fldLock="1"/>
    </w:r>
    <w:r w:rsidRPr="006F13FE">
      <w:instrText xml:space="preserve"> DOCPROPERTY "Motionsnummer" *\charformat </w:instrText>
    </w:r>
    <w:r w:rsidRPr="006F13FE">
      <w:fldChar w:fldCharType="separate"/>
    </w:r>
    <w:r w:rsidR="00E1005F" w:rsidRPr="006F13FE">
      <w:t>K17</w:t>
    </w:r>
    <w:r w:rsidRPr="006F13FE">
      <w:fldChar w:fldCharType="end"/>
    </w:r>
  </w:p>
  <w:p w:rsidR="00BB0D8E" w:rsidRPr="006F13FE" w:rsidRDefault="00BB0D8E">
    <w:pPr>
      <w:pStyle w:val="FSHNormalS5"/>
    </w:pPr>
    <w:r w:rsidRPr="006F13FE">
      <w:fldChar w:fldCharType="begin" w:fldLock="1"/>
    </w:r>
    <w:r w:rsidRPr="006F13FE">
      <w:instrText xml:space="preserve"> DOCPROPERTY "MotionarText" *\charformat </w:instrText>
    </w:r>
    <w:r w:rsidRPr="006F13FE">
      <w:fldChar w:fldCharType="separate"/>
    </w:r>
    <w:r w:rsidR="00E1005F" w:rsidRPr="006F13FE">
      <w:t>av Göran Lennmarker m.fl. (m)</w:t>
    </w:r>
    <w:r w:rsidRPr="006F13FE">
      <w:fldChar w:fldCharType="end"/>
    </w:r>
    <w:r w:rsidRPr="006F13FE">
      <w:br/>
    </w:r>
    <w:r w:rsidRPr="006F13FE">
      <w:fldChar w:fldCharType="begin" w:fldLock="1"/>
    </w:r>
    <w:r w:rsidRPr="006F13FE">
      <w:instrText xml:space="preserve"> DOCPROPERTY "SvarFrasKort" *\charformat </w:instrText>
    </w:r>
    <w:r w:rsidRPr="006F13FE">
      <w:fldChar w:fldCharType="separate"/>
    </w:r>
    <w:r w:rsidR="00E1005F" w:rsidRPr="006F13FE">
      <w:t>med anledning av skr. 2005/06:95</w:t>
    </w:r>
    <w:r w:rsidRPr="006F13FE">
      <w:fldChar w:fldCharType="end"/>
    </w:r>
  </w:p>
  <w:p w:rsidR="00BB0D8E" w:rsidRPr="006F13FE" w:rsidRDefault="00BB0D8E">
    <w:pPr>
      <w:pStyle w:val="FSHTitel"/>
    </w:pPr>
    <w:r w:rsidRPr="006F13FE">
      <w:fldChar w:fldCharType="begin" w:fldLock="1"/>
    </w:r>
    <w:r w:rsidRPr="006F13FE">
      <w:instrText xml:space="preserve"> DOCPROPERTY</w:instrText>
    </w:r>
    <w:r w:rsidRPr="006F13FE">
      <w:rPr>
        <w:sz w:val="18"/>
      </w:rPr>
      <w:instrText xml:space="preserve"> "RubrikSvar" *\charformat </w:instrText>
    </w:r>
    <w:r w:rsidRPr="006F13FE">
      <w:fldChar w:fldCharType="separate"/>
    </w:r>
    <w:r w:rsidR="00E1005F" w:rsidRPr="006F13FE">
      <w:t>En nationell handlingsplan för de mänskliga rättigheterna 2006–2009</w:t>
    </w:r>
    <w:r w:rsidRPr="006F13FE">
      <w:fldChar w:fldCharType="end"/>
    </w:r>
  </w:p>
  <w:p w:rsidR="00BB0D8E" w:rsidRPr="006F13FE" w:rsidRDefault="00BB0D8E" w:rsidP="00BB0D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7E39AB"/>
    <w:multiLevelType w:val="multilevel"/>
    <w:tmpl w:val="57D866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C1D2288"/>
    <w:multiLevelType w:val="hybridMultilevel"/>
    <w:tmpl w:val="3FF030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268493">
    <w:abstractNumId w:val="15"/>
  </w:num>
  <w:num w:numId="2" w16cid:durableId="1453596620">
    <w:abstractNumId w:val="11"/>
  </w:num>
  <w:num w:numId="3" w16cid:durableId="2094277848">
    <w:abstractNumId w:val="12"/>
  </w:num>
  <w:num w:numId="4" w16cid:durableId="568266931">
    <w:abstractNumId w:val="14"/>
  </w:num>
  <w:num w:numId="5" w16cid:durableId="1725985317">
    <w:abstractNumId w:val="8"/>
  </w:num>
  <w:num w:numId="6" w16cid:durableId="959382472">
    <w:abstractNumId w:val="3"/>
  </w:num>
  <w:num w:numId="7" w16cid:durableId="774906127">
    <w:abstractNumId w:val="2"/>
  </w:num>
  <w:num w:numId="8" w16cid:durableId="1790125115">
    <w:abstractNumId w:val="1"/>
  </w:num>
  <w:num w:numId="9" w16cid:durableId="671562917">
    <w:abstractNumId w:val="0"/>
  </w:num>
  <w:num w:numId="10" w16cid:durableId="893854300">
    <w:abstractNumId w:val="9"/>
  </w:num>
  <w:num w:numId="11" w16cid:durableId="1267730048">
    <w:abstractNumId w:val="7"/>
  </w:num>
  <w:num w:numId="12" w16cid:durableId="399864844">
    <w:abstractNumId w:val="6"/>
  </w:num>
  <w:num w:numId="13" w16cid:durableId="850991883">
    <w:abstractNumId w:val="5"/>
  </w:num>
  <w:num w:numId="14" w16cid:durableId="608044748">
    <w:abstractNumId w:val="4"/>
  </w:num>
  <w:num w:numId="15" w16cid:durableId="2010206561">
    <w:abstractNumId w:val="10"/>
  </w:num>
  <w:num w:numId="16" w16cid:durableId="755632232">
    <w:abstractNumId w:val="13"/>
  </w:num>
  <w:num w:numId="17" w16cid:durableId="873349793">
    <w:abstractNumId w:val="10"/>
  </w:num>
  <w:num w:numId="18" w16cid:durableId="1856846073">
    <w:abstractNumId w:val="10"/>
  </w:num>
  <w:num w:numId="19" w16cid:durableId="1661233313">
    <w:abstractNumId w:val="10"/>
  </w:num>
  <w:num w:numId="20" w16cid:durableId="1014723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6D6991"/>
    <w:rsid w:val="00001F22"/>
    <w:rsid w:val="00040D14"/>
    <w:rsid w:val="0004381F"/>
    <w:rsid w:val="0005403F"/>
    <w:rsid w:val="00064BC3"/>
    <w:rsid w:val="000665E6"/>
    <w:rsid w:val="00066775"/>
    <w:rsid w:val="00072FB9"/>
    <w:rsid w:val="000B48F3"/>
    <w:rsid w:val="000E48DA"/>
    <w:rsid w:val="000E60DA"/>
    <w:rsid w:val="000F5ADD"/>
    <w:rsid w:val="00100531"/>
    <w:rsid w:val="0010382E"/>
    <w:rsid w:val="001400CE"/>
    <w:rsid w:val="00162F20"/>
    <w:rsid w:val="001E0043"/>
    <w:rsid w:val="001F2DF8"/>
    <w:rsid w:val="00201DFB"/>
    <w:rsid w:val="00204A63"/>
    <w:rsid w:val="00212FF1"/>
    <w:rsid w:val="00230193"/>
    <w:rsid w:val="0025068A"/>
    <w:rsid w:val="002818D3"/>
    <w:rsid w:val="002943C8"/>
    <w:rsid w:val="00295E6D"/>
    <w:rsid w:val="002C0A6A"/>
    <w:rsid w:val="002C2373"/>
    <w:rsid w:val="002D11A8"/>
    <w:rsid w:val="003866EC"/>
    <w:rsid w:val="003F100A"/>
    <w:rsid w:val="0044118D"/>
    <w:rsid w:val="00445271"/>
    <w:rsid w:val="00447A04"/>
    <w:rsid w:val="004A0504"/>
    <w:rsid w:val="004E38D9"/>
    <w:rsid w:val="005253C4"/>
    <w:rsid w:val="005737F8"/>
    <w:rsid w:val="005B145B"/>
    <w:rsid w:val="006433A1"/>
    <w:rsid w:val="00647917"/>
    <w:rsid w:val="006D6991"/>
    <w:rsid w:val="006F13FE"/>
    <w:rsid w:val="00740D6D"/>
    <w:rsid w:val="00743F76"/>
    <w:rsid w:val="00794149"/>
    <w:rsid w:val="007A05CB"/>
    <w:rsid w:val="007B67A7"/>
    <w:rsid w:val="007C6092"/>
    <w:rsid w:val="007D1224"/>
    <w:rsid w:val="00846903"/>
    <w:rsid w:val="00962E74"/>
    <w:rsid w:val="009E648F"/>
    <w:rsid w:val="00A053C6"/>
    <w:rsid w:val="00AB5000"/>
    <w:rsid w:val="00B13BF0"/>
    <w:rsid w:val="00B33C81"/>
    <w:rsid w:val="00B67E5B"/>
    <w:rsid w:val="00BA6BE0"/>
    <w:rsid w:val="00BB0D8E"/>
    <w:rsid w:val="00BB6D75"/>
    <w:rsid w:val="00BD615D"/>
    <w:rsid w:val="00C1285C"/>
    <w:rsid w:val="00C27B7D"/>
    <w:rsid w:val="00C51159"/>
    <w:rsid w:val="00CA0722"/>
    <w:rsid w:val="00CB0C6F"/>
    <w:rsid w:val="00CE3037"/>
    <w:rsid w:val="00CF7A43"/>
    <w:rsid w:val="00D01775"/>
    <w:rsid w:val="00D11321"/>
    <w:rsid w:val="00D1174F"/>
    <w:rsid w:val="00D53D04"/>
    <w:rsid w:val="00DC6C70"/>
    <w:rsid w:val="00E0291A"/>
    <w:rsid w:val="00E1005F"/>
    <w:rsid w:val="00E22893"/>
    <w:rsid w:val="00E349C2"/>
    <w:rsid w:val="00E360DE"/>
    <w:rsid w:val="00E521CB"/>
    <w:rsid w:val="00E607A3"/>
    <w:rsid w:val="00E622A2"/>
    <w:rsid w:val="00E75D28"/>
    <w:rsid w:val="00E84F25"/>
    <w:rsid w:val="00ED3A6D"/>
    <w:rsid w:val="00F11F83"/>
    <w:rsid w:val="00F21B30"/>
    <w:rsid w:val="00F3742E"/>
    <w:rsid w:val="00F4274E"/>
    <w:rsid w:val="00F73E9E"/>
    <w:rsid w:val="00FA0937"/>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C0CD4-2AA8-44F9-AA83-6BC0D2A9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400CE"/>
    <w:pPr>
      <w:spacing w:before="125" w:line="250" w:lineRule="atLeast"/>
      <w:jc w:val="both"/>
    </w:pPr>
    <w:rPr>
      <w:sz w:val="19"/>
      <w:lang w:val="sv-SE" w:eastAsia="sv-SE"/>
    </w:rPr>
  </w:style>
  <w:style w:type="paragraph" w:styleId="Rubrik1">
    <w:name w:val="heading 1"/>
    <w:basedOn w:val="Normal"/>
    <w:next w:val="Normal"/>
    <w:qFormat/>
    <w:rsid w:val="00BB0D8E"/>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B0D8E"/>
    <w:pPr>
      <w:numPr>
        <w:ilvl w:val="1"/>
      </w:numPr>
      <w:spacing w:before="500" w:line="250" w:lineRule="exact"/>
      <w:outlineLvl w:val="1"/>
    </w:pPr>
    <w:rPr>
      <w:sz w:val="27"/>
    </w:rPr>
  </w:style>
  <w:style w:type="paragraph" w:styleId="Rubrik3">
    <w:name w:val="heading 3"/>
    <w:aliases w:val="Mellanrubrik"/>
    <w:basedOn w:val="Rubrik2"/>
    <w:next w:val="Normal"/>
    <w:qFormat/>
    <w:rsid w:val="00BB0D8E"/>
    <w:pPr>
      <w:numPr>
        <w:ilvl w:val="2"/>
      </w:numPr>
      <w:spacing w:before="250" w:after="0"/>
      <w:outlineLvl w:val="2"/>
    </w:pPr>
    <w:rPr>
      <w:b/>
      <w:sz w:val="21"/>
    </w:rPr>
  </w:style>
  <w:style w:type="paragraph" w:styleId="Rubrik4">
    <w:name w:val="heading 4"/>
    <w:aliases w:val="KursivRubrik"/>
    <w:basedOn w:val="Rubrik3"/>
    <w:next w:val="Normal"/>
    <w:qFormat/>
    <w:rsid w:val="00BB0D8E"/>
    <w:pPr>
      <w:numPr>
        <w:ilvl w:val="3"/>
      </w:numPr>
      <w:outlineLvl w:val="3"/>
    </w:pPr>
    <w:rPr>
      <w:b w:val="0"/>
      <w:i/>
    </w:rPr>
  </w:style>
  <w:style w:type="paragraph" w:styleId="Rubrik5">
    <w:name w:val="heading 5"/>
    <w:aliases w:val="PackadFetRubrik,PackadKursivRubrik"/>
    <w:basedOn w:val="Rubrik4"/>
    <w:next w:val="Normal"/>
    <w:qFormat/>
    <w:rsid w:val="00BB0D8E"/>
    <w:pPr>
      <w:numPr>
        <w:ilvl w:val="4"/>
      </w:numPr>
      <w:tabs>
        <w:tab w:val="clear" w:pos="1021"/>
      </w:tabs>
      <w:spacing w:before="125"/>
      <w:outlineLvl w:val="4"/>
    </w:pPr>
    <w:rPr>
      <w:i w:val="0"/>
      <w:sz w:val="19"/>
    </w:rPr>
  </w:style>
  <w:style w:type="paragraph" w:styleId="Rubrik6">
    <w:name w:val="heading 6"/>
    <w:basedOn w:val="Rubrik5"/>
    <w:next w:val="Normal"/>
    <w:qFormat/>
    <w:rsid w:val="00BB0D8E"/>
    <w:pPr>
      <w:numPr>
        <w:ilvl w:val="5"/>
      </w:numPr>
      <w:spacing w:before="50" w:line="200" w:lineRule="exact"/>
      <w:outlineLvl w:val="5"/>
    </w:pPr>
    <w:rPr>
      <w:caps/>
      <w:sz w:val="14"/>
    </w:rPr>
  </w:style>
  <w:style w:type="paragraph" w:styleId="Rubrik7">
    <w:name w:val="heading 7"/>
    <w:basedOn w:val="Rubrik6"/>
    <w:next w:val="Normal"/>
    <w:qFormat/>
    <w:rsid w:val="00BB0D8E"/>
    <w:pPr>
      <w:numPr>
        <w:ilvl w:val="6"/>
      </w:numPr>
      <w:spacing w:before="0"/>
      <w:outlineLvl w:val="6"/>
    </w:pPr>
  </w:style>
  <w:style w:type="paragraph" w:styleId="Rubrik8">
    <w:name w:val="heading 8"/>
    <w:basedOn w:val="Rubrik7"/>
    <w:next w:val="Normal"/>
    <w:qFormat/>
    <w:rsid w:val="00BB0D8E"/>
    <w:pPr>
      <w:numPr>
        <w:ilvl w:val="7"/>
      </w:numPr>
      <w:outlineLvl w:val="7"/>
    </w:pPr>
  </w:style>
  <w:style w:type="paragraph" w:styleId="Rubrik9">
    <w:name w:val="heading 9"/>
    <w:basedOn w:val="Rubrik8"/>
    <w:next w:val="Normal"/>
    <w:qFormat/>
    <w:rsid w:val="00BB0D8E"/>
    <w:pPr>
      <w:numPr>
        <w:ilvl w:val="8"/>
      </w:numPr>
      <w:outlineLvl w:val="8"/>
    </w:pPr>
  </w:style>
  <w:style w:type="character" w:default="1" w:styleId="Standardstycketeckensnitt">
    <w:name w:val="Default Paragraph Font"/>
    <w:rsid w:val="001400C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400CE"/>
  </w:style>
  <w:style w:type="paragraph" w:styleId="Normaltindrag">
    <w:name w:val="Normal Indent"/>
    <w:aliases w:val="Normal_indrag,Normal Indrag"/>
    <w:basedOn w:val="Normal"/>
    <w:link w:val="NormaltindragChar"/>
    <w:rsid w:val="001400CE"/>
    <w:pPr>
      <w:spacing w:before="0"/>
      <w:ind w:firstLine="227"/>
    </w:pPr>
  </w:style>
  <w:style w:type="paragraph" w:styleId="Citat">
    <w:name w:val="Quote"/>
    <w:basedOn w:val="Normal"/>
    <w:next w:val="Normal"/>
    <w:qFormat/>
    <w:rsid w:val="001400CE"/>
    <w:pPr>
      <w:spacing w:line="200" w:lineRule="exact"/>
      <w:ind w:left="340"/>
    </w:pPr>
  </w:style>
  <w:style w:type="paragraph" w:customStyle="1" w:styleId="Citatindrag">
    <w:name w:val="Citat_indrag"/>
    <w:aliases w:val="Packad"/>
    <w:basedOn w:val="Citat"/>
    <w:rsid w:val="001400CE"/>
    <w:pPr>
      <w:spacing w:before="0"/>
      <w:ind w:firstLine="227"/>
    </w:pPr>
  </w:style>
  <w:style w:type="paragraph" w:customStyle="1" w:styleId="FSHNormal">
    <w:name w:val="FSH_Normal"/>
    <w:semiHidden/>
    <w:rsid w:val="001400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400CE"/>
    <w:pPr>
      <w:spacing w:line="240" w:lineRule="auto"/>
    </w:pPr>
  </w:style>
  <w:style w:type="paragraph" w:customStyle="1" w:styleId="FSHNormalS5">
    <w:name w:val="FSH_NormalS5"/>
    <w:basedOn w:val="FSHNormal"/>
    <w:next w:val="FSHNormal"/>
    <w:semiHidden/>
    <w:rsid w:val="001400CE"/>
    <w:pPr>
      <w:keepNext/>
      <w:keepLines/>
      <w:widowControl/>
      <w:spacing w:before="230" w:after="520" w:line="250" w:lineRule="exact"/>
    </w:pPr>
    <w:rPr>
      <w:b/>
      <w:sz w:val="27"/>
    </w:rPr>
  </w:style>
  <w:style w:type="paragraph" w:customStyle="1" w:styleId="FSHNormL">
    <w:name w:val="FSH_NormLÖ"/>
    <w:basedOn w:val="FSHNormal"/>
    <w:next w:val="FSHNormal"/>
    <w:semiHidden/>
    <w:rsid w:val="001400CE"/>
    <w:pPr>
      <w:pBdr>
        <w:top w:val="single" w:sz="12" w:space="1" w:color="auto"/>
      </w:pBdr>
    </w:pPr>
  </w:style>
  <w:style w:type="paragraph" w:customStyle="1" w:styleId="FSHRub1">
    <w:name w:val="FSH_Rub1"/>
    <w:aliases w:val="Rubrik1_S5,Huvudrubrik"/>
    <w:basedOn w:val="FSHNormal"/>
    <w:next w:val="FSHNormal"/>
    <w:semiHidden/>
    <w:rsid w:val="001400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400CE"/>
    <w:pPr>
      <w:spacing w:before="240" w:after="80" w:line="360" w:lineRule="exact"/>
    </w:pPr>
    <w:rPr>
      <w:sz w:val="36"/>
    </w:rPr>
  </w:style>
  <w:style w:type="paragraph" w:customStyle="1" w:styleId="FSHTitel">
    <w:name w:val="FSH_Titel"/>
    <w:aliases w:val="Dokumentrubrik"/>
    <w:basedOn w:val="FSHRub1"/>
    <w:next w:val="FSHNormal"/>
    <w:semiHidden/>
    <w:rsid w:val="001400CE"/>
    <w:pPr>
      <w:pBdr>
        <w:bottom w:val="single" w:sz="4" w:space="3" w:color="auto"/>
      </w:pBdr>
      <w:spacing w:before="0" w:after="80" w:line="400" w:lineRule="exact"/>
    </w:pPr>
    <w:rPr>
      <w:sz w:val="40"/>
    </w:rPr>
  </w:style>
  <w:style w:type="paragraph" w:customStyle="1" w:styleId="Hemstlrubrik">
    <w:name w:val="Hemstl_rubrik"/>
    <w:basedOn w:val="Rubrik1"/>
    <w:next w:val="Normal"/>
    <w:rsid w:val="001400CE"/>
    <w:pPr>
      <w:spacing w:after="250"/>
    </w:pPr>
  </w:style>
  <w:style w:type="paragraph" w:customStyle="1" w:styleId="Normalfrsta">
    <w:name w:val="Normal första"/>
    <w:basedOn w:val="Normal"/>
    <w:next w:val="Normal"/>
    <w:rsid w:val="001400CE"/>
    <w:pPr>
      <w:spacing w:before="120" w:line="240" w:lineRule="auto"/>
    </w:pPr>
    <w:rPr>
      <w:rFonts w:ascii="Stempel Garamond Roman" w:hAnsi="Stempel Garamond Roman"/>
    </w:rPr>
  </w:style>
  <w:style w:type="character" w:customStyle="1" w:styleId="NormaltindragChar">
    <w:name w:val="Normalt indrag Char"/>
    <w:aliases w:val="Normal_indrag Char,Normal Indrag Char"/>
    <w:basedOn w:val="Standardstycketeckensnitt"/>
    <w:link w:val="Normaltindrag"/>
    <w:rsid w:val="001400CE"/>
    <w:rPr>
      <w:sz w:val="19"/>
      <w:lang w:val="sv-SE" w:eastAsia="sv-SE" w:bidi="ar-SA"/>
    </w:rPr>
  </w:style>
  <w:style w:type="paragraph" w:customStyle="1" w:styleId="KantRubrikS5H">
    <w:name w:val="KantRubrikS5H"/>
    <w:semiHidden/>
    <w:rsid w:val="001400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400CE"/>
    <w:pPr>
      <w:spacing w:line="200" w:lineRule="exact"/>
    </w:pPr>
  </w:style>
  <w:style w:type="paragraph" w:customStyle="1" w:styleId="KantRubrikS5V">
    <w:name w:val="KantRubrikS5V"/>
    <w:basedOn w:val="KantRubrikS5H"/>
    <w:semiHidden/>
    <w:rsid w:val="001400CE"/>
    <w:pPr>
      <w:tabs>
        <w:tab w:val="right" w:pos="1814"/>
        <w:tab w:val="left" w:pos="1899"/>
      </w:tabs>
      <w:ind w:right="0"/>
      <w:jc w:val="left"/>
    </w:pPr>
  </w:style>
  <w:style w:type="paragraph" w:customStyle="1" w:styleId="KantRubrikS5Vrad2">
    <w:name w:val="KantRubrikS5Vrad2"/>
    <w:basedOn w:val="KantRubrikS5V"/>
    <w:semiHidden/>
    <w:rsid w:val="001400CE"/>
    <w:pPr>
      <w:tabs>
        <w:tab w:val="clear" w:pos="1814"/>
        <w:tab w:val="clear" w:pos="1899"/>
        <w:tab w:val="right" w:pos="1418"/>
        <w:tab w:val="left" w:pos="1503"/>
      </w:tabs>
    </w:pPr>
  </w:style>
  <w:style w:type="paragraph" w:customStyle="1" w:styleId="Lagtext">
    <w:name w:val="Lagtext"/>
    <w:basedOn w:val="Lagtextrubrik"/>
    <w:next w:val="Lagtextindrag"/>
    <w:rsid w:val="001400CE"/>
    <w:pPr>
      <w:spacing w:before="0"/>
    </w:pPr>
    <w:rPr>
      <w:sz w:val="19"/>
    </w:rPr>
  </w:style>
  <w:style w:type="paragraph" w:customStyle="1" w:styleId="Lagtextrubrik">
    <w:name w:val="Lagtext_rubrik"/>
    <w:basedOn w:val="Normal"/>
    <w:next w:val="Normal"/>
    <w:rsid w:val="001400CE"/>
    <w:pPr>
      <w:suppressAutoHyphens/>
      <w:spacing w:line="220" w:lineRule="exact"/>
    </w:pPr>
    <w:rPr>
      <w:i/>
      <w:sz w:val="21"/>
    </w:rPr>
  </w:style>
  <w:style w:type="paragraph" w:customStyle="1" w:styleId="Lagtextindrag">
    <w:name w:val="Lagtext_indrag"/>
    <w:basedOn w:val="Lagtext"/>
    <w:rsid w:val="001400CE"/>
    <w:pPr>
      <w:ind w:firstLine="170"/>
    </w:pPr>
  </w:style>
  <w:style w:type="paragraph" w:customStyle="1" w:styleId="NormalA4fot">
    <w:name w:val="Normal_A4fot"/>
    <w:basedOn w:val="Normal"/>
    <w:semiHidden/>
    <w:rsid w:val="001400CE"/>
    <w:pPr>
      <w:spacing w:before="240" w:line="240" w:lineRule="auto"/>
      <w:jc w:val="center"/>
    </w:pPr>
  </w:style>
  <w:style w:type="paragraph" w:customStyle="1" w:styleId="NormalA4sidnr">
    <w:name w:val="Normal_A4sidnr"/>
    <w:basedOn w:val="Normal"/>
    <w:semiHidden/>
    <w:rsid w:val="001400CE"/>
    <w:pPr>
      <w:spacing w:after="240"/>
      <w:jc w:val="center"/>
    </w:pPr>
  </w:style>
  <w:style w:type="paragraph" w:customStyle="1" w:styleId="NormalS5sidnrH">
    <w:name w:val="Normal_S5sidnrH"/>
    <w:basedOn w:val="Normal"/>
    <w:semiHidden/>
    <w:rsid w:val="001400CE"/>
    <w:pPr>
      <w:spacing w:before="0" w:line="240" w:lineRule="auto"/>
      <w:ind w:right="57"/>
      <w:jc w:val="right"/>
    </w:pPr>
  </w:style>
  <w:style w:type="paragraph" w:customStyle="1" w:styleId="NormalS5sidnrV">
    <w:name w:val="Normal_S5sidnrV"/>
    <w:basedOn w:val="NormalS5sidnrH"/>
    <w:semiHidden/>
    <w:rsid w:val="001400CE"/>
    <w:pPr>
      <w:tabs>
        <w:tab w:val="right" w:pos="1814"/>
        <w:tab w:val="left" w:pos="1899"/>
      </w:tabs>
      <w:ind w:right="0"/>
      <w:jc w:val="left"/>
    </w:pPr>
  </w:style>
  <w:style w:type="paragraph" w:customStyle="1" w:styleId="Normal00">
    <w:name w:val="Normal00"/>
    <w:basedOn w:val="Normal"/>
    <w:semiHidden/>
    <w:rsid w:val="001400CE"/>
    <w:pPr>
      <w:spacing w:before="0" w:line="240" w:lineRule="auto"/>
      <w:jc w:val="left"/>
    </w:pPr>
  </w:style>
  <w:style w:type="paragraph" w:customStyle="1" w:styleId="PunktlistaBomb">
    <w:name w:val="Punktlista_Bomb"/>
    <w:aliases w:val="Bomb"/>
    <w:basedOn w:val="Normal"/>
    <w:rsid w:val="001400CE"/>
    <w:pPr>
      <w:numPr>
        <w:numId w:val="2"/>
      </w:numPr>
    </w:pPr>
  </w:style>
  <w:style w:type="paragraph" w:customStyle="1" w:styleId="PunktlistaNummer">
    <w:name w:val="Punktlista_Nummer"/>
    <w:aliases w:val="Nummerlista"/>
    <w:basedOn w:val="Normal"/>
    <w:rsid w:val="001400CE"/>
    <w:pPr>
      <w:numPr>
        <w:numId w:val="3"/>
      </w:numPr>
    </w:pPr>
  </w:style>
  <w:style w:type="paragraph" w:customStyle="1" w:styleId="PunktlistaTankstreck">
    <w:name w:val="Punktlista_Tankstreck"/>
    <w:aliases w:val="Tankstreck"/>
    <w:basedOn w:val="Normal"/>
    <w:rsid w:val="001400CE"/>
    <w:pPr>
      <w:numPr>
        <w:numId w:val="4"/>
      </w:numPr>
    </w:pPr>
  </w:style>
  <w:style w:type="paragraph" w:customStyle="1" w:styleId="RubrikSammanf">
    <w:name w:val="RubrikSammanf"/>
    <w:basedOn w:val="Rubrik1"/>
    <w:next w:val="Normal"/>
    <w:rsid w:val="001400CE"/>
  </w:style>
  <w:style w:type="paragraph" w:customStyle="1" w:styleId="RubrikInnehllsf">
    <w:name w:val="RubrikInnehållsf"/>
    <w:basedOn w:val="RubrikSammanf"/>
    <w:next w:val="Normal"/>
    <w:rsid w:val="001400CE"/>
  </w:style>
  <w:style w:type="paragraph" w:customStyle="1" w:styleId="Tabellochbildrubrik">
    <w:name w:val="Tabell och bildrubrik"/>
    <w:basedOn w:val="Normal"/>
    <w:next w:val="Normal"/>
    <w:rsid w:val="001400CE"/>
    <w:pPr>
      <w:suppressAutoHyphens/>
      <w:spacing w:before="300" w:line="200" w:lineRule="exact"/>
      <w:jc w:val="left"/>
    </w:pPr>
    <w:rPr>
      <w:caps/>
      <w:sz w:val="14"/>
    </w:rPr>
  </w:style>
  <w:style w:type="paragraph" w:customStyle="1" w:styleId="Underskrifter">
    <w:name w:val="Underskrifter"/>
    <w:basedOn w:val="Normal"/>
    <w:rsid w:val="001400CE"/>
    <w:pPr>
      <w:keepNext/>
      <w:keepLines/>
      <w:suppressAutoHyphens/>
      <w:spacing w:before="0" w:after="40" w:line="250" w:lineRule="exact"/>
    </w:pPr>
    <w:rPr>
      <w:i/>
    </w:rPr>
  </w:style>
  <w:style w:type="paragraph" w:customStyle="1" w:styleId="UnderskriftDatum">
    <w:name w:val="UnderskriftDatum"/>
    <w:basedOn w:val="Underskrifter"/>
    <w:next w:val="Underskrifter"/>
    <w:rsid w:val="001400CE"/>
    <w:pPr>
      <w:spacing w:before="250" w:after="125"/>
    </w:pPr>
    <w:rPr>
      <w:i w:val="0"/>
    </w:rPr>
  </w:style>
  <w:style w:type="paragraph" w:styleId="Sidhuvud">
    <w:name w:val="header"/>
    <w:basedOn w:val="Normal"/>
    <w:semiHidden/>
    <w:rsid w:val="001400CE"/>
    <w:pPr>
      <w:tabs>
        <w:tab w:val="center" w:pos="4536"/>
        <w:tab w:val="right" w:pos="9072"/>
      </w:tabs>
    </w:pPr>
  </w:style>
  <w:style w:type="paragraph" w:styleId="Sidfot">
    <w:name w:val="footer"/>
    <w:basedOn w:val="Normal"/>
    <w:semiHidden/>
    <w:rsid w:val="001400CE"/>
    <w:pPr>
      <w:tabs>
        <w:tab w:val="center" w:pos="4536"/>
        <w:tab w:val="right" w:pos="9072"/>
      </w:tabs>
    </w:pPr>
  </w:style>
  <w:style w:type="paragraph" w:styleId="Innehll1">
    <w:name w:val="toc 1"/>
    <w:basedOn w:val="Normal"/>
    <w:next w:val="Innehll2"/>
    <w:semiHidden/>
    <w:rsid w:val="001400CE"/>
    <w:pPr>
      <w:tabs>
        <w:tab w:val="right" w:leader="dot" w:pos="5953"/>
      </w:tabs>
      <w:suppressAutoHyphens/>
      <w:spacing w:before="0"/>
      <w:ind w:right="567"/>
      <w:jc w:val="left"/>
    </w:pPr>
  </w:style>
  <w:style w:type="paragraph" w:styleId="Innehll2">
    <w:name w:val="toc 2"/>
    <w:basedOn w:val="Innehll1"/>
    <w:next w:val="Innehll3"/>
    <w:semiHidden/>
    <w:rsid w:val="001400CE"/>
    <w:pPr>
      <w:ind w:left="284"/>
    </w:pPr>
  </w:style>
  <w:style w:type="paragraph" w:styleId="Innehll3">
    <w:name w:val="toc 3"/>
    <w:basedOn w:val="Innehll2"/>
    <w:next w:val="Innehll4"/>
    <w:semiHidden/>
    <w:rsid w:val="001400CE"/>
    <w:pPr>
      <w:ind w:left="567"/>
    </w:pPr>
  </w:style>
  <w:style w:type="paragraph" w:styleId="Innehll4">
    <w:name w:val="toc 4"/>
    <w:basedOn w:val="Innehll3"/>
    <w:next w:val="Normal"/>
    <w:semiHidden/>
    <w:rsid w:val="001400CE"/>
  </w:style>
  <w:style w:type="paragraph" w:customStyle="1" w:styleId="Hemstlatt">
    <w:name w:val="Hemstl_att"/>
    <w:aliases w:val="HemstPunkt,HemstPunktFlera,HemställansPunkt,Förslagstext"/>
    <w:basedOn w:val="Normal"/>
    <w:next w:val="Normal"/>
    <w:rsid w:val="001400CE"/>
    <w:pPr>
      <w:keepLines/>
      <w:spacing w:before="0"/>
      <w:ind w:left="340"/>
    </w:pPr>
  </w:style>
  <w:style w:type="paragraph" w:styleId="Datum">
    <w:name w:val="Date"/>
    <w:basedOn w:val="Normal"/>
    <w:next w:val="Normal"/>
    <w:semiHidden/>
    <w:rsid w:val="001400CE"/>
  </w:style>
  <w:style w:type="character" w:styleId="Hyperlnk">
    <w:name w:val="Hyperlink"/>
    <w:basedOn w:val="Standardstycketeckensnitt"/>
    <w:semiHidden/>
    <w:rsid w:val="001400CE"/>
    <w:rPr>
      <w:color w:val="0000FF"/>
      <w:u w:val="single"/>
    </w:rPr>
  </w:style>
  <w:style w:type="paragraph" w:styleId="Indragetstycke">
    <w:name w:val="Block Text"/>
    <w:basedOn w:val="Normal"/>
    <w:semiHidden/>
    <w:rsid w:val="001400CE"/>
    <w:pPr>
      <w:spacing w:after="120"/>
      <w:ind w:left="1440" w:right="1440"/>
    </w:pPr>
  </w:style>
  <w:style w:type="paragraph" w:styleId="Innehll5">
    <w:name w:val="toc 5"/>
    <w:basedOn w:val="Innehll4"/>
    <w:next w:val="Normal"/>
    <w:semiHidden/>
    <w:rsid w:val="001400CE"/>
  </w:style>
  <w:style w:type="paragraph" w:styleId="Lista">
    <w:name w:val="List"/>
    <w:basedOn w:val="Normal"/>
    <w:semiHidden/>
    <w:rsid w:val="001400CE"/>
    <w:pPr>
      <w:ind w:left="283" w:hanging="283"/>
    </w:pPr>
  </w:style>
  <w:style w:type="paragraph" w:styleId="Normalwebb">
    <w:name w:val="Normal (Web)"/>
    <w:basedOn w:val="Normal"/>
    <w:semiHidden/>
    <w:rsid w:val="001400CE"/>
    <w:rPr>
      <w:szCs w:val="24"/>
    </w:rPr>
  </w:style>
  <w:style w:type="paragraph" w:styleId="Numreradlista">
    <w:name w:val="List Number"/>
    <w:basedOn w:val="Normal"/>
    <w:semiHidden/>
    <w:rsid w:val="001400CE"/>
    <w:pPr>
      <w:numPr>
        <w:numId w:val="5"/>
      </w:numPr>
    </w:pPr>
  </w:style>
  <w:style w:type="paragraph" w:styleId="Punktlista">
    <w:name w:val="List Bullet"/>
    <w:basedOn w:val="Normal"/>
    <w:semiHidden/>
    <w:rsid w:val="001400CE"/>
    <w:pPr>
      <w:numPr>
        <w:numId w:val="10"/>
      </w:numPr>
    </w:pPr>
  </w:style>
  <w:style w:type="character" w:styleId="Radnummer">
    <w:name w:val="line number"/>
    <w:basedOn w:val="Standardstycketeckensnitt"/>
    <w:semiHidden/>
    <w:rsid w:val="001400CE"/>
  </w:style>
  <w:style w:type="character" w:styleId="Sidnummer">
    <w:name w:val="page number"/>
    <w:basedOn w:val="Standardstycketeckensnitt"/>
    <w:semiHidden/>
    <w:rsid w:val="001400CE"/>
  </w:style>
  <w:style w:type="paragraph" w:styleId="Signatur">
    <w:name w:val="Signature"/>
    <w:basedOn w:val="Normal"/>
    <w:semiHidden/>
    <w:rsid w:val="001400CE"/>
    <w:pPr>
      <w:ind w:left="4252"/>
    </w:pPr>
  </w:style>
  <w:style w:type="paragraph" w:styleId="Underrubrik">
    <w:name w:val="Subtitle"/>
    <w:basedOn w:val="Normal"/>
    <w:qFormat/>
    <w:rsid w:val="001400CE"/>
    <w:pPr>
      <w:spacing w:after="60"/>
      <w:jc w:val="center"/>
      <w:outlineLvl w:val="1"/>
    </w:pPr>
    <w:rPr>
      <w:rFonts w:ascii="Arial" w:hAnsi="Arial" w:cs="Arial"/>
      <w:szCs w:val="24"/>
    </w:rPr>
  </w:style>
  <w:style w:type="paragraph" w:styleId="Ballongtext">
    <w:name w:val="Balloon Text"/>
    <w:basedOn w:val="Normal"/>
    <w:semiHidden/>
    <w:rsid w:val="00647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3328</Words>
  <Characters>19772</Characters>
  <Application>Microsoft Office Word</Application>
  <DocSecurity>4</DocSecurity>
  <Lines>373</Lines>
  <Paragraphs>134</Paragraphs>
  <ScaleCrop>false</ScaleCrop>
  <HeadingPairs>
    <vt:vector size="2" baseType="variant">
      <vt:variant>
        <vt:lpstr>Rubrik</vt:lpstr>
      </vt:variant>
      <vt:variant>
        <vt:i4>1</vt:i4>
      </vt:variant>
    </vt:vector>
  </HeadingPairs>
  <TitlesOfParts>
    <vt:vector size="1" baseType="lpstr">
      <vt:lpstr>K17</vt:lpstr>
    </vt:vector>
  </TitlesOfParts>
  <Company>Riksdagen</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K17</dc:title>
  <dc:subject>K17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2006-04-04T05:37:00Z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2005/06:95 En nationell handlingsplan för de mänskliga rättigheterna 2006–2009</vt:lpwstr>
  </property>
  <property fmtid="{D5CDD505-2E9C-101B-9397-08002B2CF9AE}" pid="11" name="SvarFrasKort">
    <vt:lpwstr>med anledning av skr. 2005/06:95</vt:lpwstr>
  </property>
  <property fmtid="{D5CDD505-2E9C-101B-9397-08002B2CF9AE}" pid="12" name="Svar">
    <vt:lpwstr>skrivelse</vt:lpwstr>
  </property>
  <property fmtid="{D5CDD505-2E9C-101B-9397-08002B2CF9AE}" pid="13" name="SvarNr">
    <vt:lpwstr>2005/06:95</vt:lpwstr>
  </property>
  <property fmtid="{D5CDD505-2E9C-101B-9397-08002B2CF9AE}" pid="14" name="RubrikSvar">
    <vt:lpwstr>En nationell handlingsplan för de mänskliga rättigheterna 2006–2009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Lennmarker m.fl. (m)</vt:lpwstr>
  </property>
  <property fmtid="{D5CDD505-2E9C-101B-9397-08002B2CF9AE}" pid="26" name="MotionarLista">
    <vt:lpwstr>Lennmarker, Göran (m)\Järrel, Henrik S (m)\Aurelius, Nils Fredrik (m)\Skårman, Carl-Erik (m)\Magnusson, Cecilia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Lennmarker (m), Henrik S Järrel (m), Nils Fredrik Aurelius (m), Carl-Erik Skårman (m), Cecilia Magnusson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20052006000000000109000002170075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20052006000000000109000002170075</vt:lpwstr>
  </property>
  <property fmtid="{D5CDD505-2E9C-101B-9397-08002B2CF9AE}" pid="50" name="nummer">
    <vt:lpwstr>17</vt:lpwstr>
  </property>
  <property fmtid="{D5CDD505-2E9C-101B-9397-08002B2CF9AE}" pid="51" name="utskottsbeteckning">
    <vt:lpwstr>K</vt:lpwstr>
  </property>
  <property fmtid="{D5CDD505-2E9C-101B-9397-08002B2CF9AE}" pid="52" name="GlobalUID">
    <vt:lpwstr>{2C8D6632-839C-48A6-82B7-889469D2E93B}</vt:lpwstr>
  </property>
  <property fmtid="{D5CDD505-2E9C-101B-9397-08002B2CF9AE}" pid="53" name="Överföringar">
    <vt:i4>0</vt:i4>
  </property>
</Properties>
</file>