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A3968">
        <w:tblPrEx>
          <w:tblCellMar>
            <w:top w:w="0" w:type="dxa"/>
            <w:left w:w="0" w:type="dxa"/>
            <w:bottom w:w="0" w:type="dxa"/>
            <w:right w:w="0" w:type="dxa"/>
          </w:tblCellMar>
        </w:tblPrEx>
        <w:trPr>
          <w:gridAfter w:val="2"/>
          <w:wAfter w:w="1758" w:type="dxa"/>
          <w:cantSplit/>
          <w:trHeight w:val="1320"/>
        </w:trPr>
        <w:tc>
          <w:tcPr>
            <w:tcW w:w="5897" w:type="dxa"/>
          </w:tcPr>
          <w:p w:rsidR="003A3968" w:rsidRPr="003A3968" w:rsidRDefault="003A3968">
            <w:pPr>
              <w:pStyle w:val="HuvudRubrik"/>
            </w:pPr>
            <w:r w:rsidRPr="003A3968">
              <w:t>Regeringskansliet</w:t>
            </w:r>
          </w:p>
          <w:p w:rsidR="003A3968" w:rsidRPr="003A3968" w:rsidRDefault="003A3968">
            <w:pPr>
              <w:pStyle w:val="HuvudRubrik"/>
            </w:pPr>
            <w:r w:rsidRPr="003A3968">
              <w:t>Faktapromemoria  2009/10:FPM75</w:t>
            </w:r>
          </w:p>
        </w:tc>
      </w:tr>
      <w:tr w:rsidR="00000000" w:rsidRPr="003A3968">
        <w:tblPrEx>
          <w:tblCellMar>
            <w:top w:w="0" w:type="dxa"/>
            <w:left w:w="0" w:type="dxa"/>
            <w:bottom w:w="0" w:type="dxa"/>
            <w:right w:w="0" w:type="dxa"/>
          </w:tblCellMar>
        </w:tblPrEx>
        <w:trPr>
          <w:gridAfter w:val="2"/>
          <w:wAfter w:w="1758" w:type="dxa"/>
          <w:cantSplit/>
          <w:trHeight w:val="240"/>
        </w:trPr>
        <w:tc>
          <w:tcPr>
            <w:tcW w:w="5897" w:type="dxa"/>
          </w:tcPr>
          <w:p w:rsidR="003A3968" w:rsidRPr="003A3968" w:rsidRDefault="003A3968">
            <w:pPr>
              <w:pStyle w:val="HuvudRubrik"/>
              <w:rPr>
                <w:sz w:val="28"/>
              </w:rPr>
            </w:pPr>
            <w:r w:rsidRPr="003A3968">
              <w:t>Kommissionens arbetsprogram</w:t>
            </w:r>
          </w:p>
        </w:tc>
      </w:tr>
      <w:tr w:rsidR="00000000" w:rsidRPr="003A3968">
        <w:tblPrEx>
          <w:tblCellMar>
            <w:top w:w="0" w:type="dxa"/>
            <w:left w:w="0" w:type="dxa"/>
            <w:bottom w:w="0" w:type="dxa"/>
            <w:right w:w="0" w:type="dxa"/>
          </w:tblCellMar>
        </w:tblPrEx>
        <w:trPr>
          <w:cantSplit/>
          <w:trHeight w:val="285"/>
        </w:trPr>
        <w:tc>
          <w:tcPr>
            <w:tcW w:w="7655" w:type="dxa"/>
            <w:gridSpan w:val="3"/>
          </w:tcPr>
          <w:p w:rsidR="003A3968" w:rsidRPr="003A3968" w:rsidRDefault="003A3968">
            <w:pPr>
              <w:pStyle w:val="Departement"/>
              <w:rPr>
                <w:sz w:val="28"/>
              </w:rPr>
            </w:pPr>
            <w:r w:rsidRPr="003A3968">
              <w:t>Statsrådsberedningen</w:t>
            </w:r>
          </w:p>
        </w:tc>
      </w:tr>
      <w:tr w:rsidR="00000000" w:rsidRPr="003A3968">
        <w:tblPrEx>
          <w:tblCellMar>
            <w:top w:w="0" w:type="dxa"/>
            <w:left w:w="0" w:type="dxa"/>
            <w:bottom w:w="0" w:type="dxa"/>
            <w:right w:w="0" w:type="dxa"/>
          </w:tblCellMar>
        </w:tblPrEx>
        <w:trPr>
          <w:cantSplit/>
          <w:trHeight w:val="240"/>
        </w:trPr>
        <w:tc>
          <w:tcPr>
            <w:tcW w:w="7655" w:type="dxa"/>
            <w:gridSpan w:val="3"/>
          </w:tcPr>
          <w:p w:rsidR="003A3968" w:rsidRPr="003A3968" w:rsidRDefault="003A3968">
            <w:pPr>
              <w:pStyle w:val="Dokumentdatum"/>
            </w:pPr>
            <w:r w:rsidRPr="003A3968">
              <w:t>2010-05-05</w:t>
            </w:r>
          </w:p>
        </w:tc>
      </w:tr>
      <w:tr w:rsidR="00000000" w:rsidRPr="003A3968">
        <w:tblPrEx>
          <w:tblCellMar>
            <w:top w:w="0" w:type="dxa"/>
            <w:left w:w="0" w:type="dxa"/>
            <w:bottom w:w="0" w:type="dxa"/>
            <w:right w:w="0" w:type="dxa"/>
          </w:tblCellMar>
        </w:tblPrEx>
        <w:trPr>
          <w:cantSplit/>
          <w:trHeight w:val="726"/>
        </w:trPr>
        <w:tc>
          <w:tcPr>
            <w:tcW w:w="7655" w:type="dxa"/>
            <w:gridSpan w:val="3"/>
            <w:vAlign w:val="bottom"/>
          </w:tcPr>
          <w:p w:rsidR="003A3968" w:rsidRPr="003A3968" w:rsidRDefault="003A3968">
            <w:pPr>
              <w:pStyle w:val="Dokumentbeteckning"/>
            </w:pPr>
            <w:r w:rsidRPr="003A3968">
              <w:t>Dokumentbeteckning</w:t>
            </w:r>
          </w:p>
        </w:tc>
      </w:tr>
      <w:tr w:rsidR="00000000" w:rsidRPr="003A3968">
        <w:tblPrEx>
          <w:tblCellMar>
            <w:top w:w="0" w:type="dxa"/>
            <w:left w:w="0" w:type="dxa"/>
            <w:bottom w:w="0" w:type="dxa"/>
            <w:right w:w="0" w:type="dxa"/>
          </w:tblCellMar>
        </w:tblPrEx>
        <w:trPr>
          <w:gridAfter w:val="1"/>
          <w:wAfter w:w="1560" w:type="dxa"/>
          <w:trHeight w:val="120"/>
        </w:trPr>
        <w:tc>
          <w:tcPr>
            <w:tcW w:w="6095" w:type="dxa"/>
            <w:gridSpan w:val="2"/>
          </w:tcPr>
          <w:p w:rsidR="003A3968" w:rsidRPr="003A3968" w:rsidRDefault="003A3968">
            <w:bookmarkStart w:id="0" w:name="KomNr"/>
            <w:bookmarkEnd w:id="0"/>
            <w:r w:rsidRPr="003A3968">
              <w:t>KOM (2010) 135</w:t>
            </w:r>
          </w:p>
        </w:tc>
      </w:tr>
      <w:tr w:rsidR="00000000" w:rsidRPr="003A3968">
        <w:tblPrEx>
          <w:tblCellMar>
            <w:top w:w="0" w:type="dxa"/>
            <w:left w:w="0" w:type="dxa"/>
            <w:bottom w:w="0" w:type="dxa"/>
            <w:right w:w="0" w:type="dxa"/>
          </w:tblCellMar>
        </w:tblPrEx>
        <w:trPr>
          <w:gridAfter w:val="1"/>
          <w:wAfter w:w="1560" w:type="dxa"/>
          <w:trHeight w:val="120"/>
        </w:trPr>
        <w:tc>
          <w:tcPr>
            <w:tcW w:w="6095" w:type="dxa"/>
            <w:gridSpan w:val="2"/>
          </w:tcPr>
          <w:p w:rsidR="003A3968" w:rsidRPr="003A3968" w:rsidRDefault="003A3968">
            <w:pPr>
              <w:pStyle w:val="Dokumentbeteckning-titel"/>
            </w:pPr>
            <w:r w:rsidRPr="003A3968">
              <w:t>Meddelande från kommissionen till Europaparlamentet, rådet, Europeiska ekonomiska och sociala kommittén samt Regionkommittén Kommissionens arbetsprogram för 2010 Tid för handling</w:t>
            </w:r>
          </w:p>
        </w:tc>
      </w:tr>
    </w:tbl>
    <w:p w:rsidR="003A3968" w:rsidRPr="003A3968" w:rsidRDefault="003A3968"/>
    <w:p w:rsidR="003A3968" w:rsidRPr="003A3968" w:rsidRDefault="003A3968">
      <w:pPr>
        <w:pStyle w:val="Rubrik1"/>
        <w:numPr>
          <w:ilvl w:val="0"/>
          <w:numId w:val="0"/>
        </w:numPr>
      </w:pPr>
      <w:r w:rsidRPr="003A3968">
        <w:t>Sammanfattning</w:t>
      </w:r>
    </w:p>
    <w:p w:rsidR="003A3968" w:rsidRPr="003A3968" w:rsidRDefault="003A3968">
      <w:r w:rsidRPr="003A3968">
        <w:t>I den nytillträdda kommissionens första arbetsprogram anges prioriteringarna för kommissionens arbete för det nästkommande året men även översiktligt för den kommande femårsperioden. Programmet består av 34 ”strategiska initiativ” som ska antas under 2010 och en lista över initiativ kommissionen kan komma att anta under de kommande fyra åren. Initiativen kan sorteras in under fyra rubriker: hantering av den ekonomiska krisen, medborgaren i centrum, EU:s yttre åtgärder samt moderniseringen av EU:s arbetssät</w:t>
      </w:r>
      <w:r w:rsidRPr="003A3968">
        <w:t xml:space="preserve">t. </w:t>
      </w:r>
    </w:p>
    <w:p w:rsidR="003A3968" w:rsidRPr="003A3968" w:rsidRDefault="003A3968">
      <w:r w:rsidRPr="003A3968">
        <w:t xml:space="preserve">EU 2020-strategin är en fråga som intar en central plats i arbetsprogrammet och återfinns under både hantering av den ekonomiska krisen och EU:s yttre åtgärder. Andra frågor som behandlas i meddelandet är Stockholmsprogrammet, grönbok om pensioner, arbetstidsdirektivet, handelsstrategier och budgetöversynen.  </w:t>
      </w:r>
    </w:p>
    <w:p w:rsidR="003A3968" w:rsidRPr="003A3968" w:rsidRDefault="003A3968">
      <w:r w:rsidRPr="003A3968">
        <w:t>Regeringen ser i stort positivt på de prioriteringar kommissionen presenterar i sitt arbetsprogram.</w:t>
      </w:r>
    </w:p>
    <w:p w:rsidR="003A3968" w:rsidRPr="003A3968" w:rsidRDefault="003A3968">
      <w:pPr>
        <w:pStyle w:val="Rubrik1"/>
      </w:pPr>
      <w:r w:rsidRPr="003A3968">
        <w:t>Förslaget</w:t>
      </w:r>
    </w:p>
    <w:p w:rsidR="003A3968" w:rsidRPr="003A3968" w:rsidRDefault="003A3968">
      <w:pPr>
        <w:pStyle w:val="Rubrik2"/>
      </w:pPr>
      <w:r w:rsidRPr="003A3968">
        <w:t>Ärendets bakgrund</w:t>
      </w:r>
    </w:p>
    <w:p w:rsidR="003A3968" w:rsidRPr="003A3968" w:rsidRDefault="003A3968"/>
    <w:p w:rsidR="003A3968" w:rsidRPr="003A3968" w:rsidRDefault="003A3968">
      <w:r w:rsidRPr="003A3968">
        <w:t xml:space="preserve">Kommissionens årliga arbetsprogram anger politiska prioriteringar och hur resurser ska fördelas under år 2010 vilket ger ramarna för att förbereda </w:t>
      </w:r>
      <w:r w:rsidRPr="003A3968">
        <w:lastRenderedPageBreak/>
        <w:t xml:space="preserve">kommissionens förslag till budget. Arbetsprogrammet ger även, i stora drag , en beskrivning av kommissionens prioriteringar de kommande fyra åren.  (2011-2014).  Tidigare presenterade kommissionen två arbetsprogram – dels ett femårigt och dels det årliga arbetsprogrammet. I år är det således första gången som kommissionen presenterar ett gemensamt dokument för både det kommande året och för den efterföljande fyraårsperioden. </w:t>
      </w:r>
    </w:p>
    <w:p w:rsidR="003A3968" w:rsidRPr="003A3968" w:rsidRDefault="003A3968"/>
    <w:p w:rsidR="003A3968" w:rsidRPr="003A3968" w:rsidRDefault="003A3968"/>
    <w:p w:rsidR="003A3968" w:rsidRPr="003A3968" w:rsidRDefault="003A3968">
      <w:r w:rsidRPr="003A3968">
        <w:t>Förslagets innehåll</w:t>
      </w:r>
    </w:p>
    <w:p w:rsidR="003A3968" w:rsidRPr="003A3968" w:rsidRDefault="003A3968">
      <w:pPr>
        <w:rPr>
          <w:i/>
        </w:rPr>
      </w:pPr>
      <w:r w:rsidRPr="003A3968">
        <w:t xml:space="preserve">De 34 strategiska initiativ vilka kommissionen presenterar i sitt arbetsprogram kan sorteras in under fyra ämnesområden: </w:t>
      </w:r>
      <w:r w:rsidRPr="003A3968">
        <w:rPr>
          <w:i/>
        </w:rPr>
        <w:t xml:space="preserve">hantering av den ekonomiska krisen, medborgaren i centrum, EU:s yttre åtgärder </w:t>
      </w:r>
      <w:r w:rsidRPr="003A3968">
        <w:t xml:space="preserve">samt </w:t>
      </w:r>
      <w:r w:rsidRPr="003A3968">
        <w:rPr>
          <w:i/>
        </w:rPr>
        <w:t xml:space="preserve">moderniseringen av EU:s arbetssätt. </w:t>
      </w:r>
    </w:p>
    <w:p w:rsidR="003A3968" w:rsidRPr="003A3968" w:rsidRDefault="003A3968"/>
    <w:p w:rsidR="003A3968" w:rsidRPr="003A3968" w:rsidRDefault="003A3968">
      <w:r w:rsidRPr="003A3968">
        <w:t>Hantering av den ekonomiska krisen</w:t>
      </w:r>
    </w:p>
    <w:p w:rsidR="003A3968" w:rsidRPr="003A3968" w:rsidRDefault="003A3968">
      <w:r w:rsidRPr="003A3968">
        <w:t>Kommissionen presenterar i sitt arbetsprogram en rad initiativ för att hantera den ekonomiska och finansiella krisen och skapa en dynamisk tillväxt. Med anledning av detta presenteras de initiativ vilka följer på EU2020-strategin. I arbetsprogrammet presenteras de strategiska initiativ som ska syfta till att genomföra de sju så kallade flaggskeppsinitiativen. Flaggskeppsinitiativen presenterades i kommissionens meddelande om EU2020-strategin (faktapromemoria 2009/10:56). Bland de strategiska initiativen fi</w:t>
      </w:r>
      <w:r w:rsidRPr="003A3968">
        <w:t xml:space="preserve">nns exempelvis meddelandet om den digitala agendan, det kommande meddelandet om industrin samt initiativ rörande framtiden för den gemensamma jordbrukspolitiken, initiativ om ett resurseffektivare Europa och översynen av sammanhållningspolitiken. Kommissionen presenterar även initiativ för att stärka övervakningen av och samordningen inom euroområdet samt av de finansiella marknaderna för att hantera följderna av den ekonomiska och finansiella krisen. </w:t>
      </w:r>
    </w:p>
    <w:p w:rsidR="003A3968" w:rsidRPr="003A3968" w:rsidRDefault="003A3968">
      <w:r w:rsidRPr="003A3968">
        <w:t xml:space="preserve"> </w:t>
      </w:r>
    </w:p>
    <w:p w:rsidR="003A3968" w:rsidRPr="003A3968" w:rsidRDefault="003A3968">
      <w:r w:rsidRPr="003A3968">
        <w:t>Medborgaren i centrum</w:t>
      </w:r>
    </w:p>
    <w:p w:rsidR="003A3968" w:rsidRPr="003A3968" w:rsidRDefault="003A3968">
      <w:r w:rsidRPr="003A3968">
        <w:t>Kommissionen framhåller i sitt arbetsprogram att medborgarnas intressen är det som ger EU dess existensberättigande och att medborgarperspektivet kommer att vara ännu tydligare i EU-politiken i framtiden i och med Lissabonfördraget. För att lyfta fram medborgarperspektivet presenterar kommissionen initiativ vilka berör det rättsliga och inrikespolitiska området. Främst lyfts Stockholmsprogrammet (faktapromemoria 2008/09:137) fram. Kommissionen lanserar också på detta område bland annat initiativ för en öve</w:t>
      </w:r>
      <w:r w:rsidRPr="003A3968">
        <w:t xml:space="preserve">rsyn av arbetstidsdirektivet och implementeringen av utstationeringsdirektivet samt en kommande grönbok om pensioner. </w:t>
      </w:r>
    </w:p>
    <w:p w:rsidR="003A3968" w:rsidRPr="003A3968" w:rsidRDefault="003A3968"/>
    <w:p w:rsidR="003A3968" w:rsidRPr="003A3968" w:rsidRDefault="003A3968">
      <w:pPr>
        <w:spacing w:line="240" w:lineRule="auto"/>
        <w:rPr>
          <w:i/>
        </w:rPr>
      </w:pPr>
      <w:r w:rsidRPr="003A3968">
        <w:t>EU:s yttre åtgärder</w:t>
      </w:r>
      <w:r w:rsidRPr="003A3968">
        <w:rPr>
          <w:i/>
        </w:rPr>
        <w:t xml:space="preserve"> </w:t>
      </w:r>
    </w:p>
    <w:p w:rsidR="003A3968" w:rsidRPr="003A3968" w:rsidRDefault="003A3968">
      <w:pPr>
        <w:spacing w:line="240" w:lineRule="auto"/>
      </w:pPr>
      <w:r w:rsidRPr="003A3968">
        <w:t>Kommissionen tar i sitt arbetsprogram upp att en hög grad av ambition, koordination och disciplin krävs för att EU ska kunna tala med en röst på den internationella arenan vilket kommissionen menar  är nödvändigt för att EU fullt ut ska kunna vara en viktigt politisk och ekonomisk spelare. Kommissionen presenterar en rad initiativ på handelssidan och på utvecklingssidan inom ramen för EU:s yttre förbindelser och även under denna rubrik återfinns initiativ som följer på EU2020-strategin.</w:t>
      </w:r>
    </w:p>
    <w:p w:rsidR="003A3968" w:rsidRPr="003A3968" w:rsidRDefault="003A3968"/>
    <w:p w:rsidR="003A3968" w:rsidRPr="003A3968" w:rsidRDefault="003A3968">
      <w:r w:rsidRPr="003A3968">
        <w:t>Moderniseringen av EU:s arbetssätt</w:t>
      </w:r>
    </w:p>
    <w:p w:rsidR="003A3968" w:rsidRPr="003A3968" w:rsidRDefault="003A3968">
      <w:r w:rsidRPr="003A3968">
        <w:t xml:space="preserve">Trots att kommissionens arbetsprogram i stort syftar till att presentera nya initiativ väljer kommissionen även att presentera initiativ för att effektivisera och förbättra EU:s arbetssätt genom befintliga verktyg. Bland annat återfinns den kommande budgetöversynen under denna rubrik samt kommissionens kommunikationsstrategier. Kommissionen presenterar även initiativ till konsekvensanalys och regelförenklingar. </w:t>
      </w:r>
    </w:p>
    <w:p w:rsidR="003A3968" w:rsidRPr="003A3968" w:rsidRDefault="003A3968"/>
    <w:p w:rsidR="003A3968" w:rsidRPr="003A3968" w:rsidRDefault="003A3968">
      <w:pPr>
        <w:pStyle w:val="Rubrik2"/>
      </w:pPr>
      <w:r w:rsidRPr="003A3968">
        <w:t>Gällande svenska regler och förslagets effekt på dessa</w:t>
      </w:r>
    </w:p>
    <w:p w:rsidR="003A3968" w:rsidRPr="003A3968" w:rsidRDefault="003A3968">
      <w:r w:rsidRPr="003A3968">
        <w:t>Kommissionens arbetsprogram innehåller inte några förslag till lagtexter</w:t>
      </w:r>
    </w:p>
    <w:p w:rsidR="003A3968" w:rsidRPr="003A3968" w:rsidRDefault="003A3968">
      <w:pPr>
        <w:pStyle w:val="Rubrik2"/>
      </w:pPr>
      <w:r w:rsidRPr="003A3968">
        <w:t>Budgetära konsekvenser / Konsekvensanalys</w:t>
      </w:r>
    </w:p>
    <w:p w:rsidR="003A3968" w:rsidRPr="003A3968" w:rsidRDefault="003A3968">
      <w:r w:rsidRPr="003A3968">
        <w:t xml:space="preserve">Ej tillämpligt. </w:t>
      </w:r>
    </w:p>
    <w:p w:rsidR="003A3968" w:rsidRPr="003A3968" w:rsidRDefault="003A3968">
      <w:pPr>
        <w:pStyle w:val="Rubrik1"/>
      </w:pPr>
      <w:r w:rsidRPr="003A3968">
        <w:t>Ståndpunkter</w:t>
      </w:r>
    </w:p>
    <w:p w:rsidR="003A3968" w:rsidRPr="003A3968" w:rsidRDefault="003A3968">
      <w:pPr>
        <w:pStyle w:val="Rubrik2"/>
      </w:pPr>
      <w:r w:rsidRPr="003A3968">
        <w:t>Preliminär svensk ståndpunkt</w:t>
      </w:r>
    </w:p>
    <w:p w:rsidR="003A3968" w:rsidRPr="003A3968" w:rsidRDefault="003A3968">
      <w:r w:rsidRPr="003A3968">
        <w:t xml:space="preserve">Regeringen välkomnar i stort kommissionens arbetsprogram. De fyra övergripande rubrikerna täcker in många angelägna politikområden så som EU2020, uppföljning av Stockholmsprogrammet och EU:s yttre förbindelser.  Regeringen hade gärna sett fler lagförslag, exempelvis på miljöområdet.  </w:t>
      </w:r>
    </w:p>
    <w:p w:rsidR="003A3968" w:rsidRPr="003A3968" w:rsidRDefault="003A3968"/>
    <w:p w:rsidR="003A3968" w:rsidRPr="003A3968" w:rsidRDefault="003A3968">
      <w:pPr>
        <w:pStyle w:val="Rubrik2"/>
      </w:pPr>
      <w:r w:rsidRPr="003A3968">
        <w:t>Medlemsstaternas ståndpunkter</w:t>
      </w:r>
    </w:p>
    <w:p w:rsidR="003A3968" w:rsidRPr="003A3968" w:rsidRDefault="003A3968">
      <w:r w:rsidRPr="003A3968">
        <w:t xml:space="preserve">Medlemsstaternas ståndpunkter är ännu ej kända.  </w:t>
      </w:r>
    </w:p>
    <w:p w:rsidR="003A3968" w:rsidRPr="003A3968" w:rsidRDefault="003A3968">
      <w:pPr>
        <w:pStyle w:val="Rubrik2"/>
      </w:pPr>
      <w:r w:rsidRPr="003A3968">
        <w:t>Institutionernas ståndpunkter</w:t>
      </w:r>
    </w:p>
    <w:p w:rsidR="003A3968" w:rsidRPr="003A3968" w:rsidRDefault="003A3968">
      <w:r w:rsidRPr="003A3968">
        <w:t xml:space="preserve">Institutionernas ståndpunkter är ännu ej kända. </w:t>
      </w:r>
    </w:p>
    <w:p w:rsidR="003A3968" w:rsidRPr="003A3968" w:rsidRDefault="003A3968">
      <w:pPr>
        <w:pStyle w:val="Rubrik2"/>
      </w:pPr>
      <w:r w:rsidRPr="003A3968">
        <w:t>Remissinstansernas ståndpunkter</w:t>
      </w:r>
    </w:p>
    <w:p w:rsidR="003A3968" w:rsidRPr="003A3968" w:rsidRDefault="003A3968">
      <w:r w:rsidRPr="003A3968">
        <w:t xml:space="preserve">Kommissionens arbetsprogram har ej sänts på remiss. </w:t>
      </w:r>
    </w:p>
    <w:p w:rsidR="003A3968" w:rsidRPr="003A3968" w:rsidRDefault="003A3968">
      <w:pPr>
        <w:pStyle w:val="Rubrik1"/>
      </w:pPr>
      <w:r w:rsidRPr="003A3968">
        <w:t>Förslagets förutsättningar</w:t>
      </w:r>
    </w:p>
    <w:p w:rsidR="003A3968" w:rsidRPr="003A3968" w:rsidRDefault="003A3968">
      <w:pPr>
        <w:pStyle w:val="Rubrik2"/>
      </w:pPr>
      <w:r w:rsidRPr="003A3968">
        <w:t>Rättslig grund och beslutsförfarande</w:t>
      </w:r>
    </w:p>
    <w:p w:rsidR="003A3968" w:rsidRPr="003A3968" w:rsidRDefault="003A3968">
      <w:r w:rsidRPr="003A3968">
        <w:t xml:space="preserve">Ej tillämpligt. </w:t>
      </w:r>
    </w:p>
    <w:p w:rsidR="003A3968" w:rsidRPr="003A3968" w:rsidRDefault="003A3968">
      <w:pPr>
        <w:pStyle w:val="Rubrik2"/>
      </w:pPr>
      <w:r w:rsidRPr="003A3968">
        <w:t>Subsidiaritets- och proportionalitetsprincipen</w:t>
      </w:r>
    </w:p>
    <w:p w:rsidR="003A3968" w:rsidRPr="003A3968" w:rsidRDefault="003A3968">
      <w:r w:rsidRPr="003A3968">
        <w:t xml:space="preserve">Ej tillämpligt. </w:t>
      </w:r>
    </w:p>
    <w:p w:rsidR="003A3968" w:rsidRPr="003A3968" w:rsidRDefault="003A3968">
      <w:pPr>
        <w:pStyle w:val="Rubrik1"/>
      </w:pPr>
      <w:r w:rsidRPr="003A3968">
        <w:t>Övrigt</w:t>
      </w:r>
    </w:p>
    <w:p w:rsidR="003A3968" w:rsidRPr="003A3968" w:rsidRDefault="003A3968">
      <w:pPr>
        <w:pStyle w:val="Rubrik2"/>
      </w:pPr>
      <w:r w:rsidRPr="003A3968">
        <w:t>Fortsatt behandling av ärendet</w:t>
      </w:r>
    </w:p>
    <w:p w:rsidR="003A3968" w:rsidRPr="003A3968" w:rsidRDefault="003A3968">
      <w:r w:rsidRPr="003A3968">
        <w:t>Kommissionen inleder ett samarbete med rådet, Europaparlamentet och andra intressenter om genomförandet av programmet och de olika initiativen.</w:t>
      </w:r>
    </w:p>
    <w:p w:rsidR="003A3968" w:rsidRPr="003A3968" w:rsidRDefault="003A3968">
      <w:pPr>
        <w:pStyle w:val="Rubrik2"/>
      </w:pPr>
      <w:r w:rsidRPr="003A3968">
        <w:t>Fackuttryck/termer</w:t>
      </w:r>
    </w:p>
    <w:p w:rsidR="003A3968" w:rsidRPr="003A3968" w:rsidRDefault="003A3968">
      <w:r w:rsidRPr="003A3968">
        <w:t xml:space="preserve">- </w:t>
      </w:r>
    </w:p>
    <w:sectPr w:rsidR="00000000" w:rsidRPr="003A396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968" w:rsidRPr="003A3968" w:rsidRDefault="003A3968">
      <w:r w:rsidRPr="003A3968">
        <w:separator/>
      </w:r>
    </w:p>
  </w:endnote>
  <w:endnote w:type="continuationSeparator" w:id="0">
    <w:p w:rsidR="003A3968" w:rsidRPr="003A3968" w:rsidRDefault="003A3968">
      <w:r w:rsidRPr="003A3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H"/>
      <w:framePr w:wrap="around"/>
    </w:pPr>
    <w:r w:rsidRPr="003A3968">
      <w:t>4</w:t>
    </w:r>
  </w:p>
  <w:p w:rsidR="003A3968" w:rsidRPr="003A3968" w:rsidRDefault="003A39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H"/>
      <w:framePr w:wrap="around"/>
    </w:pPr>
    <w:r w:rsidRPr="003A3968">
      <w:t>1</w:t>
    </w:r>
  </w:p>
  <w:p w:rsidR="003A3968" w:rsidRPr="003A3968" w:rsidRDefault="003A3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968" w:rsidRPr="003A3968" w:rsidRDefault="003A3968">
      <w:r w:rsidRPr="003A3968">
        <w:separator/>
      </w:r>
    </w:p>
  </w:footnote>
  <w:footnote w:type="continuationSeparator" w:id="0">
    <w:p w:rsidR="003A3968" w:rsidRPr="003A3968" w:rsidRDefault="003A3968">
      <w:r w:rsidRPr="003A3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Kantrubrik"/>
      <w:framePr w:h="1157" w:hRule="exact" w:wrap="around" w:y="738"/>
    </w:pPr>
    <w:r w:rsidRPr="003A3968">
      <w:t>2009/10:FPM75</w:t>
    </w:r>
  </w:p>
  <w:p w:rsidR="003A3968" w:rsidRPr="003A3968" w:rsidRDefault="003A39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huvud"/>
    </w:pPr>
    <w:r w:rsidRPr="003A396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49019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3968" w:rsidRDefault="003A3968">
                    <w:pPr>
                      <w:pStyle w:val="Logo"/>
                    </w:pPr>
                    <w:r>
                      <w:object w:dxaOrig="840" w:dyaOrig="1545">
                        <v:shape id="_x0000_i1025" type="#_x0000_t75" style="width:42pt;height:77.5pt" filled="t">
                          <v:imagedata r:id="rId1" o:title=""/>
                        </v:shape>
                        <o:OLEObject Type="Embed" ProgID="Word.Picture.8" ShapeID="_x0000_i1025" DrawAspect="Content" ObjectID="_18275305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2292618">
    <w:abstractNumId w:val="4"/>
  </w:num>
  <w:num w:numId="2" w16cid:durableId="1306737641">
    <w:abstractNumId w:val="1"/>
  </w:num>
  <w:num w:numId="3" w16cid:durableId="202329162">
    <w:abstractNumId w:val="2"/>
  </w:num>
  <w:num w:numId="4" w16cid:durableId="15622399">
    <w:abstractNumId w:val="3"/>
  </w:num>
  <w:num w:numId="5" w16cid:durableId="1562327908">
    <w:abstractNumId w:val="5"/>
  </w:num>
  <w:num w:numId="6" w16cid:durableId="103215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05"/>
    <w:docVar w:name="Ar" w:val="2009/10"/>
    <w:docVar w:name="Dep" w:val="Statsrådsberedningen"/>
    <w:docVar w:name="DepWeb" w:val="Statsrådsberedningen"/>
    <w:docVar w:name="GDB1" w:val="KOM (2010) 1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Kommissionens arbetsprogram för 2010 Tid för hand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35"/>
    <w:docVar w:name="Nr" w:val="75"/>
    <w:docVar w:name="RD_APPVERSION" w:val="3.00"/>
    <w:docVar w:name="Rub" w:val="Kommissionens arbetsprogram"/>
    <w:docVar w:name="UppDat" w:val="2010-05-05"/>
    <w:docVar w:name="Utsk" w:val="Utrikesutskottet"/>
  </w:docVars>
  <w:rsids>
    <w:rsidRoot w:val="00AE00CA"/>
    <w:rsid w:val="003A3968"/>
    <w:rsid w:val="00AE00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240926-DD69-4B8B-BCBB-816D26E9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740</Words>
  <Characters>5136</Characters>
  <Application>Microsoft Office Word</Application>
  <DocSecurity>4</DocSecurity>
  <Lines>119</Lines>
  <Paragraphs>54</Paragraphs>
  <ScaleCrop>false</ScaleCrop>
  <HeadingPairs>
    <vt:vector size="2" baseType="variant">
      <vt:variant>
        <vt:lpstr>Rubrik</vt:lpstr>
      </vt:variant>
      <vt:variant>
        <vt:i4>1</vt:i4>
      </vt:variant>
    </vt:vector>
  </HeadingPairs>
  <TitlesOfParts>
    <vt:vector size="1" baseType="lpstr">
      <vt:lpstr>FPM_200910__75</vt:lpstr>
    </vt:vector>
  </TitlesOfParts>
  <Company>RD-DTSL</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FPM_200910__75</dc:title>
  <dc:subject>FPM_200910__75</dc:subject>
  <dc:creator>Riksdagen</dc:creator>
  <cp:keywords>Riksdagen</cp:keywords>
  <dc:description>KP2004-version.  Ändringarna påverkar enbart användningen inom Riksdagen. 050429 nya departement DTSL.</dc:description>
  <cp:lastModifiedBy>Lars Brink</cp:lastModifiedBy>
  <cp:revision>2</cp:revision>
  <cp:lastPrinted>2010-05-05T13:46:00Z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 (2010) 135</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arbetsprogram</vt:lpwstr>
  </property>
  <property fmtid="{D5CDD505-2E9C-101B-9397-08002B2CF9AE}" pid="8" name="UppDat">
    <vt:lpwstr>2010-05-05</vt:lpwstr>
  </property>
  <property fmtid="{D5CDD505-2E9C-101B-9397-08002B2CF9AE}" pid="9" name="AnkDat">
    <vt:lpwstr>2010-05-05</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