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D43D5">
        <w:tblPrEx>
          <w:tblCellMar>
            <w:top w:w="0" w:type="dxa"/>
            <w:bottom w:w="0" w:type="dxa"/>
          </w:tblCellMar>
        </w:tblPrEx>
        <w:trPr>
          <w:cantSplit/>
          <w:trHeight w:hRule="exact" w:val="1260"/>
        </w:trPr>
        <w:tc>
          <w:tcPr>
            <w:tcW w:w="6024" w:type="dxa"/>
            <w:gridSpan w:val="2"/>
            <w:vMerge w:val="restart"/>
          </w:tcPr>
          <w:p w:rsidR="00441AFC" w:rsidRPr="00CD43D5" w:rsidRDefault="00441AFC">
            <w:pPr>
              <w:pStyle w:val="HuvudRubrik"/>
            </w:pPr>
            <w:bookmarkStart w:id="0" w:name="BetänkandeRubrik"/>
            <w:bookmarkEnd w:id="0"/>
            <w:r w:rsidRPr="00CD43D5">
              <w:t>Bostadsutskottets betänkande</w:t>
            </w:r>
            <w:r w:rsidR="00CD43D5" w:rsidRPr="00CD43D5">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94924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41AFC" w:rsidRDefault="00441AF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67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41AFC" w:rsidRDefault="00441AFC">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671" r:id="rId9"/>
                              </w:object>
                            </w:r>
                          </w:p>
                        </w:txbxContent>
                      </v:textbox>
                      <w10:wrap anchorx="page" anchory="page"/>
                    </v:shape>
                  </w:pict>
                </mc:Fallback>
              </mc:AlternateContent>
            </w:r>
          </w:p>
          <w:p w:rsidR="00441AFC" w:rsidRPr="00CD43D5" w:rsidRDefault="00441AFC">
            <w:pPr>
              <w:pStyle w:val="HuvudRubrikRad2"/>
            </w:pPr>
            <w:bookmarkStart w:id="17" w:name="BetänkandeNr"/>
            <w:bookmarkEnd w:id="17"/>
            <w:r w:rsidRPr="00CD43D5">
              <w:t>1999/2000:BoU8</w:t>
            </w:r>
          </w:p>
          <w:p w:rsidR="00441AFC" w:rsidRPr="00CD43D5" w:rsidRDefault="00441AFC">
            <w:pPr>
              <w:pStyle w:val="BetnkandeRubrik"/>
            </w:pPr>
            <w:bookmarkStart w:id="18" w:name="Huvudrubrik"/>
            <w:bookmarkEnd w:id="18"/>
            <w:r w:rsidRPr="00CD43D5">
              <w:t>Registrering av fastighetsrättsliga förhållanden, m.m.</w:t>
            </w:r>
          </w:p>
        </w:tc>
        <w:tc>
          <w:tcPr>
            <w:tcW w:w="1559" w:type="dxa"/>
            <w:tcBorders>
              <w:bottom w:val="nil"/>
            </w:tcBorders>
          </w:tcPr>
          <w:p w:rsidR="00441AFC" w:rsidRPr="00CD43D5" w:rsidRDefault="00441AFC">
            <w:pPr>
              <w:spacing w:before="0" w:line="230" w:lineRule="auto"/>
              <w:rPr>
                <w:sz w:val="24"/>
              </w:rPr>
            </w:pPr>
          </w:p>
        </w:tc>
      </w:tr>
      <w:tr w:rsidR="00000000" w:rsidRPr="00CD43D5">
        <w:tblPrEx>
          <w:tblCellMar>
            <w:top w:w="0" w:type="dxa"/>
            <w:bottom w:w="0" w:type="dxa"/>
          </w:tblCellMar>
        </w:tblPrEx>
        <w:trPr>
          <w:cantSplit/>
          <w:trHeight w:hRule="exact" w:val="240"/>
        </w:trPr>
        <w:tc>
          <w:tcPr>
            <w:tcW w:w="6024" w:type="dxa"/>
            <w:gridSpan w:val="2"/>
            <w:vMerge/>
            <w:tcBorders>
              <w:top w:val="nil"/>
              <w:bottom w:val="nil"/>
            </w:tcBorders>
          </w:tcPr>
          <w:p w:rsidR="00441AFC" w:rsidRPr="00CD43D5" w:rsidRDefault="00441AFC">
            <w:pPr>
              <w:spacing w:before="40" w:after="900" w:line="280" w:lineRule="exact"/>
              <w:jc w:val="left"/>
              <w:rPr>
                <w:sz w:val="28"/>
              </w:rPr>
            </w:pPr>
          </w:p>
        </w:tc>
        <w:tc>
          <w:tcPr>
            <w:tcW w:w="1559" w:type="dxa"/>
          </w:tcPr>
          <w:p w:rsidR="00441AFC" w:rsidRPr="00CD43D5" w:rsidRDefault="00441AFC">
            <w:pPr>
              <w:pStyle w:val="rtal"/>
            </w:pPr>
            <w:r w:rsidRPr="00CD43D5">
              <w:t>1999/2000</w:t>
            </w:r>
          </w:p>
        </w:tc>
      </w:tr>
      <w:tr w:rsidR="00000000" w:rsidRPr="00CD43D5">
        <w:tblPrEx>
          <w:tblCellMar>
            <w:top w:w="0" w:type="dxa"/>
            <w:bottom w:w="0" w:type="dxa"/>
          </w:tblCellMar>
        </w:tblPrEx>
        <w:trPr>
          <w:cantSplit/>
          <w:trHeight w:val="560"/>
        </w:trPr>
        <w:tc>
          <w:tcPr>
            <w:tcW w:w="6024" w:type="dxa"/>
            <w:gridSpan w:val="2"/>
            <w:vMerge/>
            <w:tcBorders>
              <w:top w:val="nil"/>
              <w:bottom w:val="single" w:sz="6" w:space="0" w:color="auto"/>
            </w:tcBorders>
          </w:tcPr>
          <w:p w:rsidR="00441AFC" w:rsidRPr="00CD43D5" w:rsidRDefault="00441AFC">
            <w:pPr>
              <w:spacing w:before="40" w:after="900" w:line="280" w:lineRule="exact"/>
              <w:jc w:val="left"/>
              <w:rPr>
                <w:sz w:val="28"/>
              </w:rPr>
            </w:pPr>
          </w:p>
        </w:tc>
        <w:tc>
          <w:tcPr>
            <w:tcW w:w="1559" w:type="dxa"/>
            <w:tcBorders>
              <w:bottom w:val="single" w:sz="6" w:space="0" w:color="auto"/>
            </w:tcBorders>
          </w:tcPr>
          <w:p w:rsidR="00441AFC" w:rsidRPr="00CD43D5" w:rsidRDefault="00441AFC">
            <w:pPr>
              <w:pStyle w:val="rtal"/>
            </w:pPr>
            <w:r w:rsidRPr="00CD43D5">
              <w:t>BoU8</w:t>
            </w:r>
          </w:p>
        </w:tc>
      </w:tr>
      <w:tr w:rsidR="00000000" w:rsidRPr="00CD43D5">
        <w:tblPrEx>
          <w:tblCellMar>
            <w:top w:w="0" w:type="dxa"/>
            <w:bottom w:w="0" w:type="dxa"/>
          </w:tblCellMar>
        </w:tblPrEx>
        <w:trPr>
          <w:cantSplit/>
          <w:trHeight w:hRule="exact" w:val="660"/>
        </w:trPr>
        <w:tc>
          <w:tcPr>
            <w:tcW w:w="3012" w:type="dxa"/>
          </w:tcPr>
          <w:p w:rsidR="00441AFC" w:rsidRPr="00CD43D5" w:rsidRDefault="00441AFC">
            <w:pPr>
              <w:pStyle w:val="StatusSida1"/>
            </w:pPr>
          </w:p>
        </w:tc>
        <w:tc>
          <w:tcPr>
            <w:tcW w:w="3012" w:type="dxa"/>
          </w:tcPr>
          <w:p w:rsidR="00441AFC" w:rsidRPr="00CD43D5" w:rsidRDefault="00441AFC">
            <w:pPr>
              <w:pStyle w:val="UtskriftsdatumSida1"/>
              <w:rPr>
                <w:b/>
                <w:sz w:val="28"/>
              </w:rPr>
            </w:pPr>
          </w:p>
        </w:tc>
        <w:tc>
          <w:tcPr>
            <w:tcW w:w="1559" w:type="dxa"/>
          </w:tcPr>
          <w:p w:rsidR="00441AFC" w:rsidRPr="00CD43D5" w:rsidRDefault="00441AFC"/>
        </w:tc>
      </w:tr>
    </w:tbl>
    <w:p w:rsidR="00441AFC" w:rsidRPr="00CD43D5" w:rsidRDefault="00441AFC">
      <w:pPr>
        <w:pStyle w:val="Rubrik1"/>
        <w:spacing w:before="0"/>
      </w:pPr>
      <w:bookmarkStart w:id="19" w:name="_Toc479046893"/>
      <w:r w:rsidRPr="00CD43D5">
        <w:t>Sammanfattning</w:t>
      </w:r>
      <w:bookmarkEnd w:id="19"/>
    </w:p>
    <w:p w:rsidR="00441AFC" w:rsidRPr="00CD43D5" w:rsidRDefault="00441AFC">
      <w:pPr>
        <w:rPr>
          <w:sz w:val="20"/>
        </w:rPr>
      </w:pPr>
      <w:bookmarkStart w:id="20" w:name="Textstart"/>
      <w:bookmarkEnd w:id="20"/>
      <w:r w:rsidRPr="00CD43D5">
        <w:rPr>
          <w:sz w:val="20"/>
        </w:rPr>
        <w:t>I detta betänkande behandlar bostadsutskottet regeringens förslag i pr</w:t>
      </w:r>
      <w:r w:rsidRPr="00CD43D5">
        <w:rPr>
          <w:sz w:val="20"/>
        </w:rPr>
        <w:t>o</w:t>
      </w:r>
      <w:r w:rsidRPr="00CD43D5">
        <w:rPr>
          <w:sz w:val="20"/>
        </w:rPr>
        <w:t>position 1999/2000:39 Registrering av fastighetsrättsliga förhållanden, m.m.</w:t>
      </w:r>
    </w:p>
    <w:p w:rsidR="00441AFC" w:rsidRPr="00CD43D5" w:rsidRDefault="00441AFC">
      <w:pPr>
        <w:pStyle w:val="Normaltindrag"/>
      </w:pPr>
      <w:r w:rsidRPr="00CD43D5">
        <w:t>Propositionen innehåller förslag till en ny författningsreglering som gäller registrering av fastigheter. Förslagen är föranledda av att den s.k. fastighet</w:t>
      </w:r>
      <w:r w:rsidRPr="00CD43D5">
        <w:t>s</w:t>
      </w:r>
      <w:r w:rsidRPr="00CD43D5">
        <w:t>datareformen numera är slutförd. En översyn av regelverket har blivit nö</w:t>
      </w:r>
      <w:r w:rsidRPr="00CD43D5">
        <w:t>d</w:t>
      </w:r>
      <w:r w:rsidRPr="00CD43D5">
        <w:t xml:space="preserve">vändig också därför att integritetsfrågorna har kommit i nytt ljus genom EG:s dataskyddsdirektiv (95/46/EG) och den nya personuppgiftslagen (1998:204). </w:t>
      </w:r>
    </w:p>
    <w:p w:rsidR="00441AFC" w:rsidRPr="00CD43D5" w:rsidRDefault="00441AFC">
      <w:pPr>
        <w:pStyle w:val="Normaltindrag"/>
      </w:pPr>
      <w:r w:rsidRPr="00CD43D5">
        <w:t>I propositionen föreslås att de nuvarande inskrivnings- och fastighetsr</w:t>
      </w:r>
      <w:r w:rsidRPr="00CD43D5">
        <w:t>e</w:t>
      </w:r>
      <w:r w:rsidRPr="00CD43D5">
        <w:t>gistren i fortsättningen skall ingå som skilda delar, inskrivningsdelen och allmänna delen, i ett gemensamt fastighetsregister. Det nyreglerade fasti</w:t>
      </w:r>
      <w:r w:rsidRPr="00CD43D5">
        <w:t>g</w:t>
      </w:r>
      <w:r w:rsidRPr="00CD43D5">
        <w:t>hetsregistret skall också innehålla en adressdel, en byggnadsdel och en tax</w:t>
      </w:r>
      <w:r w:rsidRPr="00CD43D5">
        <w:t>e</w:t>
      </w:r>
      <w:r w:rsidRPr="00CD43D5">
        <w:t>ringsuppgiftsdel. De från integritetssynpunkt viktiga yttre ramarna för det nya fastighetsregistret skall enligt förslaget slås fast i en ny lag. I lagen skall också fastighetsregistrets yttre ramar anges och registrets ändamål preciseras. I lagen skall det också anges vilka begränsni</w:t>
      </w:r>
      <w:r w:rsidRPr="00CD43D5">
        <w:t>ngar för användningen av up</w:t>
      </w:r>
      <w:r w:rsidRPr="00CD43D5">
        <w:t>p</w:t>
      </w:r>
      <w:r w:rsidRPr="00CD43D5">
        <w:t>gifter från registret som är nödvändiga av integritets- och säke</w:t>
      </w:r>
      <w:r w:rsidRPr="00CD43D5">
        <w:t>r</w:t>
      </w:r>
      <w:r w:rsidRPr="00CD43D5">
        <w:t xml:space="preserve">hetsskäl. </w:t>
      </w:r>
    </w:p>
    <w:p w:rsidR="00441AFC" w:rsidRPr="00CD43D5" w:rsidRDefault="00441AFC">
      <w:pPr>
        <w:pStyle w:val="Normaltindrag"/>
      </w:pPr>
      <w:r w:rsidRPr="00CD43D5">
        <w:t>Propositionen innehåller vidare förslag till ändrad lydelse av bestämme</w:t>
      </w:r>
      <w:r w:rsidRPr="00CD43D5">
        <w:t>l</w:t>
      </w:r>
      <w:r w:rsidRPr="00CD43D5">
        <w:t xml:space="preserve">serna om inskrivning i 19 kap. jordabalken. Översynen av förfarandereglerna är främst en följd av införandet av lagen om domstolsärenden. </w:t>
      </w:r>
    </w:p>
    <w:p w:rsidR="00441AFC" w:rsidRPr="00CD43D5" w:rsidRDefault="00441AFC">
      <w:pPr>
        <w:pStyle w:val="Normaltindrag"/>
      </w:pPr>
      <w:r w:rsidRPr="00CD43D5">
        <w:t xml:space="preserve">Vidare föreslås att kronans jordebok inte längre skall föras. Det föreslås också att vissa bestämmelser om härads- och skogsallmänningar ändras. Slutligen föreslås att ett flertal äldre fastighetsrättsliga lagar som har förlorat praktisk betydelse skall upphävas. </w:t>
      </w:r>
    </w:p>
    <w:p w:rsidR="00441AFC" w:rsidRPr="00CD43D5" w:rsidRDefault="00441AFC">
      <w:pPr>
        <w:pStyle w:val="Normaltindrag"/>
      </w:pPr>
      <w:r w:rsidRPr="00CD43D5">
        <w:t>De nya lagreglerna föreslås träda i kraft den 1 juli 2000.</w:t>
      </w:r>
    </w:p>
    <w:p w:rsidR="00441AFC" w:rsidRPr="00CD43D5" w:rsidRDefault="00441AFC">
      <w:pPr>
        <w:pStyle w:val="Normaltindrag"/>
      </w:pPr>
      <w:r w:rsidRPr="00CD43D5">
        <w:t>Ett enhälligt utskott tillstyrker propositionens av utskottet behandlade la</w:t>
      </w:r>
      <w:r w:rsidRPr="00CD43D5">
        <w:t>g</w:t>
      </w:r>
      <w:r w:rsidRPr="00CD43D5">
        <w:t>förslag förutom i en mindre del. Därutöver föreslår utskottet att följdändrin</w:t>
      </w:r>
      <w:r w:rsidRPr="00CD43D5">
        <w:t>g</w:t>
      </w:r>
      <w:r w:rsidRPr="00CD43D5">
        <w:t>ar skall göras i vissa lagrum som propositionens la</w:t>
      </w:r>
      <w:r w:rsidRPr="00CD43D5">
        <w:t>g</w:t>
      </w:r>
      <w:r w:rsidRPr="00CD43D5">
        <w:t>förslag inte omfattar.</w:t>
      </w:r>
    </w:p>
    <w:p w:rsidR="00441AFC" w:rsidRPr="00CD43D5" w:rsidRDefault="00CD43D5">
      <w:pPr>
        <w:pStyle w:val="Rubrik1"/>
      </w:pPr>
      <w:r w:rsidRPr="00CD43D5">
        <w:rPr>
          <w:noProof/>
        </w:rPr>
        <mc:AlternateContent>
          <mc:Choice Requires="wps">
            <w:drawing>
              <wp:anchor distT="0" distB="0" distL="114300" distR="114300" simplePos="0" relativeHeight="251658240" behindDoc="0" locked="0" layoutInCell="0" allowOverlap="1">
                <wp:simplePos x="0" y="0"/>
                <wp:positionH relativeFrom="column">
                  <wp:posOffset>-80010</wp:posOffset>
                </wp:positionH>
                <wp:positionV relativeFrom="paragraph">
                  <wp:posOffset>1114425</wp:posOffset>
                </wp:positionV>
                <wp:extent cx="2377440" cy="274320"/>
                <wp:effectExtent l="0" t="0" r="0" b="0"/>
                <wp:wrapNone/>
                <wp:docPr id="1472336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AFC" w:rsidRDefault="00441AFC">
                            <w:pPr>
                              <w:pStyle w:val="Rubrik8"/>
                            </w:pPr>
                            <w:r>
                              <w:t>Rättelse: S. 7 rad 6 ny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3pt;margin-top:87.75pt;width:187.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" o:allowincell="f" filled="f" stroked="f">
                <v:textbox>
                  <w:txbxContent>
                    <w:p w:rsidR="00441AFC" w:rsidRDefault="00441AFC">
                      <w:pPr>
                        <w:pStyle w:val="Rubrik8"/>
                      </w:pPr>
                      <w:r>
                        <w:t>Rättelse: S. 7 rad 6 ny text</w:t>
                      </w:r>
                    </w:p>
                  </w:txbxContent>
                </v:textbox>
              </v:shape>
            </w:pict>
          </mc:Fallback>
        </mc:AlternateContent>
      </w:r>
      <w:r w:rsidR="00441AFC" w:rsidRPr="00CD43D5">
        <w:br w:type="page"/>
      </w:r>
      <w:bookmarkStart w:id="21" w:name="_Toc479046894"/>
      <w:r w:rsidR="00441AFC" w:rsidRPr="00CD43D5">
        <w:lastRenderedPageBreak/>
        <w:t>Propositionen</w:t>
      </w:r>
      <w:bookmarkEnd w:id="21"/>
    </w:p>
    <w:p w:rsidR="00441AFC" w:rsidRPr="00CD43D5" w:rsidRDefault="00441AFC">
      <w:r w:rsidRPr="00CD43D5">
        <w:t>Regeringen föreslår i proposition 1999/2000:39 att riksdagen antar regerin</w:t>
      </w:r>
      <w:r w:rsidRPr="00CD43D5">
        <w:t>g</w:t>
      </w:r>
      <w:r w:rsidRPr="00CD43D5">
        <w:t>ens förslag till</w:t>
      </w:r>
    </w:p>
    <w:p w:rsidR="00441AFC" w:rsidRPr="00CD43D5" w:rsidRDefault="00441AFC">
      <w:pPr>
        <w:pStyle w:val="Normaltindrag"/>
      </w:pPr>
      <w:r w:rsidRPr="00CD43D5">
        <w:t xml:space="preserve">1. lag om fastighetsregister, </w:t>
      </w:r>
    </w:p>
    <w:p w:rsidR="00441AFC" w:rsidRPr="00CD43D5" w:rsidRDefault="00441AFC">
      <w:pPr>
        <w:pStyle w:val="Normaltindrag"/>
      </w:pPr>
      <w:r w:rsidRPr="00CD43D5">
        <w:t xml:space="preserve">2. lag om upphävande av vissa lagar på fastighetsrättens område, </w:t>
      </w:r>
    </w:p>
    <w:p w:rsidR="00441AFC" w:rsidRPr="00CD43D5" w:rsidRDefault="00441AFC">
      <w:pPr>
        <w:pStyle w:val="Normaltindrag"/>
      </w:pPr>
      <w:r w:rsidRPr="00CD43D5">
        <w:t xml:space="preserve">3. lag om ändring i jordabalken, </w:t>
      </w:r>
    </w:p>
    <w:p w:rsidR="00441AFC" w:rsidRPr="00CD43D5" w:rsidRDefault="00441AFC">
      <w:pPr>
        <w:pStyle w:val="Normaltindrag"/>
      </w:pPr>
      <w:r w:rsidRPr="00CD43D5">
        <w:t xml:space="preserve">4. lag om ändring i lagen (1970:995) om införande av nya jordabalken, </w:t>
      </w:r>
    </w:p>
    <w:p w:rsidR="00441AFC" w:rsidRPr="00CD43D5" w:rsidRDefault="00441AFC">
      <w:pPr>
        <w:pStyle w:val="Normaltindrag"/>
      </w:pPr>
      <w:r w:rsidRPr="00CD43D5">
        <w:t xml:space="preserve">5. lag om ändring i miljöbalken, </w:t>
      </w:r>
    </w:p>
    <w:p w:rsidR="00441AFC" w:rsidRPr="00CD43D5" w:rsidRDefault="00441AFC">
      <w:pPr>
        <w:pStyle w:val="Normaltindrag"/>
      </w:pPr>
      <w:r w:rsidRPr="00CD43D5">
        <w:t xml:space="preserve">6. lag om ändring i lagen (1927:79) om rätt för borgenär till betalning ur ersättning på grund av brandförsäkringsavtal, </w:t>
      </w:r>
    </w:p>
    <w:p w:rsidR="00441AFC" w:rsidRPr="00CD43D5" w:rsidRDefault="00441AFC">
      <w:pPr>
        <w:pStyle w:val="Normaltindrag"/>
      </w:pPr>
      <w:r w:rsidRPr="00CD43D5">
        <w:t xml:space="preserve">7. lag om ändring i lagen (1927:85) om dödande av förkommen handling, </w:t>
      </w:r>
    </w:p>
    <w:p w:rsidR="00441AFC" w:rsidRPr="00CD43D5" w:rsidRDefault="00441AFC">
      <w:pPr>
        <w:pStyle w:val="Normaltindrag"/>
      </w:pPr>
      <w:r w:rsidRPr="00CD43D5">
        <w:t xml:space="preserve">8. lag om ändring i lagen (1952:166) om häradsallmänningar, </w:t>
      </w:r>
    </w:p>
    <w:p w:rsidR="00441AFC" w:rsidRPr="00CD43D5" w:rsidRDefault="00441AFC">
      <w:pPr>
        <w:pStyle w:val="Normaltindrag"/>
      </w:pPr>
      <w:r w:rsidRPr="00CD43D5">
        <w:t xml:space="preserve">9. lag om ändring i lagen (1952:167) om allmänningsskogar i Norrland och Dalarna, </w:t>
      </w:r>
    </w:p>
    <w:p w:rsidR="00441AFC" w:rsidRPr="00CD43D5" w:rsidRDefault="00441AFC">
      <w:pPr>
        <w:pStyle w:val="Normaltindrag"/>
      </w:pPr>
      <w:r w:rsidRPr="00CD43D5">
        <w:t xml:space="preserve">10. lag om ändring i förköpslagen (1967:868), </w:t>
      </w:r>
    </w:p>
    <w:p w:rsidR="00441AFC" w:rsidRPr="00CD43D5" w:rsidRDefault="00441AFC">
      <w:pPr>
        <w:pStyle w:val="Normaltindrag"/>
      </w:pPr>
      <w:r w:rsidRPr="00CD43D5">
        <w:t xml:space="preserve">11. lag om ändring i fastighetsbildningslagen (1970:988), </w:t>
      </w:r>
    </w:p>
    <w:p w:rsidR="00441AFC" w:rsidRPr="00CD43D5" w:rsidRDefault="00441AFC">
      <w:pPr>
        <w:pStyle w:val="Normaltindrag"/>
      </w:pPr>
      <w:r w:rsidRPr="00CD43D5">
        <w:t xml:space="preserve">12. lag om ändring i lagen (1970:989) om införande av fastighetsbildnings- lagen, </w:t>
      </w:r>
    </w:p>
    <w:p w:rsidR="00441AFC" w:rsidRPr="00CD43D5" w:rsidRDefault="00441AFC">
      <w:pPr>
        <w:pStyle w:val="Normaltindrag"/>
      </w:pPr>
      <w:r w:rsidRPr="00CD43D5">
        <w:t xml:space="preserve">13. lag om ändring i lagen (1970:990) om förmånsrätt för fordran på grund av fastighetsbildning, </w:t>
      </w:r>
    </w:p>
    <w:p w:rsidR="00441AFC" w:rsidRPr="00CD43D5" w:rsidRDefault="00441AFC">
      <w:pPr>
        <w:pStyle w:val="Normaltindrag"/>
      </w:pPr>
      <w:r w:rsidRPr="00CD43D5">
        <w:t>14. lag om ändring i lagen (1971:1037) om äganderättsutredning och leg</w:t>
      </w:r>
      <w:r w:rsidRPr="00CD43D5">
        <w:t>a</w:t>
      </w:r>
      <w:r w:rsidRPr="00CD43D5">
        <w:t xml:space="preserve">lisering, </w:t>
      </w:r>
    </w:p>
    <w:p w:rsidR="00441AFC" w:rsidRPr="00CD43D5" w:rsidRDefault="00441AFC">
      <w:pPr>
        <w:pStyle w:val="Normaltindrag"/>
      </w:pPr>
      <w:r w:rsidRPr="00CD43D5">
        <w:t xml:space="preserve">15. lag om ändring i expropriationslagen (1972:719), </w:t>
      </w:r>
    </w:p>
    <w:p w:rsidR="00441AFC" w:rsidRPr="00CD43D5" w:rsidRDefault="00441AFC">
      <w:pPr>
        <w:pStyle w:val="Normaltindrag"/>
      </w:pPr>
      <w:r w:rsidRPr="00CD43D5">
        <w:t xml:space="preserve">16. lag om ändring i ledningsrättslagen (1973:1144), </w:t>
      </w:r>
    </w:p>
    <w:p w:rsidR="00441AFC" w:rsidRPr="00CD43D5" w:rsidRDefault="00441AFC">
      <w:pPr>
        <w:pStyle w:val="Normaltindrag"/>
      </w:pPr>
      <w:r w:rsidRPr="00CD43D5">
        <w:t xml:space="preserve">17. lag om ändring i anläggningslagen (1973:1149), </w:t>
      </w:r>
    </w:p>
    <w:p w:rsidR="00441AFC" w:rsidRPr="00CD43D5" w:rsidRDefault="00441AFC">
      <w:pPr>
        <w:pStyle w:val="Normaltindrag"/>
      </w:pPr>
      <w:r w:rsidRPr="00CD43D5">
        <w:t xml:space="preserve">18. lag om ändring i lagen (1975:1132) om förvärv av hyresfastighet m.m., </w:t>
      </w:r>
    </w:p>
    <w:p w:rsidR="00441AFC" w:rsidRPr="00CD43D5" w:rsidRDefault="00441AFC">
      <w:pPr>
        <w:pStyle w:val="Normaltindrag"/>
      </w:pPr>
      <w:r w:rsidRPr="00CD43D5">
        <w:t xml:space="preserve">19. lag om ändring i bostadsförvaltningslagen (1977:792), </w:t>
      </w:r>
    </w:p>
    <w:p w:rsidR="00441AFC" w:rsidRPr="00CD43D5" w:rsidRDefault="00441AFC">
      <w:pPr>
        <w:pStyle w:val="Normaltindrag"/>
      </w:pPr>
      <w:r w:rsidRPr="00CD43D5">
        <w:t xml:space="preserve">20. lag om ändring i jordförvärvslagen (1979:230), </w:t>
      </w:r>
    </w:p>
    <w:p w:rsidR="00441AFC" w:rsidRPr="00CD43D5" w:rsidRDefault="00441AFC">
      <w:pPr>
        <w:pStyle w:val="Normaltindrag"/>
      </w:pPr>
      <w:r w:rsidRPr="00CD43D5">
        <w:t xml:space="preserve">21. lag om ändring i fastighetstaxeringslagen (1979:1152), </w:t>
      </w:r>
    </w:p>
    <w:p w:rsidR="00441AFC" w:rsidRPr="00CD43D5" w:rsidRDefault="00441AFC">
      <w:pPr>
        <w:pStyle w:val="Normaltindrag"/>
      </w:pPr>
      <w:r w:rsidRPr="00CD43D5">
        <w:t>22. lag om ändring i lagen (1982:352) om rätt till fastighetsförvärv för o</w:t>
      </w:r>
      <w:r w:rsidRPr="00CD43D5">
        <w:t>m</w:t>
      </w:r>
      <w:r w:rsidRPr="00CD43D5">
        <w:t xml:space="preserve">bildning till bostadsrätt, </w:t>
      </w:r>
    </w:p>
    <w:p w:rsidR="00441AFC" w:rsidRPr="00CD43D5" w:rsidRDefault="00441AFC">
      <w:pPr>
        <w:pStyle w:val="Normaltindrag"/>
      </w:pPr>
      <w:r w:rsidRPr="00CD43D5">
        <w:t>23. lag om ändring i lagen (1984:404) om stämpelskatt vid inskrivnin</w:t>
      </w:r>
      <w:r w:rsidRPr="00CD43D5">
        <w:t>g</w:t>
      </w:r>
      <w:r w:rsidRPr="00CD43D5">
        <w:t xml:space="preserve">s-myndigheter, </w:t>
      </w:r>
    </w:p>
    <w:p w:rsidR="00441AFC" w:rsidRPr="00CD43D5" w:rsidRDefault="00441AFC">
      <w:pPr>
        <w:pStyle w:val="Normaltindrag"/>
      </w:pPr>
      <w:r w:rsidRPr="00CD43D5">
        <w:t xml:space="preserve">24. lag om ändring i lagen (1985:658) om arrendatorers rätt att förvärva arrendestället, </w:t>
      </w:r>
    </w:p>
    <w:p w:rsidR="00441AFC" w:rsidRPr="00CD43D5" w:rsidRDefault="00441AFC">
      <w:pPr>
        <w:pStyle w:val="Normaltindrag"/>
      </w:pPr>
      <w:r w:rsidRPr="00CD43D5">
        <w:t xml:space="preserve">25. lag om ändring i plan- och bygglagen (1987:10), </w:t>
      </w:r>
    </w:p>
    <w:p w:rsidR="00441AFC" w:rsidRPr="00CD43D5" w:rsidRDefault="00441AFC">
      <w:pPr>
        <w:pStyle w:val="Normaltindrag"/>
      </w:pPr>
      <w:r w:rsidRPr="00CD43D5">
        <w:t xml:space="preserve">26. lag om ändring i lagen (1987:11) om exploateringssamverkan, </w:t>
      </w:r>
    </w:p>
    <w:p w:rsidR="00441AFC" w:rsidRPr="00CD43D5" w:rsidRDefault="00441AFC">
      <w:pPr>
        <w:pStyle w:val="Normaltindrag"/>
      </w:pPr>
      <w:r w:rsidRPr="00CD43D5">
        <w:t xml:space="preserve">27. lag om ändring i lagen (1988:950) om kulturminnen m.m., </w:t>
      </w:r>
    </w:p>
    <w:p w:rsidR="00441AFC" w:rsidRPr="00CD43D5" w:rsidRDefault="00441AFC">
      <w:pPr>
        <w:pStyle w:val="Normaltindrag"/>
      </w:pPr>
      <w:r w:rsidRPr="00CD43D5">
        <w:t xml:space="preserve">28. lag om ändring i lagen (1989:31) om förvaltning av vissa samägda jordbruksfastigheter, samt </w:t>
      </w:r>
    </w:p>
    <w:p w:rsidR="00441AFC" w:rsidRPr="00CD43D5" w:rsidRDefault="00441AFC">
      <w:pPr>
        <w:pStyle w:val="Normaltindrag"/>
      </w:pPr>
      <w:r w:rsidRPr="00CD43D5">
        <w:t xml:space="preserve">29. lag om ändring i lagen (1995:1537) om lägenhetsregister. </w:t>
      </w:r>
    </w:p>
    <w:p w:rsidR="00441AFC" w:rsidRPr="00CD43D5" w:rsidRDefault="00441AFC">
      <w:pPr>
        <w:pStyle w:val="Normaltindrag"/>
      </w:pPr>
    </w:p>
    <w:p w:rsidR="00441AFC" w:rsidRPr="00CD43D5" w:rsidRDefault="00441AFC">
      <w:r w:rsidRPr="00CD43D5">
        <w:t xml:space="preserve">Lagförslag 27 har överlämnats till kulturutskottet för vidare beredning och behandlas alltså inte i detta betänkande. Anledningen till detta är att förslaget bygger på en lydelse av ett av lagrummen som riksdagen ännu inte tagit ställning till (prop. 1998/99:114). </w:t>
      </w:r>
    </w:p>
    <w:p w:rsidR="00441AFC" w:rsidRPr="00CD43D5" w:rsidRDefault="00441AFC">
      <w:pPr>
        <w:pStyle w:val="Rubrik1"/>
      </w:pPr>
      <w:bookmarkStart w:id="22" w:name="_Toc479046895"/>
      <w:r w:rsidRPr="00CD43D5">
        <w:t>Utskottet</w:t>
      </w:r>
      <w:bookmarkEnd w:id="22"/>
    </w:p>
    <w:p w:rsidR="00441AFC" w:rsidRPr="00CD43D5" w:rsidRDefault="00441AFC">
      <w:pPr>
        <w:pStyle w:val="Rubrik2"/>
        <w:spacing w:before="123"/>
      </w:pPr>
      <w:bookmarkStart w:id="23" w:name="_Toc479046896"/>
      <w:r w:rsidRPr="00CD43D5">
        <w:t>Propositionens innehåll</w:t>
      </w:r>
      <w:bookmarkEnd w:id="23"/>
      <w:r w:rsidRPr="00CD43D5">
        <w:t xml:space="preserve"> </w:t>
      </w:r>
    </w:p>
    <w:p w:rsidR="00441AFC" w:rsidRPr="00CD43D5" w:rsidRDefault="00441AFC">
      <w:pPr>
        <w:pStyle w:val="Rubrik3"/>
        <w:spacing w:before="123"/>
      </w:pPr>
      <w:bookmarkStart w:id="24" w:name="_Toc479046897"/>
      <w:r w:rsidRPr="00CD43D5">
        <w:t>Register- och integritetsfrågor</w:t>
      </w:r>
      <w:bookmarkEnd w:id="24"/>
    </w:p>
    <w:p w:rsidR="00441AFC" w:rsidRPr="00CD43D5" w:rsidRDefault="00441AFC">
      <w:r w:rsidRPr="00CD43D5">
        <w:rPr>
          <w:sz w:val="20"/>
        </w:rPr>
        <w:t xml:space="preserve">Regeringen har haft som utgångspunkt för sina </w:t>
      </w:r>
      <w:r w:rsidRPr="00CD43D5">
        <w:t>överväganden och förslag</w:t>
      </w:r>
      <w:r w:rsidRPr="00CD43D5">
        <w:rPr>
          <w:sz w:val="20"/>
        </w:rPr>
        <w:t xml:space="preserve"> avseende fastighetsdatasystemets författningsreglering att endast sådan användning av information som kan anses berättigad skall vara tillåten, liksom att författningsregleringen bör möjliggöra löpande förändringar av systemet och att den så långt möjligt bör vara teknikoberoende.</w:t>
      </w:r>
      <w:r w:rsidRPr="00CD43D5">
        <w:rPr>
          <w:b/>
          <w:sz w:val="20"/>
        </w:rPr>
        <w:t xml:space="preserve"> </w:t>
      </w:r>
      <w:r w:rsidRPr="00CD43D5">
        <w:t>En översyn av regelverket har blivit nödvändig också därför att integritetsfr</w:t>
      </w:r>
      <w:r w:rsidRPr="00CD43D5">
        <w:t>å</w:t>
      </w:r>
      <w:r w:rsidRPr="00CD43D5">
        <w:t>gorna har kommit i nytt ljus genom EG:s dataskyddsdirektiv (95/46/EG) och den nya personuppgiftslagen (1998:204).</w:t>
      </w:r>
    </w:p>
    <w:p w:rsidR="00441AFC" w:rsidRPr="00CD43D5" w:rsidRDefault="00441AFC">
      <w:pPr>
        <w:pStyle w:val="Normaltindrag"/>
      </w:pPr>
      <w:r w:rsidRPr="00CD43D5">
        <w:t>Regeringens f</w:t>
      </w:r>
      <w:r w:rsidRPr="00CD43D5">
        <w:t>örslag innebär bl.a. följande.</w:t>
      </w:r>
    </w:p>
    <w:p w:rsidR="00441AFC" w:rsidRPr="00CD43D5" w:rsidRDefault="00441AFC">
      <w:pPr>
        <w:pStyle w:val="Normaltindrag"/>
      </w:pPr>
      <w:r w:rsidRPr="00CD43D5">
        <w:t>Motsvarigheten till det nuvarande fastighetsdatasystemet skall från data-rättslig synpunkt utgöra ett enda register. Registret skall benämnas fasti</w:t>
      </w:r>
      <w:r w:rsidRPr="00CD43D5">
        <w:t>g</w:t>
      </w:r>
      <w:r w:rsidRPr="00CD43D5">
        <w:t>hetsregistret. Registret skall bestå av olika delar, bl.a. en allmän del, motsv</w:t>
      </w:r>
      <w:r w:rsidRPr="00CD43D5">
        <w:t>a</w:t>
      </w:r>
      <w:r w:rsidRPr="00CD43D5">
        <w:t>rande det nuvarande fastighetsregistret, och en inskrivningsdel, motsvarande det nuvarande inskrivningsregi</w:t>
      </w:r>
      <w:r w:rsidRPr="00CD43D5">
        <w:rPr>
          <w:sz w:val="20"/>
        </w:rPr>
        <w:t>stret. (A</w:t>
      </w:r>
      <w:r w:rsidRPr="00CD43D5">
        <w:rPr>
          <w:sz w:val="20"/>
        </w:rPr>
        <w:t>v</w:t>
      </w:r>
      <w:r w:rsidRPr="00CD43D5">
        <w:rPr>
          <w:sz w:val="20"/>
        </w:rPr>
        <w:t>snitt 7.2)</w:t>
      </w:r>
    </w:p>
    <w:p w:rsidR="00441AFC" w:rsidRPr="00CD43D5" w:rsidRDefault="00441AFC">
      <w:pPr>
        <w:pStyle w:val="Normaltindrag"/>
      </w:pPr>
      <w:r w:rsidRPr="00CD43D5">
        <w:t xml:space="preserve">De från integritetssynpunkt viktiga ramarna för det nya registret skall slås fast i en ny lag, lagen om fastighetsregister. De grundläggande reglerna om fastighetsregistrering skall finnas kvar i fastighetsbildningslagen, medan de </w:t>
      </w:r>
      <w:r w:rsidRPr="00CD43D5">
        <w:rPr>
          <w:sz w:val="20"/>
        </w:rPr>
        <w:t>grundläggande reglerna om inskrivning skall finnas kvar i jordabalken. (A</w:t>
      </w:r>
      <w:r w:rsidRPr="00CD43D5">
        <w:rPr>
          <w:sz w:val="20"/>
        </w:rPr>
        <w:t>v</w:t>
      </w:r>
      <w:r w:rsidRPr="00CD43D5">
        <w:rPr>
          <w:sz w:val="20"/>
        </w:rPr>
        <w:t>snitt 7.3)</w:t>
      </w:r>
    </w:p>
    <w:p w:rsidR="00441AFC" w:rsidRPr="00CD43D5" w:rsidRDefault="00441AFC">
      <w:pPr>
        <w:pStyle w:val="Normaltindrag"/>
      </w:pPr>
      <w:r w:rsidRPr="00CD43D5">
        <w:t xml:space="preserve">Lantmäteriverket skall vara ensamt personuppgiftsansvarigt för det nya </w:t>
      </w:r>
      <w:r w:rsidRPr="00CD43D5">
        <w:rPr>
          <w:sz w:val="20"/>
        </w:rPr>
        <w:t>r</w:t>
      </w:r>
      <w:r w:rsidRPr="00CD43D5">
        <w:rPr>
          <w:sz w:val="20"/>
        </w:rPr>
        <w:t>e</w:t>
      </w:r>
      <w:r w:rsidRPr="00CD43D5">
        <w:rPr>
          <w:sz w:val="20"/>
        </w:rPr>
        <w:t>gistret. (Avsnitt 7.4)</w:t>
      </w:r>
    </w:p>
    <w:p w:rsidR="00441AFC" w:rsidRPr="00CD43D5" w:rsidRDefault="00441AFC">
      <w:pPr>
        <w:pStyle w:val="Normaltindrag"/>
      </w:pPr>
      <w:r w:rsidRPr="00CD43D5">
        <w:t>Det nya fastighetsregistret skall ge offentlighet åt den information som i</w:t>
      </w:r>
      <w:r w:rsidRPr="00CD43D5">
        <w:t>n</w:t>
      </w:r>
      <w:r w:rsidRPr="00CD43D5">
        <w:t>går i registret. Registret skall ha till ändamål att tillhandahålla uppgifter för vissa i lagen uppräknade verksamheter, för aktualisering m.m. av inform</w:t>
      </w:r>
      <w:r w:rsidRPr="00CD43D5">
        <w:t>a</w:t>
      </w:r>
      <w:r w:rsidRPr="00CD43D5">
        <w:t xml:space="preserve">tion i kund- </w:t>
      </w:r>
      <w:r w:rsidRPr="00CD43D5">
        <w:rPr>
          <w:sz w:val="20"/>
        </w:rPr>
        <w:t>eller medlemsregister och för s.k. urvalsdragning. (Avsnitt 7.5 )</w:t>
      </w:r>
    </w:p>
    <w:p w:rsidR="00441AFC" w:rsidRPr="00CD43D5" w:rsidRDefault="00441AFC">
      <w:pPr>
        <w:pStyle w:val="Normaltindrag"/>
        <w:rPr>
          <w:sz w:val="20"/>
        </w:rPr>
      </w:pPr>
      <w:r w:rsidRPr="00CD43D5">
        <w:t>Det nya fastighetsregistret skall innehålla uppgifter som motsvarar dem som i dag finns i fastighetsregistret, inskrivningsregistret och byggnadsr</w:t>
      </w:r>
      <w:r w:rsidRPr="00CD43D5">
        <w:t>e</w:t>
      </w:r>
      <w:r w:rsidRPr="00CD43D5">
        <w:t>gistret. Registret skall också innehålla motsvarigheter till de adress- och taxeringsuppgifter som redovisas i fastighetsdatasystemet. Även tilläggsi</w:t>
      </w:r>
      <w:r w:rsidRPr="00CD43D5">
        <w:t>n</w:t>
      </w:r>
      <w:r w:rsidRPr="00CD43D5">
        <w:t xml:space="preserve">formation av det slag som i dag redovisas i fastighetsdatasystemet skall få föras in i registret. För närvarande skall inte några uppgifter därutöver få tas in i </w:t>
      </w:r>
      <w:r w:rsidRPr="00CD43D5">
        <w:rPr>
          <w:sz w:val="20"/>
        </w:rPr>
        <w:t>r</w:t>
      </w:r>
      <w:r w:rsidRPr="00CD43D5">
        <w:rPr>
          <w:sz w:val="20"/>
        </w:rPr>
        <w:t>e</w:t>
      </w:r>
      <w:r w:rsidRPr="00CD43D5">
        <w:rPr>
          <w:sz w:val="20"/>
        </w:rPr>
        <w:t>gistret. (Avsnitt 7.6)</w:t>
      </w:r>
    </w:p>
    <w:p w:rsidR="00441AFC" w:rsidRPr="00CD43D5" w:rsidRDefault="00441AFC">
      <w:pPr>
        <w:pStyle w:val="Normaltindrag"/>
        <w:rPr>
          <w:sz w:val="20"/>
        </w:rPr>
      </w:pPr>
      <w:r w:rsidRPr="00CD43D5">
        <w:rPr>
          <w:sz w:val="20"/>
        </w:rPr>
        <w:t>När direktåtkomst (terminalåtkomst) tillåts</w:t>
      </w:r>
      <w:r w:rsidRPr="00CD43D5">
        <w:t xml:space="preserve">, skall namn, personnummer eller del av personnummer inte få användas som sökbegrepp. Vid sådan åtkomst skall det normalt vara möjligt att utföra sökningar bara på </w:t>
      </w:r>
      <w:r w:rsidRPr="00CD43D5">
        <w:rPr>
          <w:i/>
        </w:rPr>
        <w:t>en</w:t>
      </w:r>
      <w:r w:rsidRPr="00CD43D5">
        <w:t xml:space="preserve"> fasti</w:t>
      </w:r>
      <w:r w:rsidRPr="00CD43D5">
        <w:t>g</w:t>
      </w:r>
      <w:r w:rsidRPr="00CD43D5">
        <w:t>het, tomträtt, samfällighet eller byggnad i taget. Vid urval och bearbetningar eller utlämnande på ADB-upptagning skall uppgifter om inteckningar inte få behandlas eller lämnas ut. Uppgifter om personnummer skall få lämnas ut endast när det är fråga om aktualisering, komplettering eller kontroll av fastighetsanknuten information som finn</w:t>
      </w:r>
      <w:r w:rsidRPr="00CD43D5">
        <w:t>s i kund- eller medlemsregister eller liknande register. Uppgifter om personnummer, födelsetid, civilstånd, utmä</w:t>
      </w:r>
      <w:r w:rsidRPr="00CD43D5">
        <w:t>t</w:t>
      </w:r>
      <w:r w:rsidRPr="00CD43D5">
        <w:t>ning, konkurs eller standardpoäng skall inte få behandlas för direkt mar</w:t>
      </w:r>
      <w:r w:rsidRPr="00CD43D5">
        <w:t>k</w:t>
      </w:r>
      <w:r w:rsidRPr="00CD43D5">
        <w:t xml:space="preserve">nadsföring. Om det finns särskilda skäl, skall Lantmäteriverket i enskilda fall kunna medge undantag från de </w:t>
      </w:r>
      <w:r w:rsidRPr="00CD43D5">
        <w:rPr>
          <w:sz w:val="20"/>
        </w:rPr>
        <w:t>flesta av begränsningarna för användnin</w:t>
      </w:r>
      <w:r w:rsidRPr="00CD43D5">
        <w:rPr>
          <w:sz w:val="20"/>
        </w:rPr>
        <w:t>g</w:t>
      </w:r>
      <w:r w:rsidRPr="00CD43D5">
        <w:rPr>
          <w:sz w:val="20"/>
        </w:rPr>
        <w:t>en. (Avsnitt 7.7.1)</w:t>
      </w:r>
    </w:p>
    <w:p w:rsidR="00441AFC" w:rsidRPr="00CD43D5" w:rsidRDefault="00441AFC">
      <w:pPr>
        <w:pStyle w:val="Normaltindrag"/>
      </w:pPr>
      <w:r w:rsidRPr="00CD43D5">
        <w:t>Lantmäteriverket skall även i fortsättningen ha rätt att ta ut avgifter för a</w:t>
      </w:r>
      <w:r w:rsidRPr="00CD43D5">
        <w:t>n</w:t>
      </w:r>
      <w:r w:rsidRPr="00CD43D5">
        <w:t>vändningen av uppgifter från registret (försäljning av uppgifter). Vid pri</w:t>
      </w:r>
      <w:r w:rsidRPr="00CD43D5">
        <w:t>s</w:t>
      </w:r>
      <w:r w:rsidRPr="00CD43D5">
        <w:t xml:space="preserve">sättningen skall man liksom hittills beakta också kostnaderna för att samla in och </w:t>
      </w:r>
      <w:r w:rsidRPr="00CD43D5">
        <w:rPr>
          <w:sz w:val="20"/>
        </w:rPr>
        <w:t>registrera information och för att vidareutveckla registret. (Avsnitt 7.7.2 )</w:t>
      </w:r>
    </w:p>
    <w:p w:rsidR="00441AFC" w:rsidRPr="00CD43D5" w:rsidRDefault="00441AFC">
      <w:pPr>
        <w:pStyle w:val="Normaltindrag"/>
      </w:pPr>
      <w:r w:rsidRPr="00CD43D5">
        <w:t>Enligt regeringens bedömning bör det inte införas någon särskild reglering för utlämna</w:t>
      </w:r>
      <w:r w:rsidRPr="00CD43D5">
        <w:rPr>
          <w:sz w:val="20"/>
        </w:rPr>
        <w:t>nde av uppgifter från fastighetsregistret till utlandet. (Avsnitt 7.7.3)</w:t>
      </w:r>
    </w:p>
    <w:p w:rsidR="00441AFC" w:rsidRPr="00CD43D5" w:rsidRDefault="00441AFC">
      <w:pPr>
        <w:pStyle w:val="Rubrik3"/>
      </w:pPr>
      <w:bookmarkStart w:id="25" w:name="_Toc479046898"/>
      <w:r w:rsidRPr="00CD43D5">
        <w:t>Förslag i anledning av slutförandet av fastighetsdatareformen</w:t>
      </w:r>
      <w:bookmarkEnd w:id="25"/>
    </w:p>
    <w:p w:rsidR="00441AFC" w:rsidRPr="00CD43D5" w:rsidRDefault="00441AFC">
      <w:r w:rsidRPr="00CD43D5">
        <w:t xml:space="preserve">Regeringens förslag innebär bl.a. följande. </w:t>
      </w:r>
      <w:r w:rsidRPr="00CD43D5">
        <w:rPr>
          <w:sz w:val="20"/>
        </w:rPr>
        <w:t>De författningar som reglerar fastighetsböcker och tomträttsböcker och uppläggande av inskrivning</w:t>
      </w:r>
      <w:r w:rsidRPr="00CD43D5">
        <w:rPr>
          <w:sz w:val="20"/>
        </w:rPr>
        <w:t>s</w:t>
      </w:r>
      <w:r w:rsidRPr="00CD43D5">
        <w:rPr>
          <w:sz w:val="20"/>
        </w:rPr>
        <w:t>register upphävs. Jordabalkens bestämmelser om inskrivning ändras så att de behandlar inskrivning i inskrivningsdelen av det nya fastighetsr</w:t>
      </w:r>
      <w:r w:rsidRPr="00CD43D5">
        <w:rPr>
          <w:sz w:val="20"/>
        </w:rPr>
        <w:t>e</w:t>
      </w:r>
      <w:r w:rsidRPr="00CD43D5">
        <w:rPr>
          <w:sz w:val="20"/>
        </w:rPr>
        <w:t>gistret i stället för inskrivning i fastighetsbok och tomträttsbok. Bestä</w:t>
      </w:r>
      <w:r w:rsidRPr="00CD43D5">
        <w:rPr>
          <w:sz w:val="20"/>
        </w:rPr>
        <w:t>m</w:t>
      </w:r>
      <w:r w:rsidRPr="00CD43D5">
        <w:rPr>
          <w:sz w:val="20"/>
        </w:rPr>
        <w:t>melser i olika specialförfattningar om inskrivning eller anteckning i fa</w:t>
      </w:r>
      <w:r w:rsidRPr="00CD43D5">
        <w:rPr>
          <w:sz w:val="20"/>
        </w:rPr>
        <w:t>s</w:t>
      </w:r>
      <w:r w:rsidRPr="00CD43D5">
        <w:rPr>
          <w:sz w:val="20"/>
        </w:rPr>
        <w:t>tighetsbok eller tomträttsbok ändras så att de i stället behandlar inskri</w:t>
      </w:r>
      <w:r w:rsidRPr="00CD43D5">
        <w:rPr>
          <w:sz w:val="20"/>
        </w:rPr>
        <w:t>v</w:t>
      </w:r>
      <w:r w:rsidRPr="00CD43D5">
        <w:rPr>
          <w:sz w:val="20"/>
        </w:rPr>
        <w:t>ning eller anteckning i det nya fastighetsregistrets</w:t>
      </w:r>
      <w:r w:rsidRPr="00CD43D5">
        <w:rPr>
          <w:sz w:val="20"/>
        </w:rPr>
        <w:t xml:space="preserve"> inskrivningsdel. (A</w:t>
      </w:r>
      <w:r w:rsidRPr="00CD43D5">
        <w:rPr>
          <w:sz w:val="20"/>
        </w:rPr>
        <w:t>v</w:t>
      </w:r>
      <w:r w:rsidRPr="00CD43D5">
        <w:rPr>
          <w:sz w:val="20"/>
        </w:rPr>
        <w:t>snitt 8.1)</w:t>
      </w:r>
      <w:r w:rsidRPr="00CD43D5">
        <w:rPr>
          <w:b/>
          <w:sz w:val="20"/>
        </w:rPr>
        <w:t xml:space="preserve"> </w:t>
      </w:r>
    </w:p>
    <w:p w:rsidR="00441AFC" w:rsidRPr="00CD43D5" w:rsidRDefault="00441AFC">
      <w:pPr>
        <w:pStyle w:val="Normaltindrag"/>
      </w:pPr>
      <w:r w:rsidRPr="00CD43D5">
        <w:t>En övergångsbestämmelse i lagen om införande av fastighetsbildningsl</w:t>
      </w:r>
      <w:r w:rsidRPr="00CD43D5">
        <w:t>a</w:t>
      </w:r>
      <w:r w:rsidRPr="00CD43D5">
        <w:t xml:space="preserve">gen föreslås bli upphävd, eftersom bestämmelsen har förlorat sin betydelse i och med fastighetsdatareformens </w:t>
      </w:r>
      <w:r w:rsidRPr="00CD43D5">
        <w:rPr>
          <w:sz w:val="20"/>
        </w:rPr>
        <w:t>genomförande. (Avsnitt 8.2)</w:t>
      </w:r>
    </w:p>
    <w:p w:rsidR="00441AFC" w:rsidRPr="00CD43D5" w:rsidRDefault="00441AFC">
      <w:pPr>
        <w:pStyle w:val="Rubrik3"/>
      </w:pPr>
      <w:bookmarkStart w:id="26" w:name="_Toc479046899"/>
      <w:r w:rsidRPr="00CD43D5">
        <w:t>Inskrivningsförfarandet</w:t>
      </w:r>
      <w:bookmarkEnd w:id="26"/>
    </w:p>
    <w:p w:rsidR="00441AFC" w:rsidRPr="00CD43D5" w:rsidRDefault="00441AFC">
      <w:pPr>
        <w:rPr>
          <w:sz w:val="20"/>
        </w:rPr>
      </w:pPr>
      <w:r w:rsidRPr="00CD43D5">
        <w:t>Propositionens förslag innebär bl.a. följande. Reglerna i lagen om inskri</w:t>
      </w:r>
      <w:r w:rsidRPr="00CD43D5">
        <w:t>v</w:t>
      </w:r>
      <w:r w:rsidRPr="00CD43D5">
        <w:t>ningsregister arbetas in i 19 kap. jordabalken. Bestämmelserna om handläg</w:t>
      </w:r>
      <w:r w:rsidRPr="00CD43D5">
        <w:t>g</w:t>
      </w:r>
      <w:r w:rsidRPr="00CD43D5">
        <w:t>ningen av inskrivningsärenden anpassas till bestämmelserna i lagen (1996:242) om domstolsärenden (ärendelagen). Bland annat uppställs krav på att en ansökan i ett inskrivningsärende skall vara skriftlig.</w:t>
      </w:r>
      <w:r w:rsidRPr="00CD43D5">
        <w:rPr>
          <w:b/>
        </w:rPr>
        <w:t xml:space="preserve"> </w:t>
      </w:r>
      <w:r w:rsidRPr="00CD43D5">
        <w:rPr>
          <w:sz w:val="20"/>
        </w:rPr>
        <w:t>(Avsnitt 9.1)</w:t>
      </w:r>
    </w:p>
    <w:p w:rsidR="00441AFC" w:rsidRPr="00CD43D5" w:rsidRDefault="00441AFC">
      <w:pPr>
        <w:pStyle w:val="Normaltindrag"/>
      </w:pPr>
      <w:r w:rsidRPr="00CD43D5">
        <w:rPr>
          <w:sz w:val="20"/>
        </w:rPr>
        <w:t>Ett slutligt beslut i</w:t>
      </w:r>
      <w:r w:rsidRPr="00CD43D5">
        <w:t xml:space="preserve"> ett inskrivningsärende eller ett beslut att förklara en ansökan vilande skall överklagas inom tre veckor från det att en underrättelse eller ett bevis om beslutet hölls tillgängligt för sökanden, dock alltid senast fyra veckor från den inskrivningsdag då beslutet meddelades. I övrigt anpa</w:t>
      </w:r>
      <w:r w:rsidRPr="00CD43D5">
        <w:t>s</w:t>
      </w:r>
      <w:r w:rsidRPr="00CD43D5">
        <w:t>sas reglerna om överklagande av beslut i inskrivningsärenden till vad som gäller enligt ärendelagen</w:t>
      </w:r>
      <w:r w:rsidRPr="00CD43D5">
        <w:rPr>
          <w:sz w:val="20"/>
        </w:rPr>
        <w:t>. (Avsnitt 9.2 )</w:t>
      </w:r>
    </w:p>
    <w:p w:rsidR="00441AFC" w:rsidRPr="00CD43D5" w:rsidRDefault="00441AFC">
      <w:pPr>
        <w:pStyle w:val="Rubrik3"/>
      </w:pPr>
      <w:bookmarkStart w:id="27" w:name="_Toc479046900"/>
      <w:r w:rsidRPr="00CD43D5">
        <w:t>Rättelse och skadestånd</w:t>
      </w:r>
      <w:bookmarkEnd w:id="27"/>
    </w:p>
    <w:p w:rsidR="00441AFC" w:rsidRPr="00CD43D5" w:rsidRDefault="00441AFC">
      <w:r w:rsidRPr="00CD43D5">
        <w:rPr>
          <w:sz w:val="20"/>
        </w:rPr>
        <w:t>Regeringens förslag innebär att de särskilda fastighetsrättsliga reglerna om rättelse av registrerad uppgift skall finnas kvar. Rättelsereglerna skall vara exklusiva i förhållande till bestämmelsen om rättelse i personup</w:t>
      </w:r>
      <w:r w:rsidRPr="00CD43D5">
        <w:rPr>
          <w:sz w:val="20"/>
        </w:rPr>
        <w:t>p</w:t>
      </w:r>
      <w:r w:rsidRPr="00CD43D5">
        <w:rPr>
          <w:sz w:val="20"/>
        </w:rPr>
        <w:t>giftslagen. Också bestämmelserna om skadestånd på grund av tekniska fel i registret skall vara kvar. Jordabalkens bestämmelse om skadestånd till följd av fel vid handläggningen av inskrivningsärende tas bort, efte</w:t>
      </w:r>
      <w:r w:rsidRPr="00CD43D5">
        <w:rPr>
          <w:sz w:val="20"/>
        </w:rPr>
        <w:t>r</w:t>
      </w:r>
      <w:r w:rsidRPr="00CD43D5">
        <w:rPr>
          <w:sz w:val="20"/>
        </w:rPr>
        <w:t>som de skadefall som avses med bestämmelsen täcks av skadeståndsl</w:t>
      </w:r>
      <w:r w:rsidRPr="00CD43D5">
        <w:rPr>
          <w:sz w:val="20"/>
        </w:rPr>
        <w:t>a</w:t>
      </w:r>
      <w:r w:rsidRPr="00CD43D5">
        <w:rPr>
          <w:sz w:val="20"/>
        </w:rPr>
        <w:t>gens regler om det allmännas sk</w:t>
      </w:r>
      <w:r w:rsidRPr="00CD43D5">
        <w:rPr>
          <w:sz w:val="20"/>
        </w:rPr>
        <w:t>a</w:t>
      </w:r>
      <w:r w:rsidRPr="00CD43D5">
        <w:rPr>
          <w:sz w:val="20"/>
        </w:rPr>
        <w:t>deståndsansvar. (Avsnitt 10)</w:t>
      </w:r>
    </w:p>
    <w:p w:rsidR="00441AFC" w:rsidRPr="00CD43D5" w:rsidRDefault="00441AFC">
      <w:pPr>
        <w:pStyle w:val="Rubrik3"/>
      </w:pPr>
      <w:bookmarkStart w:id="28" w:name="_Toc479046901"/>
      <w:r w:rsidRPr="00CD43D5">
        <w:t>Vissa äldre rättsförhållanden</w:t>
      </w:r>
      <w:bookmarkEnd w:id="28"/>
    </w:p>
    <w:p w:rsidR="00441AFC" w:rsidRPr="00CD43D5" w:rsidRDefault="00441AFC">
      <w:r w:rsidRPr="00CD43D5">
        <w:rPr>
          <w:sz w:val="20"/>
        </w:rPr>
        <w:t>Bestämmelserna om att föra kronans jordebok och lotsjordeboken för</w:t>
      </w:r>
      <w:r w:rsidRPr="00CD43D5">
        <w:rPr>
          <w:sz w:val="20"/>
        </w:rPr>
        <w:t>e</w:t>
      </w:r>
      <w:r w:rsidRPr="00CD43D5">
        <w:rPr>
          <w:sz w:val="20"/>
        </w:rPr>
        <w:t>slås bli upphävda. Vissa föråldrade författningar om avlösning av räntor och a</w:t>
      </w:r>
      <w:r w:rsidRPr="00CD43D5">
        <w:rPr>
          <w:sz w:val="20"/>
        </w:rPr>
        <w:t>v</w:t>
      </w:r>
      <w:r w:rsidRPr="00CD43D5">
        <w:rPr>
          <w:sz w:val="20"/>
        </w:rPr>
        <w:t>gälder m.m. föreslås också bli upphävda. (Avsnitt 11)</w:t>
      </w:r>
    </w:p>
    <w:p w:rsidR="00441AFC" w:rsidRPr="00CD43D5" w:rsidRDefault="00441AFC">
      <w:pPr>
        <w:pStyle w:val="Rubrik3"/>
      </w:pPr>
      <w:bookmarkStart w:id="29" w:name="_Toc479046902"/>
      <w:r w:rsidRPr="00CD43D5">
        <w:t>Häradsallmänningar och allmänningsskogar i Norrland och Dalarna</w:t>
      </w:r>
      <w:bookmarkEnd w:id="29"/>
    </w:p>
    <w:p w:rsidR="00441AFC" w:rsidRPr="00CD43D5" w:rsidRDefault="00441AFC">
      <w:r w:rsidRPr="00CD43D5">
        <w:rPr>
          <w:sz w:val="20"/>
        </w:rPr>
        <w:t>Bestämmelserna i lagen (1952:166) om häradsallmänningar och lagen (1952:167) om allmänningsskogar i Norrland och Dalarna rörande infö</w:t>
      </w:r>
      <w:r w:rsidRPr="00CD43D5">
        <w:rPr>
          <w:sz w:val="20"/>
        </w:rPr>
        <w:t>r</w:t>
      </w:r>
      <w:r w:rsidRPr="00CD43D5">
        <w:rPr>
          <w:sz w:val="20"/>
        </w:rPr>
        <w:t>livning av mark skall enligt propositionens förslag upphävas. Vidare skall kravet på regeringens godkännande av markavyttring tas bort. En möjlighet för delägarna att förvärva mark för annat angeläget ändamål skall införas. Vidare skall det av lagen om häradsallmänningar framgå att det är länsstyrelsen i det län där allmänningens styrelse har sitt säte som skall handlägga frågor enligt lagen. (Avsnitt 12.2)</w:t>
      </w:r>
    </w:p>
    <w:p w:rsidR="00441AFC" w:rsidRPr="00CD43D5" w:rsidRDefault="00441AFC">
      <w:pPr>
        <w:pStyle w:val="Rubrik3"/>
      </w:pPr>
      <w:bookmarkStart w:id="30" w:name="_Toc479046903"/>
      <w:r w:rsidRPr="00CD43D5">
        <w:t>Kostnader och ikraftträdande</w:t>
      </w:r>
      <w:bookmarkEnd w:id="30"/>
    </w:p>
    <w:p w:rsidR="00441AFC" w:rsidRPr="00CD43D5" w:rsidRDefault="00441AFC">
      <w:r w:rsidRPr="00CD43D5">
        <w:t>Regeringen bedömer att den föreslagna regleringen av fastighetsdatasystemet i allt väsentligt inte torde innebära några ändringar i kostnadshänseende för Lantmäteriverket, Domstolsverket eller de myndigheter som skall föra in uppgifter i fastighetsregistret. Vissa begränsade kostnader av engångskara</w:t>
      </w:r>
      <w:r w:rsidRPr="00CD43D5">
        <w:t>k</w:t>
      </w:r>
      <w:r w:rsidRPr="00CD43D5">
        <w:t>tär uppstår dock till följd av reformen, t.ex. för ändringar av dataprogram. Om dessa kostnader inte ryms inom ramen för myndigheternas anslag, får de enligt regeringens mening täckas genom avgifter för nyttjandet av registret. Förslaget innebär vidare att Lantmäteriverket skall vara ensamt personup</w:t>
      </w:r>
      <w:r w:rsidRPr="00CD43D5">
        <w:t>p</w:t>
      </w:r>
      <w:r w:rsidRPr="00CD43D5">
        <w:t xml:space="preserve">giftsansvarigt. En följd av detta blir bl.a. att staten i något större utsträckning än i dag kan bli skadeståndsskyldig när det gäller fel i fastighetsregistret. Det är emellertid inte fråga om någon betydande </w:t>
      </w:r>
      <w:r w:rsidRPr="00CD43D5">
        <w:t>utvidgning av statens skad</w:t>
      </w:r>
      <w:r w:rsidRPr="00CD43D5">
        <w:t>e</w:t>
      </w:r>
      <w:r w:rsidRPr="00CD43D5">
        <w:t>ståndsansvar. Övriga lagförslag torde inte ha några kostnadskonsekvenser. (Avsnitt 13)</w:t>
      </w:r>
    </w:p>
    <w:p w:rsidR="00441AFC" w:rsidRPr="00CD43D5" w:rsidRDefault="00441AFC">
      <w:pPr>
        <w:pStyle w:val="Normaltindrag"/>
        <w:rPr>
          <w:i/>
        </w:rPr>
      </w:pPr>
      <w:r w:rsidRPr="00CD43D5">
        <w:t>Ikraftträdandet av regeringens lagförslag föreslås äga rum den 1 juli 2000</w:t>
      </w:r>
      <w:r w:rsidRPr="00CD43D5">
        <w:rPr>
          <w:sz w:val="20"/>
        </w:rPr>
        <w:t>. (Avsnitt 13)</w:t>
      </w:r>
    </w:p>
    <w:p w:rsidR="00441AFC" w:rsidRPr="00CD43D5" w:rsidRDefault="00441AFC">
      <w:pPr>
        <w:pStyle w:val="Rubrik2"/>
      </w:pPr>
      <w:bookmarkStart w:id="31" w:name="_Toc479046904"/>
      <w:r w:rsidRPr="00CD43D5">
        <w:t>Utskottets ställningstagande</w:t>
      </w:r>
      <w:bookmarkEnd w:id="31"/>
    </w:p>
    <w:p w:rsidR="00441AFC" w:rsidRPr="00CD43D5" w:rsidRDefault="00441AFC">
      <w:r w:rsidRPr="00CD43D5">
        <w:t xml:space="preserve">Utskottet anser att den nya författningsregleringen som gäller registrering av fastigheter bör genomföras liksom propositionens övriga förslag. </w:t>
      </w:r>
    </w:p>
    <w:p w:rsidR="00441AFC" w:rsidRPr="00CD43D5" w:rsidRDefault="00441AFC">
      <w:pPr>
        <w:pStyle w:val="Normaltindrag"/>
      </w:pPr>
      <w:r w:rsidRPr="00CD43D5">
        <w:t>En del av de lagändringar regeringen föreslagit innebär att ordet ”fastighetsregistret” skall bytas ut mot ”fastighetsregistrets allmänna del” samt att orden ”fastighetsboken” och ”inskrivningsregistret” skall bytas ut mot ”fastighetsregistrets inskrivningsdel”.</w:t>
      </w:r>
    </w:p>
    <w:p w:rsidR="00441AFC" w:rsidRPr="00CD43D5" w:rsidRDefault="00441AFC">
      <w:pPr>
        <w:pStyle w:val="Normaltindrag"/>
      </w:pPr>
      <w:r w:rsidRPr="00CD43D5">
        <w:t>Vad gäller regeringens förslag till ändring i lagen (1927:85) om dödande av förkommen handling vill utskottet anföra följande. I 10 och 13 §§ finns nu bestämmelser om anteckning i ”inskrivningsboken eller inskrivningsregis</w:t>
      </w:r>
      <w:r w:rsidRPr="00CD43D5">
        <w:t>t</w:t>
      </w:r>
      <w:r w:rsidRPr="00CD43D5">
        <w:t>ret”. Regeringen har i fråga om 10 § föreslagit – förutom rent redaktionella ändringar – att i stället för inskrivningsregistret skall anges dels företagsi</w:t>
      </w:r>
      <w:r w:rsidRPr="00CD43D5">
        <w:t>n</w:t>
      </w:r>
      <w:r w:rsidRPr="00CD43D5">
        <w:t>teckningsregistret, dels fastighetsregistrets inskrivningsdel. I propositionen avseende den nuvarande lydelsen av de båda paragraferna angavs att under beteckningen inskrivningsregister kommer att falla företagsinteckningsregis</w:t>
      </w:r>
      <w:r w:rsidRPr="00CD43D5">
        <w:t>t</w:t>
      </w:r>
      <w:r w:rsidRPr="00CD43D5">
        <w:t>ret, skepps- och skeppsbyggnadsregistren och fastighetsrättsliga register som avses i lagen om inskrivningsregister (prop. 1983</w:t>
      </w:r>
      <w:r w:rsidRPr="00CD43D5">
        <w:t>/84:128). (Se också 9 § lagen [1985:277] om vissa bulvanförhållanden och prop. 1984/85:111.) Eftersom det i 10 § lagen om dödande av förkommen handling använda ordet ”inskrivningsregistret” har den nu angivna vidare betydelsen anser utskottet att lagrummet inte bör ändras på det sätt regeringen föreslagit. Fastighetsr</w:t>
      </w:r>
      <w:r w:rsidRPr="00CD43D5">
        <w:t>e</w:t>
      </w:r>
      <w:r w:rsidRPr="00CD43D5">
        <w:t>gistrets inskrivningsdel kan utan vidare inordnas under begreppet inskri</w:t>
      </w:r>
      <w:r w:rsidRPr="00CD43D5">
        <w:t>v</w:t>
      </w:r>
      <w:r w:rsidRPr="00CD43D5">
        <w:t>ningsregister såsom det används i 10 §. Utskottet föreslår därför att paragr</w:t>
      </w:r>
      <w:r w:rsidRPr="00CD43D5">
        <w:t>a</w:t>
      </w:r>
      <w:r w:rsidRPr="00CD43D5">
        <w:t>fen skall ha kvar sin nuvarande lydelse. P</w:t>
      </w:r>
      <w:r w:rsidRPr="00CD43D5">
        <w:t>ropositionens förslag i denna del bör alltså avslås av rik</w:t>
      </w:r>
      <w:r w:rsidRPr="00CD43D5">
        <w:t>s</w:t>
      </w:r>
      <w:r w:rsidRPr="00CD43D5">
        <w:t xml:space="preserve">dagen. </w:t>
      </w:r>
    </w:p>
    <w:p w:rsidR="00441AFC" w:rsidRPr="00CD43D5" w:rsidRDefault="00441AFC">
      <w:pPr>
        <w:pStyle w:val="Normaltindrag"/>
      </w:pPr>
      <w:r w:rsidRPr="00CD43D5">
        <w:t>Utskottet anser att de ordbyten regeringen i övrigt föreslagit bör genomf</w:t>
      </w:r>
      <w:r w:rsidRPr="00CD43D5">
        <w:t>ö</w:t>
      </w:r>
      <w:r w:rsidRPr="00CD43D5">
        <w:t>ras. Enligt utskottets mening bör motsvarande byten också göras i 12 kap. 16 § jordabalken, 5 kap. 30 och 31 §§ samt 15 kap. 6 § fastighetsbildningsl</w:t>
      </w:r>
      <w:r w:rsidRPr="00CD43D5">
        <w:t>a</w:t>
      </w:r>
      <w:r w:rsidRPr="00CD43D5">
        <w:t>gen (1970:988), 6 § lagen (1970:991) om ändring i kommunal och ecklesia</w:t>
      </w:r>
      <w:r w:rsidRPr="00CD43D5">
        <w:t>s</w:t>
      </w:r>
      <w:r w:rsidRPr="00CD43D5">
        <w:t>tik indelning i samband med fastighetsbildning</w:t>
      </w:r>
      <w:r w:rsidRPr="00CD43D5">
        <w:rPr>
          <w:b/>
        </w:rPr>
        <w:t>,</w:t>
      </w:r>
      <w:r w:rsidRPr="00CD43D5">
        <w:t xml:space="preserve"> 24 a och 45 §§ anläggnin</w:t>
      </w:r>
      <w:r w:rsidRPr="00CD43D5">
        <w:t>g</w:t>
      </w:r>
      <w:r w:rsidRPr="00CD43D5">
        <w:t>slagen (1973:1149) samt 3, 4 och 18 §§ lagen (1994:448) om pantbrevsr</w:t>
      </w:r>
      <w:r w:rsidRPr="00CD43D5">
        <w:t>e</w:t>
      </w:r>
      <w:r w:rsidRPr="00CD43D5">
        <w:t>gister.</w:t>
      </w:r>
    </w:p>
    <w:p w:rsidR="00441AFC" w:rsidRPr="00CD43D5" w:rsidRDefault="00441AFC">
      <w:pPr>
        <w:pStyle w:val="Normaltindrag"/>
      </w:pPr>
      <w:r w:rsidRPr="00CD43D5">
        <w:t>Enligt regeringens förslag till lag om ändring i lagen (1995:1537) om l</w:t>
      </w:r>
      <w:r w:rsidRPr="00CD43D5">
        <w:t>ä</w:t>
      </w:r>
      <w:r w:rsidRPr="00CD43D5">
        <w:t>genhetsregister skall orden ”fastighetsdatasystemet vid Lantmäteriverket” ersättas av ”fastighetsregistret”. Utskottet föreslår att i 7 d § postlagen (1993:1684) ordet ”fastighetsdatasystemet” byts ut mot ”fastighetsregistret”.</w:t>
      </w:r>
    </w:p>
    <w:p w:rsidR="00441AFC" w:rsidRPr="00CD43D5" w:rsidRDefault="00441AFC">
      <w:pPr>
        <w:pStyle w:val="Normaltindrag"/>
      </w:pPr>
      <w:r w:rsidRPr="00CD43D5">
        <w:t>Det finns enligt utskottets mening ett behov av att de nu föreslagna til</w:t>
      </w:r>
      <w:r w:rsidRPr="00CD43D5">
        <w:t>l</w:t>
      </w:r>
      <w:r w:rsidRPr="00CD43D5">
        <w:t>kommande lagändringarna kompletteras med en genomgång av om ytterlig</w:t>
      </w:r>
      <w:r w:rsidRPr="00CD43D5">
        <w:t>a</w:t>
      </w:r>
      <w:r w:rsidRPr="00CD43D5">
        <w:t>re konsekvensenliga lagändringar bör göras. En särskild och ibland svårlöst fråga som behöver särskild uppmärksamhet gäller vissa av de äldre fasti</w:t>
      </w:r>
      <w:r w:rsidRPr="00CD43D5">
        <w:t>g</w:t>
      </w:r>
      <w:r w:rsidRPr="00CD43D5">
        <w:t>hetsrättsliga bestämmelserna. Utskottet anser sig kunna utgå ifrån att reg</w:t>
      </w:r>
      <w:r w:rsidRPr="00CD43D5">
        <w:t>e</w:t>
      </w:r>
      <w:r w:rsidRPr="00CD43D5">
        <w:t>ringen ägnar frågan om behovet av ytterligare lagändringar erforderlig up</w:t>
      </w:r>
      <w:r w:rsidRPr="00CD43D5">
        <w:t>p</w:t>
      </w:r>
      <w:r w:rsidRPr="00CD43D5">
        <w:t>märksa</w:t>
      </w:r>
      <w:r w:rsidRPr="00CD43D5">
        <w:t>m</w:t>
      </w:r>
      <w:r w:rsidRPr="00CD43D5">
        <w:t>het.</w:t>
      </w:r>
    </w:p>
    <w:p w:rsidR="00441AFC" w:rsidRPr="00CD43D5" w:rsidRDefault="00441AFC">
      <w:pPr>
        <w:pStyle w:val="Normaltindrag"/>
      </w:pPr>
      <w:r w:rsidRPr="00CD43D5">
        <w:t>Som inledningsvis nämnts omfattar utskottets beredning inte propositi</w:t>
      </w:r>
      <w:r w:rsidRPr="00CD43D5">
        <w:t>o</w:t>
      </w:r>
      <w:r w:rsidRPr="00CD43D5">
        <w:t xml:space="preserve">nens förslag till lag om ändring i lagen (1988:950) om kulturminnen m.m. </w:t>
      </w:r>
    </w:p>
    <w:p w:rsidR="00441AFC" w:rsidRPr="00CD43D5" w:rsidRDefault="00441AFC">
      <w:pPr>
        <w:pStyle w:val="Normaltindrag"/>
      </w:pPr>
      <w:r w:rsidRPr="00CD43D5">
        <w:t>Enligt utskottets mening bör regeringens av utskottet behandlade lagfö</w:t>
      </w:r>
      <w:r w:rsidRPr="00CD43D5">
        <w:t>r</w:t>
      </w:r>
      <w:r w:rsidRPr="00CD43D5">
        <w:t xml:space="preserve">slag i fråga om </w:t>
      </w:r>
      <w:r w:rsidRPr="00CD43D5">
        <w:rPr>
          <w:i/>
        </w:rPr>
        <w:t>registrering av fastighetsrättsliga förhållanden, m.m.</w:t>
      </w:r>
      <w:r w:rsidRPr="00CD43D5">
        <w:t xml:space="preserve"> geno</w:t>
      </w:r>
      <w:r w:rsidRPr="00CD43D5">
        <w:t>m</w:t>
      </w:r>
      <w:r w:rsidRPr="00CD43D5">
        <w:t>föras förutom det som gäller lagen (1927:85) om dödande av förkommen handling. Utskottet tillstyrker således de övriga lagförslag som finns intagna i propositionen och som fogats till detta betänkande som bilaga 1 med de ändringar som framgår av utskottets he</w:t>
      </w:r>
      <w:r w:rsidRPr="00CD43D5">
        <w:t>m</w:t>
      </w:r>
      <w:r w:rsidRPr="00CD43D5">
        <w:t>ställan.</w:t>
      </w:r>
    </w:p>
    <w:p w:rsidR="00441AFC" w:rsidRPr="00CD43D5" w:rsidRDefault="00441AFC">
      <w:pPr>
        <w:pStyle w:val="Normaltindrag"/>
      </w:pPr>
      <w:r w:rsidRPr="00CD43D5">
        <w:t>Utskottet avstyrker propositionens förslag avseende</w:t>
      </w:r>
      <w:r w:rsidRPr="00CD43D5">
        <w:rPr>
          <w:i/>
        </w:rPr>
        <w:t xml:space="preserve"> lagen (1927:85) om dödande av förkommen han</w:t>
      </w:r>
      <w:r w:rsidRPr="00CD43D5">
        <w:rPr>
          <w:i/>
        </w:rPr>
        <w:t>d</w:t>
      </w:r>
      <w:r w:rsidRPr="00CD43D5">
        <w:rPr>
          <w:i/>
        </w:rPr>
        <w:t>ling.</w:t>
      </w:r>
    </w:p>
    <w:p w:rsidR="00441AFC" w:rsidRPr="00CD43D5" w:rsidRDefault="00441AFC">
      <w:pPr>
        <w:pStyle w:val="Normaltindrag"/>
      </w:pPr>
      <w:r w:rsidRPr="00CD43D5">
        <w:t xml:space="preserve">I fråga om de </w:t>
      </w:r>
      <w:r w:rsidRPr="00CD43D5">
        <w:rPr>
          <w:i/>
        </w:rPr>
        <w:t>ytterligare lagändringar</w:t>
      </w:r>
      <w:r w:rsidRPr="00CD43D5">
        <w:t xml:space="preserve"> utskottet anser skall genomföras bör riksdagen anta som bilaga 2 till detta betänkande fogade, och som u</w:t>
      </w:r>
      <w:r w:rsidRPr="00CD43D5">
        <w:t>t</w:t>
      </w:r>
      <w:r w:rsidRPr="00CD43D5">
        <w:t>skottets betecknade, lagförslag.</w:t>
      </w:r>
    </w:p>
    <w:p w:rsidR="00441AFC" w:rsidRPr="00CD43D5" w:rsidRDefault="00441AFC">
      <w:pPr>
        <w:pStyle w:val="Normaltindrag"/>
      </w:pPr>
    </w:p>
    <w:p w:rsidR="00441AFC" w:rsidRPr="00CD43D5" w:rsidRDefault="00441AFC">
      <w:pPr>
        <w:pStyle w:val="Rubrik2"/>
      </w:pPr>
      <w:bookmarkStart w:id="32" w:name="_Toc479046905"/>
      <w:r w:rsidRPr="00CD43D5">
        <w:t>Hemställan</w:t>
      </w:r>
      <w:bookmarkEnd w:id="32"/>
    </w:p>
    <w:p w:rsidR="00441AFC" w:rsidRPr="00CD43D5" w:rsidRDefault="00441AFC">
      <w:r w:rsidRPr="00CD43D5">
        <w:t>Utskottet hemställer</w:t>
      </w:r>
    </w:p>
    <w:p w:rsidR="00441AFC" w:rsidRPr="00CD43D5" w:rsidRDefault="00441AFC">
      <w:pPr>
        <w:pStyle w:val="hembetr"/>
      </w:pPr>
      <w:r w:rsidRPr="00CD43D5">
        <w:t xml:space="preserve">1. beträffande </w:t>
      </w:r>
      <w:r w:rsidRPr="00CD43D5">
        <w:rPr>
          <w:i/>
        </w:rPr>
        <w:t>registrering av fastighetsrättsliga förhållanden, m.m.</w:t>
      </w:r>
    </w:p>
    <w:p w:rsidR="00441AFC" w:rsidRPr="00CD43D5" w:rsidRDefault="00441AFC">
      <w:pPr>
        <w:pStyle w:val="hemtext"/>
      </w:pPr>
      <w:r w:rsidRPr="00CD43D5">
        <w:t>att riksdagen med bifall till proposition 1999/2000:39 i motsvarande delar antar de i propositionen intagna och som bilaga 1 till detta b</w:t>
      </w:r>
      <w:r w:rsidRPr="00CD43D5">
        <w:t>e</w:t>
      </w:r>
      <w:r w:rsidRPr="00CD43D5">
        <w:t>tänkande fogade fö</w:t>
      </w:r>
      <w:r w:rsidRPr="00CD43D5">
        <w:t>r</w:t>
      </w:r>
      <w:r w:rsidRPr="00CD43D5">
        <w:t>slagen till</w:t>
      </w:r>
    </w:p>
    <w:p w:rsidR="00441AFC" w:rsidRPr="00CD43D5" w:rsidRDefault="00441AFC">
      <w:pPr>
        <w:pStyle w:val="hemtext"/>
      </w:pPr>
      <w:r w:rsidRPr="00CD43D5">
        <w:t xml:space="preserve">a. lag om fastighetsregister, </w:t>
      </w:r>
    </w:p>
    <w:p w:rsidR="00441AFC" w:rsidRPr="00CD43D5" w:rsidRDefault="00441AFC">
      <w:pPr>
        <w:pStyle w:val="hemtext"/>
      </w:pPr>
      <w:r w:rsidRPr="00CD43D5">
        <w:t xml:space="preserve">b. lag om upphävande av vissa lagar på fastighetsrättens område, </w:t>
      </w:r>
    </w:p>
    <w:p w:rsidR="00441AFC" w:rsidRPr="00CD43D5" w:rsidRDefault="00441AFC">
      <w:pPr>
        <w:pStyle w:val="hemtext"/>
        <w:rPr>
          <w:b/>
        </w:rPr>
      </w:pPr>
      <w:r w:rsidRPr="00CD43D5">
        <w:t>c. lag om ändring i jordabalken med de ändringarna att i 12 kap. 16 § ordet ”fastighetsboken” skall bytas ut mot ”fastighetsregistrets i</w:t>
      </w:r>
      <w:r w:rsidRPr="00CD43D5">
        <w:t>n</w:t>
      </w:r>
      <w:r w:rsidRPr="00CD43D5">
        <w:t>skrivningsdel” och att i 19 kap. 30 § första stycket efter ”sägs i 29 § första stycket” skall tilläggas ”7”,</w:t>
      </w:r>
      <w:r w:rsidRPr="00CD43D5">
        <w:rPr>
          <w:b/>
        </w:rPr>
        <w:t xml:space="preserve"> </w:t>
      </w:r>
    </w:p>
    <w:p w:rsidR="00441AFC" w:rsidRPr="00CD43D5" w:rsidRDefault="00441AFC">
      <w:pPr>
        <w:pStyle w:val="hemtext"/>
      </w:pPr>
      <w:r w:rsidRPr="00CD43D5">
        <w:t>d. lag om ändring i lagen (1970:995) om införande av nya jordaba</w:t>
      </w:r>
      <w:r w:rsidRPr="00CD43D5">
        <w:t>l</w:t>
      </w:r>
      <w:r w:rsidRPr="00CD43D5">
        <w:t xml:space="preserve">ken, </w:t>
      </w:r>
    </w:p>
    <w:p w:rsidR="00441AFC" w:rsidRPr="00CD43D5" w:rsidRDefault="00441AFC">
      <w:pPr>
        <w:pStyle w:val="hemtext"/>
      </w:pPr>
      <w:r w:rsidRPr="00CD43D5">
        <w:t xml:space="preserve">e. lag om ändring i miljöbalken, </w:t>
      </w:r>
    </w:p>
    <w:p w:rsidR="00441AFC" w:rsidRPr="00CD43D5" w:rsidRDefault="00441AFC">
      <w:pPr>
        <w:pStyle w:val="hemtext"/>
      </w:pPr>
      <w:r w:rsidRPr="00CD43D5">
        <w:t xml:space="preserve">f. lag om ändring i lagen (1927:79) om rätt för borgenär till betalning ur ersättning på grund av brandförsäkringsavtal, </w:t>
      </w:r>
    </w:p>
    <w:p w:rsidR="00441AFC" w:rsidRPr="00CD43D5" w:rsidRDefault="00441AFC">
      <w:pPr>
        <w:pStyle w:val="hemtext"/>
      </w:pPr>
      <w:r w:rsidRPr="00CD43D5">
        <w:t xml:space="preserve">g. lag om ändring i lagen (1952:166) om häradsallmänningar, </w:t>
      </w:r>
    </w:p>
    <w:p w:rsidR="00441AFC" w:rsidRPr="00CD43D5" w:rsidRDefault="00441AFC">
      <w:pPr>
        <w:pStyle w:val="hemtext"/>
      </w:pPr>
      <w:r w:rsidRPr="00CD43D5">
        <w:t>h. lag om ändring i lagen (1952:167) om allmänningsskogar i Nor</w:t>
      </w:r>
      <w:r w:rsidRPr="00CD43D5">
        <w:t>r</w:t>
      </w:r>
      <w:r w:rsidRPr="00CD43D5">
        <w:t xml:space="preserve">land och Dalarna, </w:t>
      </w:r>
    </w:p>
    <w:p w:rsidR="00441AFC" w:rsidRPr="00CD43D5" w:rsidRDefault="00441AFC">
      <w:pPr>
        <w:pStyle w:val="hemtext"/>
      </w:pPr>
      <w:r w:rsidRPr="00CD43D5">
        <w:t xml:space="preserve">i. lag om ändring i förköpslagen (1967:868), </w:t>
      </w:r>
    </w:p>
    <w:p w:rsidR="00441AFC" w:rsidRPr="00CD43D5" w:rsidRDefault="00441AFC">
      <w:pPr>
        <w:pStyle w:val="hemtext"/>
      </w:pPr>
      <w:r w:rsidRPr="00CD43D5">
        <w:t>j. lag om ändring i fastighetsbildningslagen (1970:988) med de än</w:t>
      </w:r>
      <w:r w:rsidRPr="00CD43D5">
        <w:t>d</w:t>
      </w:r>
      <w:r w:rsidRPr="00CD43D5">
        <w:t xml:space="preserve">ringarna att i 5 kap. 30 och 31 §§ samt i 15 kap. 6 § ordet ”fastighetsregistret” skall bytas ut mot ”fastighetsregistrets allmänna del”, </w:t>
      </w:r>
    </w:p>
    <w:p w:rsidR="00441AFC" w:rsidRPr="00CD43D5" w:rsidRDefault="00441AFC">
      <w:pPr>
        <w:pStyle w:val="hemtext"/>
      </w:pPr>
      <w:r w:rsidRPr="00CD43D5">
        <w:t>k. lag om ändring i lagen (1970:989) om införande av fastighetsbil</w:t>
      </w:r>
      <w:r w:rsidRPr="00CD43D5">
        <w:t>d</w:t>
      </w:r>
      <w:r w:rsidRPr="00CD43D5">
        <w:t xml:space="preserve">ningslagen, </w:t>
      </w:r>
    </w:p>
    <w:p w:rsidR="00441AFC" w:rsidRPr="00CD43D5" w:rsidRDefault="00441AFC">
      <w:pPr>
        <w:pStyle w:val="hemtext"/>
      </w:pPr>
      <w:r w:rsidRPr="00CD43D5">
        <w:t xml:space="preserve">l. lag om ändring i lagen (1970:990) om förmånsrätt för fordran på grund av fastighetsbildning, </w:t>
      </w:r>
    </w:p>
    <w:p w:rsidR="00441AFC" w:rsidRPr="00CD43D5" w:rsidRDefault="00441AFC">
      <w:pPr>
        <w:pStyle w:val="hemtext"/>
      </w:pPr>
      <w:r w:rsidRPr="00CD43D5">
        <w:t>m. lag om ändring i lagen (1971:1037) om äganderättsutredning och legalisering,</w:t>
      </w:r>
    </w:p>
    <w:p w:rsidR="00441AFC" w:rsidRPr="00CD43D5" w:rsidRDefault="00441AFC">
      <w:pPr>
        <w:pStyle w:val="hemtext"/>
      </w:pPr>
      <w:r w:rsidRPr="00CD43D5">
        <w:t xml:space="preserve">n. lag om ändring i expropriationslagen (1972:719), </w:t>
      </w:r>
    </w:p>
    <w:p w:rsidR="00441AFC" w:rsidRPr="00CD43D5" w:rsidRDefault="00441AFC">
      <w:pPr>
        <w:pStyle w:val="hemtext"/>
      </w:pPr>
      <w:r w:rsidRPr="00CD43D5">
        <w:t xml:space="preserve">o. lag om ändring i ledningsrättslagen (1973:1144), </w:t>
      </w:r>
    </w:p>
    <w:p w:rsidR="00441AFC" w:rsidRPr="00CD43D5" w:rsidRDefault="00441AFC">
      <w:pPr>
        <w:pStyle w:val="hemtext"/>
      </w:pPr>
      <w:r w:rsidRPr="00CD43D5">
        <w:t xml:space="preserve">p. lag om ändring i anläggningslagen (1973:1149) med de ändringarna att i 24 a och 45 §§ ordet ”fastighetsregistret” skall bytas ut mot ”fastighetsregistrets allmänna del”, </w:t>
      </w:r>
    </w:p>
    <w:p w:rsidR="00441AFC" w:rsidRPr="00CD43D5" w:rsidRDefault="00441AFC">
      <w:pPr>
        <w:pStyle w:val="hemtext"/>
      </w:pPr>
      <w:r w:rsidRPr="00CD43D5">
        <w:t xml:space="preserve">q. lag om ändring i lagen (1975:1132) om förvärv av hyresfastighet m.m., </w:t>
      </w:r>
    </w:p>
    <w:p w:rsidR="00441AFC" w:rsidRPr="00CD43D5" w:rsidRDefault="00441AFC">
      <w:pPr>
        <w:pStyle w:val="hemtext"/>
      </w:pPr>
      <w:r w:rsidRPr="00CD43D5">
        <w:t xml:space="preserve">r. lag om ändring i bostadsförvaltningslagen (1977:792), </w:t>
      </w:r>
    </w:p>
    <w:p w:rsidR="00441AFC" w:rsidRPr="00CD43D5" w:rsidRDefault="00441AFC">
      <w:pPr>
        <w:pStyle w:val="hemtext"/>
      </w:pPr>
      <w:r w:rsidRPr="00CD43D5">
        <w:t xml:space="preserve">s. lag om ändring i jordförvärvslagen (1979:230), </w:t>
      </w:r>
    </w:p>
    <w:p w:rsidR="00441AFC" w:rsidRPr="00CD43D5" w:rsidRDefault="00441AFC">
      <w:pPr>
        <w:pStyle w:val="hemtext"/>
      </w:pPr>
      <w:r w:rsidRPr="00CD43D5">
        <w:t xml:space="preserve">t. lag om ändring i fastighetstaxeringslagen (1979:1152), </w:t>
      </w:r>
    </w:p>
    <w:p w:rsidR="00441AFC" w:rsidRPr="00CD43D5" w:rsidRDefault="00441AFC">
      <w:pPr>
        <w:pStyle w:val="hemtext"/>
      </w:pPr>
      <w:r w:rsidRPr="00CD43D5">
        <w:t>u. lag om ändring i lagen (1982:352) om rätt till fastighetsförvärv för o</w:t>
      </w:r>
      <w:r w:rsidRPr="00CD43D5">
        <w:t>m</w:t>
      </w:r>
      <w:r w:rsidRPr="00CD43D5">
        <w:t xml:space="preserve">bildning till bostadsrätt, </w:t>
      </w:r>
    </w:p>
    <w:p w:rsidR="00441AFC" w:rsidRPr="00CD43D5" w:rsidRDefault="00441AFC">
      <w:pPr>
        <w:pStyle w:val="hemtext"/>
      </w:pPr>
      <w:r w:rsidRPr="00CD43D5">
        <w:t>v. lag om ändring i lagen (1984:404) om stämpelskatt vid inskriv-</w:t>
      </w:r>
      <w:r w:rsidRPr="00CD43D5">
        <w:br/>
        <w:t>nin</w:t>
      </w:r>
      <w:r w:rsidRPr="00CD43D5">
        <w:t>g</w:t>
      </w:r>
      <w:r w:rsidRPr="00CD43D5">
        <w:t xml:space="preserve">smyndigheter, </w:t>
      </w:r>
    </w:p>
    <w:p w:rsidR="00441AFC" w:rsidRPr="00CD43D5" w:rsidRDefault="00441AFC">
      <w:pPr>
        <w:pStyle w:val="hemtext"/>
      </w:pPr>
      <w:r w:rsidRPr="00CD43D5">
        <w:t xml:space="preserve">x. lag om ändring i lagen (1985:658) om arrendatorers rätt att förvärva arrendestället, </w:t>
      </w:r>
    </w:p>
    <w:p w:rsidR="00441AFC" w:rsidRPr="00CD43D5" w:rsidRDefault="00441AFC">
      <w:pPr>
        <w:pStyle w:val="hemtext"/>
      </w:pPr>
      <w:r w:rsidRPr="00CD43D5">
        <w:t xml:space="preserve">y. lag om ändring i plan- och bygglagen (1987:10), </w:t>
      </w:r>
    </w:p>
    <w:p w:rsidR="00441AFC" w:rsidRPr="00CD43D5" w:rsidRDefault="00441AFC">
      <w:pPr>
        <w:pStyle w:val="hemtext"/>
      </w:pPr>
      <w:r w:rsidRPr="00CD43D5">
        <w:t xml:space="preserve">z. lag om ändring i lagen (1987:11) om exploateringssamverkan, </w:t>
      </w:r>
    </w:p>
    <w:p w:rsidR="00441AFC" w:rsidRPr="00CD43D5" w:rsidRDefault="00441AFC">
      <w:pPr>
        <w:pStyle w:val="hemtext"/>
      </w:pPr>
      <w:r w:rsidRPr="00CD43D5">
        <w:t xml:space="preserve">å. lag om ändring i lagen (1989:31) om förvaltning av vissa samägda jordbruksfastigheter, </w:t>
      </w:r>
    </w:p>
    <w:p w:rsidR="00441AFC" w:rsidRPr="00CD43D5" w:rsidRDefault="00441AFC">
      <w:pPr>
        <w:pStyle w:val="hemtext"/>
      </w:pPr>
      <w:r w:rsidRPr="00CD43D5">
        <w:t>ä. lag om ändring i lagen (1995:1537) om lägenhetsregister</w:t>
      </w:r>
      <w:bookmarkStart w:id="33" w:name="RESPARTI001"/>
      <w:bookmarkEnd w:id="33"/>
      <w:r w:rsidRPr="00CD43D5">
        <w:t>,</w:t>
      </w:r>
    </w:p>
    <w:p w:rsidR="00441AFC" w:rsidRPr="00CD43D5" w:rsidRDefault="00441AFC">
      <w:pPr>
        <w:pStyle w:val="hembetr"/>
      </w:pPr>
      <w:r w:rsidRPr="00CD43D5">
        <w:t xml:space="preserve">2. beträffande </w:t>
      </w:r>
      <w:r w:rsidRPr="00CD43D5">
        <w:rPr>
          <w:i/>
        </w:rPr>
        <w:t>lagen (1927:85) om dödande av förkommen han</w:t>
      </w:r>
      <w:r w:rsidRPr="00CD43D5">
        <w:rPr>
          <w:i/>
        </w:rPr>
        <w:t>d</w:t>
      </w:r>
      <w:r w:rsidRPr="00CD43D5">
        <w:rPr>
          <w:i/>
        </w:rPr>
        <w:t>ling</w:t>
      </w:r>
    </w:p>
    <w:p w:rsidR="00441AFC" w:rsidRPr="00CD43D5" w:rsidRDefault="00441AFC">
      <w:pPr>
        <w:pStyle w:val="hemtext"/>
      </w:pPr>
      <w:r w:rsidRPr="00CD43D5">
        <w:t>att riksdagen avslår proposition 1999/2000:39 i motsvarande del,</w:t>
      </w:r>
    </w:p>
    <w:p w:rsidR="00441AFC" w:rsidRPr="00CD43D5" w:rsidRDefault="00441AFC">
      <w:pPr>
        <w:pStyle w:val="hembetr"/>
      </w:pPr>
      <w:r w:rsidRPr="00CD43D5">
        <w:t xml:space="preserve">3. beträffande </w:t>
      </w:r>
      <w:r w:rsidRPr="00CD43D5">
        <w:rPr>
          <w:i/>
        </w:rPr>
        <w:t>ytterligare lagändringar</w:t>
      </w:r>
    </w:p>
    <w:p w:rsidR="00441AFC" w:rsidRPr="00CD43D5" w:rsidRDefault="00441AFC">
      <w:pPr>
        <w:pStyle w:val="hemtext"/>
      </w:pPr>
      <w:r w:rsidRPr="00CD43D5">
        <w:t>att riksdagen med anledning av proposition 1999/2000:39 i motsv</w:t>
      </w:r>
      <w:r w:rsidRPr="00CD43D5">
        <w:t>a</w:t>
      </w:r>
      <w:r w:rsidRPr="00CD43D5">
        <w:t>rande delar antar utskottets som bilaga 2 till detta betänkande fogade förslagen till,</w:t>
      </w:r>
    </w:p>
    <w:p w:rsidR="00441AFC" w:rsidRPr="00CD43D5" w:rsidRDefault="00441AFC">
      <w:pPr>
        <w:pStyle w:val="hemtext"/>
      </w:pPr>
      <w:r w:rsidRPr="00CD43D5">
        <w:t>a. lag om ändring i lagen (1970:991) om ändring i kommunal och ecklesiastik inde</w:t>
      </w:r>
      <w:r w:rsidRPr="00CD43D5">
        <w:t>l</w:t>
      </w:r>
      <w:r w:rsidRPr="00CD43D5">
        <w:t>ning i samband med fastighetsbildning,</w:t>
      </w:r>
    </w:p>
    <w:p w:rsidR="00441AFC" w:rsidRPr="00CD43D5" w:rsidRDefault="00441AFC">
      <w:pPr>
        <w:pStyle w:val="hemtext"/>
      </w:pPr>
      <w:r w:rsidRPr="00CD43D5">
        <w:t>b. lag om än</w:t>
      </w:r>
      <w:r w:rsidRPr="00CD43D5">
        <w:t>d</w:t>
      </w:r>
      <w:r w:rsidRPr="00CD43D5">
        <w:t>ring i postlagen (1993:1684), samt</w:t>
      </w:r>
    </w:p>
    <w:p w:rsidR="00441AFC" w:rsidRPr="00CD43D5" w:rsidRDefault="00441AFC">
      <w:pPr>
        <w:pStyle w:val="hemtext"/>
      </w:pPr>
      <w:r w:rsidRPr="00CD43D5">
        <w:t>c. lag om än</w:t>
      </w:r>
      <w:r w:rsidRPr="00CD43D5">
        <w:t>d</w:t>
      </w:r>
      <w:r w:rsidRPr="00CD43D5">
        <w:t>ring i lagen (1994:448) om pantbrevsregister.</w:t>
      </w:r>
    </w:p>
    <w:p w:rsidR="00441AFC" w:rsidRPr="00CD43D5" w:rsidRDefault="00441AFC">
      <w:pPr>
        <w:pStyle w:val="Stockholm"/>
      </w:pPr>
      <w:r w:rsidRPr="00CD43D5">
        <w:t xml:space="preserve">Stockholm den 30 mars 2000 </w:t>
      </w:r>
    </w:p>
    <w:p w:rsidR="00441AFC" w:rsidRPr="00CD43D5" w:rsidRDefault="00441AFC">
      <w:pPr>
        <w:pStyle w:val="Vgnar"/>
      </w:pPr>
      <w:r w:rsidRPr="00CD43D5">
        <w:t>På bostadsutskottets vägnar</w:t>
      </w:r>
    </w:p>
    <w:p w:rsidR="00441AFC" w:rsidRPr="00CD43D5" w:rsidRDefault="00441AFC">
      <w:pPr>
        <w:pStyle w:val="Ordfnamn"/>
      </w:pPr>
      <w:bookmarkStart w:id="34" w:name="Ordförande"/>
      <w:bookmarkEnd w:id="34"/>
      <w:r w:rsidRPr="00CD43D5">
        <w:t xml:space="preserve">Lennart Nilsson </w:t>
      </w:r>
    </w:p>
    <w:p w:rsidR="00441AFC" w:rsidRPr="00CD43D5" w:rsidRDefault="00441AFC">
      <w:pPr>
        <w:pStyle w:val="Deltagare"/>
      </w:pPr>
      <w:r w:rsidRPr="00CD43D5">
        <w:t>I beslutet har deltagit: Lennart Nilsson (s), Bengt-Ola Ryttar (s), Lilian Vi</w:t>
      </w:r>
      <w:r w:rsidRPr="00CD43D5">
        <w:t>r</w:t>
      </w:r>
      <w:r w:rsidRPr="00CD43D5">
        <w:t>gin (s), Owe Hellberg (v), Ulf Björklund (kd), Sten Andersson (m), Inga Berggren (m), Anders Ygeman (s), Siw Wittgren-Ahl (s), Sten Lundström (v), Ulla-Britt Hagström (kd), Carl-Erik Skårman (m), Helena Hillar Rose</w:t>
      </w:r>
      <w:r w:rsidRPr="00CD43D5">
        <w:t>n</w:t>
      </w:r>
      <w:r w:rsidRPr="00CD43D5">
        <w:t>qvist (mp), Rigmor Stenmark (c), Yvonne Ångström (fp), Carina Adolfsson (s) och Ewa Thalén Finné (m).</w:t>
      </w:r>
    </w:p>
    <w:p w:rsidR="00441AFC" w:rsidRPr="00CD43D5" w:rsidRDefault="00441AFC"/>
    <w:p w:rsidR="00441AFC" w:rsidRPr="00CD43D5" w:rsidRDefault="00441AFC">
      <w:pPr>
        <w:pStyle w:val="Normaltindrag"/>
        <w:sectPr w:rsidR="00000000" w:rsidRPr="00CD43D5">
          <w:headerReference w:type="default" r:id="rId10"/>
          <w:footerReference w:type="default" r:id="rId11"/>
          <w:footnotePr>
            <w:numRestart w:val="eachPage"/>
          </w:footnotePr>
          <w:pgSz w:w="11906" w:h="16838" w:code="9"/>
          <w:pgMar w:top="567" w:right="4876" w:bottom="4508" w:left="1134" w:header="227" w:footer="227" w:gutter="0"/>
          <w:cols w:space="720"/>
        </w:sectPr>
      </w:pPr>
    </w:p>
    <w:p w:rsidR="00441AFC" w:rsidRPr="00CD43D5" w:rsidRDefault="00441AFC">
      <w:pPr>
        <w:pStyle w:val="Rubrik1"/>
        <w:spacing w:before="123"/>
      </w:pPr>
      <w:bookmarkStart w:id="35" w:name="_Toc465144149"/>
      <w:bookmarkStart w:id="36" w:name="_Toc465577126"/>
      <w:bookmarkStart w:id="37" w:name="_Toc469212224"/>
      <w:bookmarkStart w:id="38" w:name="_Toc479046906"/>
      <w:r w:rsidRPr="00CD43D5">
        <w:t>Propositionens lagförslag</w:t>
      </w:r>
      <w:bookmarkEnd w:id="38"/>
    </w:p>
    <w:p w:rsidR="00441AFC" w:rsidRPr="00CD43D5" w:rsidRDefault="00441AFC">
      <w:pPr>
        <w:pStyle w:val="Rubrik2"/>
      </w:pPr>
      <w:bookmarkStart w:id="39" w:name="_Toc479046907"/>
      <w:r w:rsidRPr="00CD43D5">
        <w:t>1. Förslag till lag om fastighetsregister</w:t>
      </w:r>
      <w:bookmarkEnd w:id="35"/>
      <w:bookmarkEnd w:id="36"/>
      <w:bookmarkEnd w:id="37"/>
      <w:bookmarkEnd w:id="39"/>
    </w:p>
    <w:p w:rsidR="00441AFC" w:rsidRPr="00CD43D5" w:rsidRDefault="00441AFC"/>
    <w:p w:rsidR="00441AFC" w:rsidRPr="00CD43D5" w:rsidRDefault="00441AFC">
      <w:pPr>
        <w:pStyle w:val="Normaltindrag"/>
      </w:pPr>
      <w:r w:rsidRPr="00CD43D5">
        <w:t>Härigenom föreskrivs följande.</w:t>
      </w:r>
    </w:p>
    <w:p w:rsidR="00441AFC" w:rsidRPr="00CD43D5" w:rsidRDefault="00441AFC">
      <w:pPr>
        <w:pStyle w:val="Rubrik7"/>
      </w:pPr>
      <w:r w:rsidRPr="00CD43D5">
        <w:t>Inledande bestämmelser</w:t>
      </w:r>
    </w:p>
    <w:p w:rsidR="00441AFC" w:rsidRPr="00CD43D5" w:rsidRDefault="00441AFC">
      <w:r w:rsidRPr="00CD43D5">
        <w:t>1 § För de ändamål som anges i 2 § skall med hjälp av automatiserad b</w:t>
      </w:r>
      <w:r w:rsidRPr="00CD43D5">
        <w:t>e</w:t>
      </w:r>
      <w:r w:rsidRPr="00CD43D5">
        <w:t>handling föras ett register benämnt fastighetsregistret. Detta skall ge offen</w:t>
      </w:r>
      <w:r w:rsidRPr="00CD43D5">
        <w:t>t</w:t>
      </w:r>
      <w:r w:rsidRPr="00CD43D5">
        <w:t>lighet åt den information som ingår i registret (fastighetsanknuten inform</w:t>
      </w:r>
      <w:r w:rsidRPr="00CD43D5">
        <w:t>a</w:t>
      </w:r>
      <w:r w:rsidRPr="00CD43D5">
        <w:t>tion).</w:t>
      </w:r>
    </w:p>
    <w:p w:rsidR="00441AFC" w:rsidRPr="00CD43D5" w:rsidRDefault="00441AFC">
      <w:pPr>
        <w:pStyle w:val="Normaltindrag"/>
      </w:pPr>
      <w:r w:rsidRPr="00CD43D5">
        <w:t>Med personuppgifter avses i denna lag detsamma som i person</w:t>
      </w:r>
      <w:r w:rsidRPr="00CD43D5">
        <w:softHyphen/>
        <w:t>uppgiftslagen (1998:204).</w:t>
      </w:r>
    </w:p>
    <w:p w:rsidR="00441AFC" w:rsidRPr="00CD43D5" w:rsidRDefault="00441AFC">
      <w:pPr>
        <w:pStyle w:val="Normaltindrag"/>
      </w:pPr>
    </w:p>
    <w:p w:rsidR="00441AFC" w:rsidRPr="00CD43D5" w:rsidRDefault="00441AFC">
      <w:pPr>
        <w:pStyle w:val="Rubrik7"/>
      </w:pPr>
      <w:r w:rsidRPr="00CD43D5">
        <w:t>Registerändamål</w:t>
      </w:r>
    </w:p>
    <w:p w:rsidR="00441AFC" w:rsidRPr="00CD43D5" w:rsidRDefault="00441AFC">
      <w:r w:rsidRPr="00CD43D5">
        <w:t>2 § I fråga om personuppgifter skall registret ha till ändamål att tillhand</w:t>
      </w:r>
      <w:r w:rsidRPr="00CD43D5">
        <w:t>a</w:t>
      </w:r>
      <w:r w:rsidRPr="00CD43D5">
        <w:t xml:space="preserve">hålla uppgifter för </w:t>
      </w:r>
    </w:p>
    <w:p w:rsidR="00441AFC" w:rsidRPr="00CD43D5" w:rsidRDefault="00441AFC">
      <w:pPr>
        <w:pStyle w:val="Normaltindrag"/>
      </w:pPr>
      <w:r w:rsidRPr="00CD43D5">
        <w:t xml:space="preserve">1. verksamhet för vilken staten eller en kommun ansvarar enligt lag eller annan författning och </w:t>
      </w:r>
    </w:p>
    <w:p w:rsidR="00441AFC" w:rsidRPr="00CD43D5" w:rsidRDefault="00441AFC">
      <w:pPr>
        <w:pStyle w:val="Normaltindrag"/>
      </w:pPr>
      <w:r w:rsidRPr="00CD43D5">
        <w:t>a) som avser sådan egendom som registreras i fastighetsregistret,</w:t>
      </w:r>
    </w:p>
    <w:p w:rsidR="00441AFC" w:rsidRPr="00CD43D5" w:rsidRDefault="00441AFC">
      <w:pPr>
        <w:pStyle w:val="Normaltindrag"/>
      </w:pPr>
      <w:r w:rsidRPr="00CD43D5">
        <w:t>b) som för att kunna utföras förutsätter tillgång till fastighetsanknuten i</w:t>
      </w:r>
      <w:r w:rsidRPr="00CD43D5">
        <w:t>n</w:t>
      </w:r>
      <w:r w:rsidRPr="00CD43D5">
        <w:t>formation, eller</w:t>
      </w:r>
    </w:p>
    <w:p w:rsidR="00441AFC" w:rsidRPr="00CD43D5" w:rsidRDefault="00441AFC">
      <w:pPr>
        <w:pStyle w:val="Normaltindrag"/>
      </w:pPr>
      <w:r w:rsidRPr="00CD43D5">
        <w:t>c) som avser fullgörande av underrättelseskyldighet,</w:t>
      </w:r>
    </w:p>
    <w:p w:rsidR="00441AFC" w:rsidRPr="00CD43D5" w:rsidRDefault="00441AFC">
      <w:pPr>
        <w:pStyle w:val="Normaltindrag"/>
      </w:pPr>
      <w:r w:rsidRPr="00CD43D5">
        <w:t>2. omsättning av sådan egendom som registreras i fastighetsregistret,</w:t>
      </w:r>
    </w:p>
    <w:p w:rsidR="00441AFC" w:rsidRPr="00CD43D5" w:rsidRDefault="00441AFC">
      <w:pPr>
        <w:pStyle w:val="Normaltindrag"/>
      </w:pPr>
      <w:r w:rsidRPr="00CD43D5">
        <w:t>3. kreditgivning, försäkringsgivning eller annan allmän eller enskild ver</w:t>
      </w:r>
      <w:r w:rsidRPr="00CD43D5">
        <w:t>k</w:t>
      </w:r>
      <w:r w:rsidRPr="00CD43D5">
        <w:t>samhet där fastighetsanknuten information utgör underlag för prövningar eller beslut,</w:t>
      </w:r>
    </w:p>
    <w:p w:rsidR="00441AFC" w:rsidRPr="00CD43D5" w:rsidRDefault="00441AFC">
      <w:pPr>
        <w:pStyle w:val="Normaltindrag"/>
      </w:pPr>
      <w:r w:rsidRPr="00CD43D5">
        <w:t>4. fastighetsförvaltning, byggande eller annan liknande åtgärd,</w:t>
      </w:r>
    </w:p>
    <w:p w:rsidR="00441AFC" w:rsidRPr="00CD43D5" w:rsidRDefault="00441AFC">
      <w:pPr>
        <w:pStyle w:val="Normaltindrag"/>
      </w:pPr>
      <w:r w:rsidRPr="00CD43D5">
        <w:t>5. aktualisering, komplettering eller kontroll av fastighetsanknuten info</w:t>
      </w:r>
      <w:r w:rsidRPr="00CD43D5">
        <w:t>r</w:t>
      </w:r>
      <w:r w:rsidRPr="00CD43D5">
        <w:t>mation som finns i kund- eller medlemsregister eller liknande register, eller</w:t>
      </w:r>
    </w:p>
    <w:p w:rsidR="00441AFC" w:rsidRPr="00CD43D5" w:rsidRDefault="00441AFC">
      <w:pPr>
        <w:pStyle w:val="Normaltindrag"/>
      </w:pPr>
      <w:r w:rsidRPr="00CD43D5">
        <w:t>6. uttag av urval av personuppgifter för direkt marknadsföring, dock med den begränsning som följer av 11 § personuppgiftslagen (1998:204).</w:t>
      </w:r>
    </w:p>
    <w:p w:rsidR="00441AFC" w:rsidRPr="00CD43D5" w:rsidRDefault="00441AFC">
      <w:pPr>
        <w:pStyle w:val="Normaltindrag"/>
      </w:pPr>
    </w:p>
    <w:p w:rsidR="00441AFC" w:rsidRPr="00CD43D5" w:rsidRDefault="00441AFC">
      <w:pPr>
        <w:pStyle w:val="Rubrik7"/>
      </w:pPr>
      <w:r w:rsidRPr="00CD43D5">
        <w:t>Registerinnehåll</w:t>
      </w:r>
    </w:p>
    <w:p w:rsidR="00441AFC" w:rsidRPr="00CD43D5" w:rsidRDefault="00441AFC">
      <w:r w:rsidRPr="00CD43D5">
        <w:t xml:space="preserve">3 § Den fastighetsanknutna informationen skall vara uppdelad i </w:t>
      </w:r>
    </w:p>
    <w:p w:rsidR="00441AFC" w:rsidRPr="00CD43D5" w:rsidRDefault="00441AFC">
      <w:pPr>
        <w:pStyle w:val="Normaltindrag"/>
      </w:pPr>
      <w:r w:rsidRPr="00CD43D5">
        <w:t>1. en allmän del,</w:t>
      </w:r>
    </w:p>
    <w:p w:rsidR="00441AFC" w:rsidRPr="00CD43D5" w:rsidRDefault="00441AFC">
      <w:pPr>
        <w:pStyle w:val="Normaltindrag"/>
      </w:pPr>
      <w:r w:rsidRPr="00CD43D5">
        <w:t>2. en inskrivningsdel,</w:t>
      </w:r>
    </w:p>
    <w:p w:rsidR="00441AFC" w:rsidRPr="00CD43D5" w:rsidRDefault="00441AFC">
      <w:pPr>
        <w:pStyle w:val="Normaltindrag"/>
      </w:pPr>
      <w:r w:rsidRPr="00CD43D5">
        <w:t>3. en adressdel,</w:t>
      </w:r>
    </w:p>
    <w:p w:rsidR="00441AFC" w:rsidRPr="00CD43D5" w:rsidRDefault="00441AFC">
      <w:pPr>
        <w:pStyle w:val="Normaltindrag"/>
      </w:pPr>
      <w:r w:rsidRPr="00CD43D5">
        <w:t>4. en byggnadsdel, och</w:t>
      </w:r>
    </w:p>
    <w:p w:rsidR="00441AFC" w:rsidRPr="00CD43D5" w:rsidRDefault="00441AFC">
      <w:pPr>
        <w:pStyle w:val="Normaltindrag"/>
      </w:pPr>
      <w:r w:rsidRPr="00CD43D5">
        <w:t>5. en taxeringsuppgiftsdel.</w:t>
      </w:r>
    </w:p>
    <w:p w:rsidR="00441AFC" w:rsidRPr="00CD43D5" w:rsidRDefault="00441AFC">
      <w:pPr>
        <w:pStyle w:val="Normaltindrag"/>
      </w:pPr>
      <w:r w:rsidRPr="00CD43D5">
        <w:t>Registret får även innehålla annan information som har samband med i</w:t>
      </w:r>
      <w:r w:rsidRPr="00CD43D5">
        <w:t>n</w:t>
      </w:r>
      <w:r w:rsidRPr="00CD43D5">
        <w:t xml:space="preserve">formation som ingår i någon av registrets delar (tilläggsinformation). Tilläggsinformationen skall redovisas skild från registrets delar. </w:t>
      </w:r>
    </w:p>
    <w:p w:rsidR="00441AFC" w:rsidRPr="00CD43D5" w:rsidRDefault="00441AFC">
      <w:pPr>
        <w:pStyle w:val="Normaltindrag"/>
      </w:pPr>
      <w:r w:rsidRPr="00CD43D5">
        <w:t>Regeringen får meddela närmare föreskrifter om innehållet i de olika d</w:t>
      </w:r>
      <w:r w:rsidRPr="00CD43D5">
        <w:t>e</w:t>
      </w:r>
      <w:r w:rsidRPr="00CD43D5">
        <w:t>larna av fastighetsregistret och om tilläggsinformation.</w:t>
      </w:r>
    </w:p>
    <w:p w:rsidR="00441AFC" w:rsidRPr="00CD43D5" w:rsidRDefault="00441AFC">
      <w:pPr>
        <w:pStyle w:val="Normaltindrag"/>
      </w:pPr>
    </w:p>
    <w:p w:rsidR="00441AFC" w:rsidRPr="00CD43D5" w:rsidRDefault="00441AFC">
      <w:pPr>
        <w:pStyle w:val="Rubrik7"/>
      </w:pPr>
      <w:r w:rsidRPr="00CD43D5">
        <w:t>Behörighet att föra in uppgifter i registret</w:t>
      </w:r>
    </w:p>
    <w:p w:rsidR="00441AFC" w:rsidRPr="00CD43D5" w:rsidRDefault="00441AFC">
      <w:r w:rsidRPr="00CD43D5">
        <w:t>4 § I 19 kap. fastighetsbildningslagen (1970:988) och 19 kap. jordabalken finns bestämmelser om vem som får föra in och ta bort uppgifter i fastighet</w:t>
      </w:r>
      <w:r w:rsidRPr="00CD43D5">
        <w:t>s</w:t>
      </w:r>
      <w:r w:rsidRPr="00CD43D5">
        <w:t xml:space="preserve">registrets allmänna del och inskrivningsdel. </w:t>
      </w:r>
    </w:p>
    <w:p w:rsidR="00441AFC" w:rsidRPr="00CD43D5" w:rsidRDefault="00441AFC">
      <w:pPr>
        <w:pStyle w:val="Normaltindrag"/>
      </w:pPr>
      <w:r w:rsidRPr="00CD43D5">
        <w:t>Regeringen meddelar föreskrifter om vem som får föra in och ta bort up</w:t>
      </w:r>
      <w:r w:rsidRPr="00CD43D5">
        <w:t>p</w:t>
      </w:r>
      <w:r w:rsidRPr="00CD43D5">
        <w:t>gifter i fastighetsregistrets övriga delar liksom vem som får föra in och ta bort tilläggsinformation.</w:t>
      </w:r>
    </w:p>
    <w:p w:rsidR="00441AFC" w:rsidRPr="00CD43D5" w:rsidRDefault="00441AFC">
      <w:pPr>
        <w:pStyle w:val="Normaltindrag"/>
      </w:pPr>
    </w:p>
    <w:p w:rsidR="00441AFC" w:rsidRPr="00CD43D5" w:rsidRDefault="00441AFC">
      <w:pPr>
        <w:rPr>
          <w:i/>
        </w:rPr>
      </w:pPr>
      <w:r w:rsidRPr="00CD43D5">
        <w:rPr>
          <w:i/>
        </w:rPr>
        <w:t>Personuppgiftsansvarig, m.m.</w:t>
      </w:r>
    </w:p>
    <w:p w:rsidR="00441AFC" w:rsidRPr="00CD43D5" w:rsidRDefault="00441AFC">
      <w:r w:rsidRPr="00CD43D5">
        <w:t>5 § Lantmäteriverket är personuppgiftsansvarig enligt personuppgiftslagen (1998:204) för fastighetsregistret.</w:t>
      </w:r>
    </w:p>
    <w:p w:rsidR="00441AFC" w:rsidRPr="00CD43D5" w:rsidRDefault="00441AFC">
      <w:r w:rsidRPr="00CD43D5">
        <w:t xml:space="preserve">6 § Lantmäteriverket skall se till att det inte uppkommer otillbörligt intrång i registrerades personliga integritet eller risker från säkerhetssynpunkt. För dessa syften får verket i enskilda fall ställa upp ytterligare villkor utöver dem som anges i 7–10 §§. </w:t>
      </w:r>
    </w:p>
    <w:p w:rsidR="00441AFC" w:rsidRPr="00CD43D5" w:rsidRDefault="00441AFC">
      <w:pPr>
        <w:pStyle w:val="Normaltindrag"/>
      </w:pPr>
    </w:p>
    <w:p w:rsidR="00441AFC" w:rsidRPr="00CD43D5" w:rsidRDefault="00441AFC">
      <w:pPr>
        <w:pStyle w:val="Rubrik7"/>
      </w:pPr>
      <w:r w:rsidRPr="00CD43D5">
        <w:t>Direktåtkomst</w:t>
      </w:r>
    </w:p>
    <w:p w:rsidR="00441AFC" w:rsidRPr="00CD43D5" w:rsidRDefault="00441AFC">
      <w:r w:rsidRPr="00CD43D5">
        <w:t xml:space="preserve">7 § Direktåtkomst till personuppgifter får medges endast för sådana ändamål som anges i 2 § 1–4. </w:t>
      </w:r>
    </w:p>
    <w:p w:rsidR="00441AFC" w:rsidRPr="00CD43D5" w:rsidRDefault="00441AFC">
      <w:pPr>
        <w:pStyle w:val="Normaltindrag"/>
      </w:pPr>
      <w:r w:rsidRPr="00CD43D5">
        <w:t>Direktåtkomst får inte medges så att det är möjligt att använda namn, pe</w:t>
      </w:r>
      <w:r w:rsidRPr="00CD43D5">
        <w:t>r</w:t>
      </w:r>
      <w:r w:rsidRPr="00CD43D5">
        <w:t>sonnummer eller del av personnummer som sökbegrepp.</w:t>
      </w:r>
    </w:p>
    <w:p w:rsidR="00441AFC" w:rsidRPr="00CD43D5" w:rsidRDefault="00441AFC">
      <w:pPr>
        <w:pStyle w:val="Normaltindrag"/>
      </w:pPr>
      <w:r w:rsidRPr="00CD43D5">
        <w:t>Direktåtkomst får medges för sökningar endast på en fastighet, tomträtt, samfällighet eller byggnad i taget. Om det finns särskilda skäl, får dock Lantmäteriverket i enskilda fall medge att sökningar sker på fler än en fa</w:t>
      </w:r>
      <w:r w:rsidRPr="00CD43D5">
        <w:t>s</w:t>
      </w:r>
      <w:r w:rsidRPr="00CD43D5">
        <w:t>tighet, tomträtt, samfällighet eller byggnad i taget.</w:t>
      </w:r>
    </w:p>
    <w:p w:rsidR="00441AFC" w:rsidRPr="00CD43D5" w:rsidRDefault="00441AFC">
      <w:pPr>
        <w:pStyle w:val="Normaltindrag"/>
      </w:pPr>
      <w:r w:rsidRPr="00CD43D5">
        <w:t xml:space="preserve">Begränsningarna i andra och tredje styckena gäller inte för </w:t>
      </w:r>
    </w:p>
    <w:p w:rsidR="00441AFC" w:rsidRPr="00CD43D5" w:rsidRDefault="00441AFC">
      <w:pPr>
        <w:pStyle w:val="Normaltindrag"/>
      </w:pPr>
      <w:r w:rsidRPr="00CD43D5">
        <w:t xml:space="preserve">1. verksamhet där det ingår att föra in uppgifter i registret, </w:t>
      </w:r>
    </w:p>
    <w:p w:rsidR="00441AFC" w:rsidRPr="00CD43D5" w:rsidRDefault="00441AFC">
      <w:pPr>
        <w:pStyle w:val="Normaltindrag"/>
      </w:pPr>
      <w:r w:rsidRPr="00CD43D5">
        <w:t xml:space="preserve">2. verksamhet som avser förrättning enligt fastighetsbildningslagen (1970:988) eller motsvarande lag. </w:t>
      </w:r>
    </w:p>
    <w:p w:rsidR="00441AFC" w:rsidRPr="00CD43D5" w:rsidRDefault="00441AFC">
      <w:pPr>
        <w:pStyle w:val="Normaltindrag"/>
      </w:pPr>
    </w:p>
    <w:p w:rsidR="00441AFC" w:rsidRPr="00CD43D5" w:rsidRDefault="00441AFC">
      <w:pPr>
        <w:pStyle w:val="Rubrik7"/>
      </w:pPr>
      <w:r w:rsidRPr="00CD43D5">
        <w:t>Urval och bearbetningar</w:t>
      </w:r>
    </w:p>
    <w:p w:rsidR="00441AFC" w:rsidRPr="00CD43D5" w:rsidRDefault="00441AFC">
      <w:r w:rsidRPr="00CD43D5">
        <w:t>8 § Vid urval och bearbetningar av personuppgifter som Lantmäteriverket gör för någon annans räkning får uppgifter om inteckningar inte behandlas. Om urvalet eller bearbetningen avser utlämnande av uppgifter om perso</w:t>
      </w:r>
      <w:r w:rsidRPr="00CD43D5">
        <w:t>n</w:t>
      </w:r>
      <w:r w:rsidRPr="00CD43D5">
        <w:t xml:space="preserve">nummer, får åtgärden vidtas endast för det ändamål som anges i 2 § 5. </w:t>
      </w:r>
    </w:p>
    <w:p w:rsidR="00441AFC" w:rsidRPr="00CD43D5" w:rsidRDefault="00441AFC">
      <w:pPr>
        <w:pStyle w:val="Normaltindrag"/>
      </w:pPr>
      <w:r w:rsidRPr="00CD43D5">
        <w:t>Bestämmelserna i första stycket gäller inte om annat följer av lag eller a</w:t>
      </w:r>
      <w:r w:rsidRPr="00CD43D5">
        <w:t>n</w:t>
      </w:r>
      <w:r w:rsidRPr="00CD43D5">
        <w:t>nan författning.</w:t>
      </w:r>
    </w:p>
    <w:p w:rsidR="00441AFC" w:rsidRPr="00CD43D5" w:rsidRDefault="00441AFC">
      <w:pPr>
        <w:pStyle w:val="Normaltindrag"/>
      </w:pPr>
      <w:r w:rsidRPr="00CD43D5">
        <w:t xml:space="preserve">Åtgärder som enligt första stycket inte är tillåtna får ändå vidtas, om Lantmäteriverket i enskilda fall finner att det finns särskilda skäl för det. </w:t>
      </w:r>
    </w:p>
    <w:p w:rsidR="00441AFC" w:rsidRPr="00CD43D5" w:rsidRDefault="00441AFC">
      <w:r w:rsidRPr="00CD43D5">
        <w:t>9 § Vid urval eller bearbetningar av personuppgifter som Lantmäteriverket gör för någon annans räkning för direkt marknadsföring får uppgifter om personnummer, födelsetid, civilstånd, utmätning, konkurs eller standardp</w:t>
      </w:r>
      <w:r w:rsidRPr="00CD43D5">
        <w:t>o</w:t>
      </w:r>
      <w:r w:rsidRPr="00CD43D5">
        <w:t xml:space="preserve">äng inte behandlas. </w:t>
      </w:r>
    </w:p>
    <w:p w:rsidR="00441AFC" w:rsidRPr="00CD43D5" w:rsidRDefault="00441AFC">
      <w:pPr>
        <w:pStyle w:val="Normaltindrag"/>
      </w:pPr>
      <w:r w:rsidRPr="00CD43D5">
        <w:t xml:space="preserve">Åtgärder som enligt första stycket inte är tillåtna får ändå vidtas, om Lantmäteriverket i enskilda fall finner att det finns särskilda skäl för det. </w:t>
      </w:r>
    </w:p>
    <w:p w:rsidR="00441AFC" w:rsidRPr="00CD43D5" w:rsidRDefault="00441AFC">
      <w:pPr>
        <w:pStyle w:val="Normaltindrag"/>
      </w:pPr>
    </w:p>
    <w:p w:rsidR="00441AFC" w:rsidRPr="00CD43D5" w:rsidRDefault="00441AFC">
      <w:pPr>
        <w:pStyle w:val="Rubrik7"/>
      </w:pPr>
      <w:r w:rsidRPr="00CD43D5">
        <w:t>Utlämnande på upptagning för automatiserad behandling</w:t>
      </w:r>
    </w:p>
    <w:p w:rsidR="00441AFC" w:rsidRPr="00CD43D5" w:rsidRDefault="00441AFC">
      <w:r w:rsidRPr="00CD43D5">
        <w:t>10 § Personuppgifter som avser inteckningar får inte lämnas ut på uppta</w:t>
      </w:r>
      <w:r w:rsidRPr="00CD43D5">
        <w:t>g</w:t>
      </w:r>
      <w:r w:rsidRPr="00CD43D5">
        <w:t xml:space="preserve">ning för automatiserad behandling. Uppgifter om personnummer får lämnas ut på sådan upptagning endast vid behandlingar enligt 2 § 5. </w:t>
      </w:r>
    </w:p>
    <w:p w:rsidR="00441AFC" w:rsidRPr="00CD43D5" w:rsidRDefault="00441AFC">
      <w:pPr>
        <w:pStyle w:val="Normaltindrag"/>
      </w:pPr>
      <w:r w:rsidRPr="00CD43D5">
        <w:t>Bestämmelserna i första stycket gäller inte om annat följer av lag eller a</w:t>
      </w:r>
      <w:r w:rsidRPr="00CD43D5">
        <w:t>n</w:t>
      </w:r>
      <w:r w:rsidRPr="00CD43D5">
        <w:t>nan författning.</w:t>
      </w:r>
    </w:p>
    <w:p w:rsidR="00441AFC" w:rsidRPr="00CD43D5" w:rsidRDefault="00441AFC">
      <w:pPr>
        <w:pStyle w:val="Normaltindrag"/>
      </w:pPr>
      <w:r w:rsidRPr="00CD43D5">
        <w:t xml:space="preserve">Åtgärder som enligt första stycket inte är tillåtna får ändå vidtas, om Lantmäteriverket i enskilda fall finner att det finns särskilda skäl för det. </w:t>
      </w:r>
    </w:p>
    <w:p w:rsidR="00441AFC" w:rsidRPr="00CD43D5" w:rsidRDefault="00441AFC">
      <w:pPr>
        <w:pStyle w:val="Normaltindrag"/>
      </w:pPr>
    </w:p>
    <w:p w:rsidR="00441AFC" w:rsidRPr="00CD43D5" w:rsidRDefault="00441AFC">
      <w:pPr>
        <w:pStyle w:val="Rubrik7"/>
      </w:pPr>
      <w:r w:rsidRPr="00CD43D5">
        <w:t>Avgifter</w:t>
      </w:r>
    </w:p>
    <w:p w:rsidR="00441AFC" w:rsidRPr="00CD43D5" w:rsidRDefault="00441AFC">
      <w:r w:rsidRPr="00CD43D5">
        <w:t>11 § Användningen av fastighetsregistret får vara avgiftsbelagd. Regeringen eller den myndighet regeringen bestämmer får meddela föreskrifter om a</w:t>
      </w:r>
      <w:r w:rsidRPr="00CD43D5">
        <w:t>v</w:t>
      </w:r>
      <w:r w:rsidRPr="00CD43D5">
        <w:t>gifter.</w:t>
      </w:r>
    </w:p>
    <w:p w:rsidR="00441AFC" w:rsidRPr="00CD43D5" w:rsidRDefault="00441AFC">
      <w:pPr>
        <w:pStyle w:val="Normaltindrag"/>
      </w:pPr>
    </w:p>
    <w:p w:rsidR="00441AFC" w:rsidRPr="00CD43D5" w:rsidRDefault="00441AFC">
      <w:pPr>
        <w:pStyle w:val="Rubrik7"/>
      </w:pPr>
      <w:r w:rsidRPr="00CD43D5">
        <w:t>Överklagande</w:t>
      </w:r>
    </w:p>
    <w:p w:rsidR="00441AFC" w:rsidRPr="00CD43D5" w:rsidRDefault="00441AFC">
      <w:r w:rsidRPr="00CD43D5">
        <w:t>12 § Beslut som Lantmäteriverket eller en annan myndighet har meddelat enligt denna lag eller enligt föreskrifter som regeringen har meddelat med stöd av denna lag får överklagas till allmän förvaltningsdomstol. Prövning</w:t>
      </w:r>
      <w:r w:rsidRPr="00CD43D5">
        <w:t>s</w:t>
      </w:r>
      <w:r w:rsidRPr="00CD43D5">
        <w:t xml:space="preserve">tillstånd krävs vid överklagande till kammarrätt. </w:t>
      </w:r>
    </w:p>
    <w:p w:rsidR="00441AFC" w:rsidRPr="00CD43D5" w:rsidRDefault="00441AFC">
      <w:pPr>
        <w:pStyle w:val="Normaltindrag"/>
      </w:pPr>
      <w:r w:rsidRPr="00CD43D5">
        <w:t>För överklagande av beslut om avgift för användningen av fastighetsregis</w:t>
      </w:r>
      <w:r w:rsidRPr="00CD43D5">
        <w:t>t</w:t>
      </w:r>
      <w:r w:rsidRPr="00CD43D5">
        <w:t>ret gäller särskilda bestämmelser.</w:t>
      </w:r>
    </w:p>
    <w:p w:rsidR="00441AFC" w:rsidRPr="00CD43D5" w:rsidRDefault="00441AFC">
      <w:pPr>
        <w:pStyle w:val="Normaltindrag"/>
      </w:pPr>
    </w:p>
    <w:p w:rsidR="00441AFC" w:rsidRPr="00CD43D5" w:rsidRDefault="00441AFC">
      <w:pPr>
        <w:pStyle w:val="Rubrik7"/>
      </w:pPr>
      <w:r w:rsidRPr="00CD43D5">
        <w:t xml:space="preserve">Skadestånd </w:t>
      </w:r>
    </w:p>
    <w:p w:rsidR="00441AFC" w:rsidRPr="00CD43D5" w:rsidRDefault="00441AFC">
      <w:r w:rsidRPr="00CD43D5">
        <w:t>13 § Om personuppgifter i fastighetsregistret har behandlats i strid med 2 eller 7–10 § denna lag eller föreskrifter som har meddelats med stöd av de</w:t>
      </w:r>
      <w:r w:rsidRPr="00CD43D5">
        <w:t>n</w:t>
      </w:r>
      <w:r w:rsidRPr="00CD43D5">
        <w:t>na lag, tillämpas 48 § personuppgiftslagen (1998:204). Ersättningsskyldi</w:t>
      </w:r>
      <w:r w:rsidRPr="00CD43D5">
        <w:t>g</w:t>
      </w:r>
      <w:r w:rsidRPr="00CD43D5">
        <w:t>heten får dock inte jämkas, om felet har berott på någon som enligt lag eller annan författning har haft rätt att föra in eller på annat sätt behandla uppgifter i registret.</w:t>
      </w:r>
    </w:p>
    <w:p w:rsidR="00441AFC" w:rsidRPr="00CD43D5" w:rsidRDefault="00441AFC">
      <w:pPr>
        <w:pStyle w:val="Normaltindrag"/>
      </w:pPr>
      <w:r w:rsidRPr="00CD43D5">
        <w:t>I 19 kap. fastighetsbildningslagen (1970:988) och i 18 och 19 kap. jord</w:t>
      </w:r>
      <w:r w:rsidRPr="00CD43D5">
        <w:t>a</w:t>
      </w:r>
      <w:r w:rsidRPr="00CD43D5">
        <w:t>balken finns ytterligare bestämmelser om skadestånd på grund av fel i fasti</w:t>
      </w:r>
      <w:r w:rsidRPr="00CD43D5">
        <w:t>g</w:t>
      </w:r>
      <w:r w:rsidRPr="00CD43D5">
        <w:t xml:space="preserve">hetsregistrets allmänna del och i dess inskrivningsdel. </w:t>
      </w:r>
    </w:p>
    <w:p w:rsidR="00441AFC" w:rsidRPr="00CD43D5" w:rsidRDefault="00441AFC">
      <w:pPr>
        <w:pStyle w:val="Normaltindrag"/>
      </w:pPr>
    </w:p>
    <w:p w:rsidR="00441AFC" w:rsidRPr="00CD43D5" w:rsidRDefault="00441AFC">
      <w:pPr>
        <w:pStyle w:val="Rubrik7"/>
      </w:pPr>
      <w:r w:rsidRPr="00CD43D5">
        <w:br w:type="page"/>
        <w:t>Rättelse</w:t>
      </w:r>
    </w:p>
    <w:p w:rsidR="00441AFC" w:rsidRPr="00CD43D5" w:rsidRDefault="00441AFC">
      <w:r w:rsidRPr="00CD43D5">
        <w:t>14 § I fråga om rättelse av personuppgifter i fastighetsregistrets allmänna del och i dess inskrivningsdel tillämpas 19 kap. fastighetsbildningslagen (1970:988) och 19 kap. jordabalken i stället för 28 § personuppgiftslagen (1998:204).</w:t>
      </w:r>
    </w:p>
    <w:p w:rsidR="00441AFC" w:rsidRPr="00CD43D5" w:rsidRDefault="00441AFC">
      <w:pPr>
        <w:pStyle w:val="Normaltindrag"/>
      </w:pPr>
      <w:r w:rsidRPr="00CD43D5">
        <w:t>I fråga om rättelse av uppgifter i fastighetsregistrets övriga delar tillämpas 28 § personuppgiftslagen. Frågor om sådan rättelse skall prövas av annan än den personuppgiftsansvarige, om regeringen för viss del av registret eller för vissa uppgifter har föreskrivit det.</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40" w:name="_Toc412971148"/>
      <w:bookmarkStart w:id="41" w:name="_Toc414097200"/>
      <w:bookmarkStart w:id="42" w:name="_Toc465144150"/>
      <w:bookmarkStart w:id="43" w:name="_Toc465577127"/>
      <w:bookmarkStart w:id="44" w:name="_Toc469212225"/>
      <w:bookmarkStart w:id="45" w:name="_Toc479046908"/>
      <w:r w:rsidRPr="00CD43D5">
        <w:t>2. Förslag till lag om upphävande av vissa lagar på fastighetsrättens område</w:t>
      </w:r>
      <w:bookmarkEnd w:id="40"/>
      <w:bookmarkEnd w:id="41"/>
      <w:bookmarkEnd w:id="42"/>
      <w:bookmarkEnd w:id="43"/>
      <w:bookmarkEnd w:id="44"/>
      <w:bookmarkEnd w:id="45"/>
    </w:p>
    <w:p w:rsidR="00441AFC" w:rsidRPr="00CD43D5" w:rsidRDefault="00441AFC">
      <w:pPr>
        <w:pStyle w:val="Normaltindrag"/>
      </w:pPr>
    </w:p>
    <w:p w:rsidR="00441AFC" w:rsidRPr="00CD43D5" w:rsidRDefault="00441AFC">
      <w:pPr>
        <w:pStyle w:val="Normaltindrag"/>
      </w:pPr>
      <w:r w:rsidRPr="00CD43D5">
        <w:t>Härigenom föreskrivs att följande lagar skall upphöra att gälla vid utgån</w:t>
      </w:r>
      <w:r w:rsidRPr="00CD43D5">
        <w:t>g</w:t>
      </w:r>
      <w:r w:rsidRPr="00CD43D5">
        <w:t>en av juni 2000:</w:t>
      </w:r>
    </w:p>
    <w:p w:rsidR="00441AFC" w:rsidRPr="00CD43D5" w:rsidRDefault="00441AFC">
      <w:pPr>
        <w:pStyle w:val="Normaltindrag"/>
      </w:pPr>
      <w:r w:rsidRPr="00CD43D5">
        <w:t>1. lagen (1905:31 s. 1) rörande avgäld från avsöndrad lägenhet,</w:t>
      </w:r>
    </w:p>
    <w:p w:rsidR="00441AFC" w:rsidRPr="00CD43D5" w:rsidRDefault="00441AFC">
      <w:pPr>
        <w:pStyle w:val="Normaltindrag"/>
      </w:pPr>
      <w:r w:rsidRPr="00CD43D5">
        <w:t>2. lagen (1907:15 s. 1) angående avlösning av avgäld från avsöndrad l</w:t>
      </w:r>
      <w:r w:rsidRPr="00CD43D5">
        <w:t>ä</w:t>
      </w:r>
      <w:r w:rsidRPr="00CD43D5">
        <w:t>genhet,</w:t>
      </w:r>
    </w:p>
    <w:p w:rsidR="00441AFC" w:rsidRPr="00CD43D5" w:rsidRDefault="00441AFC">
      <w:pPr>
        <w:pStyle w:val="Normaltindrag"/>
      </w:pPr>
      <w:r w:rsidRPr="00CD43D5">
        <w:t>3. lagen (1912:277) om avlösning av vissa frälseräntor, och</w:t>
      </w:r>
    </w:p>
    <w:p w:rsidR="00441AFC" w:rsidRPr="00CD43D5" w:rsidRDefault="00441AFC">
      <w:pPr>
        <w:pStyle w:val="Normaltindrag"/>
      </w:pPr>
      <w:r w:rsidRPr="00CD43D5">
        <w:t>4. lagen (1935:101) om inlösen av vissa frälseräntor.</w:t>
      </w:r>
    </w:p>
    <w:p w:rsidR="00441AFC" w:rsidRPr="00CD43D5" w:rsidRDefault="00441AFC">
      <w:pPr>
        <w:pStyle w:val="Rubrik2"/>
      </w:pPr>
      <w:r w:rsidRPr="00CD43D5">
        <w:br w:type="page"/>
      </w:r>
      <w:bookmarkStart w:id="46" w:name="_Toc465144151"/>
      <w:bookmarkStart w:id="47" w:name="_Toc465577128"/>
      <w:bookmarkStart w:id="48" w:name="_Toc469212226"/>
      <w:bookmarkStart w:id="49" w:name="_Toc479046909"/>
      <w:r w:rsidRPr="00CD43D5">
        <w:t>3. Förslag till lag om ändring i jordabalken</w:t>
      </w:r>
      <w:bookmarkEnd w:id="46"/>
      <w:bookmarkEnd w:id="47"/>
      <w:bookmarkEnd w:id="48"/>
      <w:bookmarkEnd w:id="49"/>
    </w:p>
    <w:p w:rsidR="00441AFC" w:rsidRPr="00CD43D5" w:rsidRDefault="00441AFC">
      <w:pPr>
        <w:pStyle w:val="Normaltindrag"/>
      </w:pPr>
    </w:p>
    <w:p w:rsidR="00441AFC" w:rsidRPr="00CD43D5" w:rsidRDefault="00441AFC">
      <w:pPr>
        <w:pStyle w:val="Normaltindrag"/>
      </w:pPr>
      <w:r w:rsidRPr="00CD43D5">
        <w:t>Härigenom föreskrivs i fråga om jordabalken</w:t>
      </w:r>
      <w:r w:rsidRPr="00CD43D5">
        <w:rPr>
          <w:rStyle w:val="Fotnotsreferens"/>
        </w:rPr>
        <w:footnoteReference w:customMarkFollows="1" w:id="1"/>
        <w:t>1</w:t>
      </w:r>
      <w:r w:rsidRPr="00CD43D5">
        <w:t xml:space="preserve"> </w:t>
      </w:r>
    </w:p>
    <w:p w:rsidR="00441AFC" w:rsidRPr="00CD43D5" w:rsidRDefault="00441AFC">
      <w:pPr>
        <w:pStyle w:val="Normaltindrag"/>
      </w:pPr>
      <w:r w:rsidRPr="00CD43D5">
        <w:rPr>
          <w:i/>
        </w:rPr>
        <w:t xml:space="preserve">dels </w:t>
      </w:r>
      <w:r w:rsidRPr="00CD43D5">
        <w:t>att 19 kap. skall upphöra att gälla,</w:t>
      </w:r>
    </w:p>
    <w:p w:rsidR="00441AFC" w:rsidRPr="00CD43D5" w:rsidRDefault="00441AFC">
      <w:pPr>
        <w:pStyle w:val="Normaltindrag"/>
      </w:pPr>
      <w:r w:rsidRPr="00CD43D5">
        <w:rPr>
          <w:i/>
        </w:rPr>
        <w:t xml:space="preserve">dels </w:t>
      </w:r>
      <w:r w:rsidRPr="00CD43D5">
        <w:t>att i 2 kap. 3 §, 18 kap. 10 §, 20 kap. 4, 6, 7, 13 och 14 §§, 22 kap. 3, 4 och 12 §§ samt 23 kap. 2 § ordet ”fastighetsboken” skall bytas ut mot ”fastighetsregistrets inskrivningsdel” och att i 13 kap. 15 och 25 §§ samt 21 kap. 4 § ordet ”tomträttsboken” skall bytas ut mot ”fastighetsregistrets i</w:t>
      </w:r>
      <w:r w:rsidRPr="00CD43D5">
        <w:t>n</w:t>
      </w:r>
      <w:r w:rsidRPr="00CD43D5">
        <w:t>skrivningsdel”,</w:t>
      </w:r>
    </w:p>
    <w:p w:rsidR="00441AFC" w:rsidRPr="00CD43D5" w:rsidRDefault="00441AFC">
      <w:pPr>
        <w:pStyle w:val="Normaltindrag"/>
      </w:pPr>
      <w:r w:rsidRPr="00CD43D5">
        <w:rPr>
          <w:i/>
        </w:rPr>
        <w:t xml:space="preserve">dels </w:t>
      </w:r>
      <w:r w:rsidRPr="00CD43D5">
        <w:t xml:space="preserve"> att 6 kap. 7 §, 13 kap. 16 och 18 §§, 18 kap. 8 §, 20 kap. 5 §, 21 kap. 6 §, 22 kap. 2 § samt 24 kap. 1 och 2 §§ skall ha följande lydelse,</w:t>
      </w:r>
    </w:p>
    <w:p w:rsidR="00441AFC" w:rsidRPr="00CD43D5" w:rsidRDefault="00441AFC">
      <w:pPr>
        <w:pStyle w:val="Normaltindrag"/>
      </w:pPr>
      <w:r w:rsidRPr="00CD43D5">
        <w:rPr>
          <w:i/>
        </w:rPr>
        <w:t>dels</w:t>
      </w:r>
      <w:r w:rsidRPr="00CD43D5">
        <w:t xml:space="preserve"> att det i balken skall införas ett nytt kapitel, 19 kap., av följande lyde</w:t>
      </w:r>
      <w:r w:rsidRPr="00CD43D5">
        <w:t>l</w:t>
      </w:r>
      <w:r w:rsidRPr="00CD43D5">
        <w:t>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rPr>
          <w:b/>
        </w:rPr>
      </w:pPr>
      <w:r w:rsidRPr="00CD43D5">
        <w:rPr>
          <w:b/>
        </w:rPr>
        <w:t>6 kap.</w:t>
      </w:r>
    </w:p>
    <w:p w:rsidR="00441AFC" w:rsidRPr="00CD43D5" w:rsidRDefault="00441AFC">
      <w:pPr>
        <w:spacing w:before="0"/>
        <w:jc w:val="center"/>
      </w:pPr>
      <w:r w:rsidRPr="00CD43D5">
        <w:t>7 §</w:t>
      </w:r>
      <w:r w:rsidRPr="00CD43D5">
        <w:rPr>
          <w:rStyle w:val="Fotnotsreferens"/>
        </w:rPr>
        <w:footnoteReference w:customMarkFollows="1" w:id="2"/>
        <w:t>2</w:t>
      </w:r>
      <w:r w:rsidRPr="00CD43D5">
        <w:t xml:space="preserve"> </w:t>
      </w:r>
    </w:p>
    <w:p w:rsidR="00441AFC" w:rsidRPr="00CD43D5" w:rsidRDefault="00441AFC">
      <w:pPr>
        <w:pStyle w:val="Normaltindrag"/>
      </w:pPr>
      <w:r w:rsidRPr="00CD43D5">
        <w:t>Har fastighet överlåtits och har därefter förre ägaren upplåtit panträtt i fa</w:t>
      </w:r>
      <w:r w:rsidRPr="00CD43D5">
        <w:t>s</w:t>
      </w:r>
      <w:r w:rsidRPr="00CD43D5">
        <w:t>tigheten, gäller upplåtelsen, om borgenären vid upplåtelsen eller, när for</w:t>
      </w:r>
      <w:r w:rsidRPr="00CD43D5">
        <w:t>d</w:t>
      </w:r>
      <w:r w:rsidRPr="00CD43D5">
        <w:t>ringen därefter överlåtits till annan, denne vid sitt förvärv varken ägde eller bort äga kännedom om äganderättsöverlåtelsen. Om fastigheten överlåtits även till annan, äger vad som sagts nu tillämpning i fråga om upplåtelse som den senare förvärvaren gjort.</w:t>
      </w:r>
    </w:p>
    <w:p w:rsidR="00441AFC" w:rsidRPr="00CD43D5" w:rsidRDefault="00441AFC">
      <w:pPr>
        <w:pStyle w:val="Normaltindrag"/>
      </w:pPr>
      <w:r w:rsidRPr="00CD43D5">
        <w:t>Första stycket äger tillämpning även när fastigheten övergått genom sådant förvärv som avses i 17 kap. 11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Vid tillämpning av första stycket skall den som förlitat sig på ett </w:t>
            </w:r>
            <w:r w:rsidRPr="00CD43D5">
              <w:rPr>
                <w:i/>
              </w:rPr>
              <w:t>högst sex månader</w:t>
            </w:r>
            <w:r w:rsidRPr="00CD43D5">
              <w:t xml:space="preserve"> </w:t>
            </w:r>
            <w:r w:rsidRPr="00CD43D5">
              <w:rPr>
                <w:i/>
              </w:rPr>
              <w:t>gammalt</w:t>
            </w:r>
            <w:r w:rsidRPr="00CD43D5">
              <w:t xml:space="preserve"> </w:t>
            </w:r>
            <w:r w:rsidRPr="00CD43D5">
              <w:rPr>
                <w:i/>
              </w:rPr>
              <w:t>eller,</w:t>
            </w:r>
            <w:r w:rsidRPr="00CD43D5">
              <w:t xml:space="preserve"> </w:t>
            </w:r>
            <w:r w:rsidRPr="00CD43D5">
              <w:rPr>
                <w:i/>
              </w:rPr>
              <w:t>i fråga om förhållanden i inskri</w:t>
            </w:r>
            <w:r w:rsidRPr="00CD43D5">
              <w:rPr>
                <w:i/>
              </w:rPr>
              <w:t>v</w:t>
            </w:r>
            <w:r w:rsidRPr="00CD43D5">
              <w:rPr>
                <w:i/>
              </w:rPr>
              <w:t>ningsregister</w:t>
            </w:r>
            <w:r w:rsidRPr="00CD43D5">
              <w:t>, högst en månad gammalt gravationsbevis anses ha varit i god tro, om det inte framgår av omständigheterna att han på annat sätt har fått eller borde ha fått kännedom om äganderättsöverlåte</w:t>
            </w:r>
            <w:r w:rsidRPr="00CD43D5">
              <w:t>l</w:t>
            </w:r>
            <w:r w:rsidRPr="00CD43D5">
              <w:t>sen.</w:t>
            </w:r>
          </w:p>
        </w:tc>
        <w:tc>
          <w:tcPr>
            <w:tcW w:w="3118" w:type="dxa"/>
          </w:tcPr>
          <w:p w:rsidR="00441AFC" w:rsidRPr="00CD43D5" w:rsidRDefault="00441AFC">
            <w:pPr>
              <w:pStyle w:val="Normaltindrag"/>
            </w:pPr>
            <w:r w:rsidRPr="00CD43D5">
              <w:t xml:space="preserve">Vid tillämpning av första stycket skall den som </w:t>
            </w:r>
            <w:r w:rsidRPr="00CD43D5">
              <w:rPr>
                <w:i/>
              </w:rPr>
              <w:t xml:space="preserve">har </w:t>
            </w:r>
            <w:r w:rsidRPr="00CD43D5">
              <w:t>förlitat sig på ett högst en månad gammalt grav</w:t>
            </w:r>
            <w:r w:rsidRPr="00CD43D5">
              <w:t>a</w:t>
            </w:r>
            <w:r w:rsidRPr="00CD43D5">
              <w:t>tionsbevis anses ha varit i god tro, om det inte framgår av omständi</w:t>
            </w:r>
            <w:r w:rsidRPr="00CD43D5">
              <w:t>g</w:t>
            </w:r>
            <w:r w:rsidRPr="00CD43D5">
              <w:t xml:space="preserve">heterna att han </w:t>
            </w:r>
            <w:r w:rsidRPr="00CD43D5">
              <w:rPr>
                <w:i/>
              </w:rPr>
              <w:t>eller hon</w:t>
            </w:r>
            <w:r w:rsidRPr="00CD43D5">
              <w:t xml:space="preserve"> på annat sätt har fått eller borde ha fått kä</w:t>
            </w:r>
            <w:r w:rsidRPr="00CD43D5">
              <w:t>n</w:t>
            </w:r>
            <w:r w:rsidRPr="00CD43D5">
              <w:t>nedom om äganderättsöverlåtelsen.</w:t>
            </w:r>
          </w:p>
        </w:tc>
      </w:tr>
    </w:tbl>
    <w:p w:rsidR="00441AFC" w:rsidRPr="00CD43D5" w:rsidRDefault="00441AFC">
      <w:pPr>
        <w:jc w:val="center"/>
      </w:pPr>
    </w:p>
    <w:p w:rsidR="00441AFC" w:rsidRPr="00CD43D5" w:rsidRDefault="00441AFC">
      <w:pPr>
        <w:jc w:val="center"/>
        <w:rPr>
          <w:b/>
        </w:rPr>
      </w:pPr>
      <w:r w:rsidRPr="00CD43D5">
        <w:br w:type="page"/>
      </w:r>
      <w:r w:rsidRPr="00CD43D5">
        <w:rPr>
          <w:b/>
        </w:rPr>
        <w:t>13 kap.</w:t>
      </w:r>
    </w:p>
    <w:p w:rsidR="00441AFC" w:rsidRPr="00CD43D5" w:rsidRDefault="00441AFC">
      <w:pPr>
        <w:spacing w:before="0"/>
        <w:jc w:val="center"/>
      </w:pPr>
      <w:r w:rsidRPr="00CD43D5">
        <w:t>16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Anser tomträttshavaren att skäl för uppsägning</w:t>
            </w:r>
            <w:r w:rsidRPr="00CD43D5">
              <w:rPr>
                <w:i/>
              </w:rPr>
              <w:t xml:space="preserve"> ej</w:t>
            </w:r>
            <w:r w:rsidRPr="00CD43D5">
              <w:t xml:space="preserve"> </w:t>
            </w:r>
            <w:r w:rsidRPr="00CD43D5">
              <w:rPr>
                <w:i/>
              </w:rPr>
              <w:t>föreligger,</w:t>
            </w:r>
            <w:r w:rsidRPr="00CD43D5">
              <w:t xml:space="preserve"> får han klandra uppsägningen. </w:t>
            </w:r>
            <w:r w:rsidRPr="00CD43D5">
              <w:rPr>
                <w:i/>
              </w:rPr>
              <w:t>Väckes ej</w:t>
            </w:r>
            <w:r w:rsidRPr="00CD43D5">
              <w:t xml:space="preserve"> talan inom tre månader efter det att uppsägningen antecknades i </w:t>
            </w:r>
            <w:r w:rsidRPr="00CD43D5">
              <w:rPr>
                <w:i/>
              </w:rPr>
              <w:t>tom</w:t>
            </w:r>
            <w:r w:rsidRPr="00CD43D5">
              <w:rPr>
                <w:i/>
              </w:rPr>
              <w:t>t</w:t>
            </w:r>
            <w:r w:rsidRPr="00CD43D5">
              <w:rPr>
                <w:i/>
              </w:rPr>
              <w:t>rättsboken,</w:t>
            </w:r>
            <w:r w:rsidRPr="00CD43D5">
              <w:t xml:space="preserve"> är rätten till talan förl</w:t>
            </w:r>
            <w:r w:rsidRPr="00CD43D5">
              <w:t>o</w:t>
            </w:r>
            <w:r w:rsidRPr="00CD43D5">
              <w:t>rad.</w:t>
            </w:r>
          </w:p>
        </w:tc>
        <w:tc>
          <w:tcPr>
            <w:tcW w:w="3118" w:type="dxa"/>
          </w:tcPr>
          <w:p w:rsidR="00441AFC" w:rsidRPr="00CD43D5" w:rsidRDefault="00441AFC">
            <w:pPr>
              <w:pStyle w:val="Normaltindrag"/>
            </w:pPr>
            <w:r w:rsidRPr="00CD43D5">
              <w:t xml:space="preserve">Anser tomträttshavaren att </w:t>
            </w:r>
            <w:r w:rsidRPr="00CD43D5">
              <w:rPr>
                <w:i/>
              </w:rPr>
              <w:t>det inte finns</w:t>
            </w:r>
            <w:r w:rsidRPr="00CD43D5">
              <w:t xml:space="preserve"> skäl för uppsägning, får han </w:t>
            </w:r>
            <w:r w:rsidRPr="00CD43D5">
              <w:rPr>
                <w:i/>
              </w:rPr>
              <w:t>eller hon</w:t>
            </w:r>
            <w:r w:rsidRPr="00CD43D5">
              <w:t xml:space="preserve"> klandra upp-sägningen. </w:t>
            </w:r>
            <w:r w:rsidRPr="00CD43D5">
              <w:rPr>
                <w:i/>
              </w:rPr>
              <w:t xml:space="preserve">Om tomträttshavaren inte väcker </w:t>
            </w:r>
            <w:r w:rsidRPr="00CD43D5">
              <w:t>talan inom tre månader efter det att uppsägningen antec</w:t>
            </w:r>
            <w:r w:rsidRPr="00CD43D5">
              <w:t>k</w:t>
            </w:r>
            <w:r w:rsidRPr="00CD43D5">
              <w:t xml:space="preserve">nades i </w:t>
            </w:r>
            <w:r w:rsidRPr="00CD43D5">
              <w:rPr>
                <w:i/>
              </w:rPr>
              <w:t>fastighetsregistrets inskri</w:t>
            </w:r>
            <w:r w:rsidRPr="00CD43D5">
              <w:rPr>
                <w:i/>
              </w:rPr>
              <w:t>v</w:t>
            </w:r>
            <w:r w:rsidRPr="00CD43D5">
              <w:rPr>
                <w:i/>
              </w:rPr>
              <w:t>ningsdel,</w:t>
            </w:r>
            <w:r w:rsidRPr="00CD43D5">
              <w:t xml:space="preserve"> är rätten till talan förlorad.</w:t>
            </w:r>
          </w:p>
        </w:tc>
      </w:tr>
    </w:tbl>
    <w:p w:rsidR="00441AFC" w:rsidRPr="00CD43D5" w:rsidRDefault="00441AFC">
      <w:pPr>
        <w:jc w:val="center"/>
      </w:pPr>
    </w:p>
    <w:p w:rsidR="00441AFC" w:rsidRPr="00CD43D5" w:rsidRDefault="00441AFC">
      <w:pPr>
        <w:jc w:val="center"/>
      </w:pPr>
      <w:r w:rsidRPr="00CD43D5">
        <w:t>18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När </w:t>
            </w:r>
            <w:r w:rsidRPr="00CD43D5">
              <w:rPr>
                <w:i/>
              </w:rPr>
              <w:t>det åligger</w:t>
            </w:r>
            <w:r w:rsidRPr="00CD43D5">
              <w:t xml:space="preserve"> fastighetsägaren att lösa egendom, skall talan om </w:t>
            </w:r>
            <w:r w:rsidRPr="00CD43D5">
              <w:rPr>
                <w:i/>
              </w:rPr>
              <w:t>lösesummans</w:t>
            </w:r>
            <w:r w:rsidRPr="00CD43D5">
              <w:t xml:space="preserve"> </w:t>
            </w:r>
            <w:r w:rsidRPr="00CD43D5">
              <w:rPr>
                <w:i/>
              </w:rPr>
              <w:t xml:space="preserve">bestämmande </w:t>
            </w:r>
            <w:r w:rsidRPr="00CD43D5">
              <w:t>väckas inom ett år efter det att uppsägnin</w:t>
            </w:r>
            <w:r w:rsidRPr="00CD43D5">
              <w:t>g</w:t>
            </w:r>
            <w:r w:rsidRPr="00CD43D5">
              <w:t xml:space="preserve">en antecknades i </w:t>
            </w:r>
            <w:r w:rsidRPr="00CD43D5">
              <w:rPr>
                <w:i/>
              </w:rPr>
              <w:t>tomträttsboken</w:t>
            </w:r>
            <w:r w:rsidRPr="00CD43D5">
              <w:t xml:space="preserve"> </w:t>
            </w:r>
            <w:r w:rsidRPr="00CD43D5">
              <w:rPr>
                <w:i/>
              </w:rPr>
              <w:t>eller, om talan väckts</w:t>
            </w:r>
            <w:r w:rsidRPr="00CD43D5">
              <w:t xml:space="preserve"> enligt 16 §, inom ett år efter det att domen i målet vann laga kraft. Om tiden</w:t>
            </w:r>
            <w:r w:rsidRPr="00CD43D5">
              <w:rPr>
                <w:i/>
              </w:rPr>
              <w:t xml:space="preserve"> ej iakttages</w:t>
            </w:r>
            <w:r w:rsidRPr="00CD43D5">
              <w:t>, förfaller uppsägningen. Talan får väckas av såväl fasti</w:t>
            </w:r>
            <w:r w:rsidRPr="00CD43D5">
              <w:t>g</w:t>
            </w:r>
            <w:r w:rsidRPr="00CD43D5">
              <w:t>hetsägaren som tomträttshavaren.</w:t>
            </w: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r w:rsidRPr="00CD43D5">
              <w:t xml:space="preserve">Sedan </w:t>
            </w:r>
            <w:r w:rsidRPr="00CD43D5">
              <w:rPr>
                <w:i/>
              </w:rPr>
              <w:t>dom</w:t>
            </w:r>
            <w:r w:rsidRPr="00CD43D5">
              <w:t xml:space="preserve"> </w:t>
            </w:r>
            <w:r w:rsidRPr="00CD43D5">
              <w:rPr>
                <w:i/>
              </w:rPr>
              <w:t>varigenom lösesu</w:t>
            </w:r>
            <w:r w:rsidRPr="00CD43D5">
              <w:rPr>
                <w:i/>
              </w:rPr>
              <w:t>m</w:t>
            </w:r>
            <w:r w:rsidRPr="00CD43D5">
              <w:rPr>
                <w:i/>
              </w:rPr>
              <w:t>man blivit bestämd</w:t>
            </w:r>
            <w:r w:rsidRPr="00CD43D5">
              <w:t xml:space="preserve"> vunnit laga kraft, skall lösesumman inom en månad </w:t>
            </w:r>
            <w:r w:rsidRPr="00CD43D5">
              <w:rPr>
                <w:i/>
              </w:rPr>
              <w:t xml:space="preserve">nedsättas </w:t>
            </w:r>
            <w:r w:rsidRPr="00CD43D5">
              <w:t xml:space="preserve">hos länsstyrelsen. </w:t>
            </w:r>
            <w:r w:rsidRPr="00CD43D5">
              <w:rPr>
                <w:i/>
              </w:rPr>
              <w:t>Nedsättning</w:t>
            </w:r>
            <w:r w:rsidRPr="00CD43D5">
              <w:t xml:space="preserve"> behöver dock </w:t>
            </w:r>
            <w:r w:rsidRPr="00CD43D5">
              <w:rPr>
                <w:i/>
              </w:rPr>
              <w:t>icke</w:t>
            </w:r>
            <w:r w:rsidRPr="00CD43D5">
              <w:t xml:space="preserve"> </w:t>
            </w:r>
            <w:r w:rsidRPr="00CD43D5">
              <w:rPr>
                <w:i/>
              </w:rPr>
              <w:t>ske</w:t>
            </w:r>
            <w:r w:rsidRPr="00CD43D5">
              <w:t xml:space="preserve"> tidigare än en månad före den dag till vilken uppsägningen ägt rum. </w:t>
            </w:r>
            <w:r w:rsidRPr="00CD43D5">
              <w:rPr>
                <w:i/>
              </w:rPr>
              <w:t>Sker nedsättning</w:t>
            </w:r>
            <w:r w:rsidRPr="00CD43D5">
              <w:t xml:space="preserve"> </w:t>
            </w:r>
            <w:r w:rsidRPr="00CD43D5">
              <w:rPr>
                <w:i/>
              </w:rPr>
              <w:t>ej</w:t>
            </w:r>
            <w:r w:rsidRPr="00CD43D5">
              <w:t xml:space="preserve"> inom föreskr</w:t>
            </w:r>
            <w:r w:rsidRPr="00CD43D5">
              <w:t>i</w:t>
            </w:r>
            <w:r w:rsidRPr="00CD43D5">
              <w:t>ven tid, skall länsstyrelsen</w:t>
            </w:r>
            <w:r w:rsidRPr="00CD43D5">
              <w:rPr>
                <w:i/>
              </w:rPr>
              <w:t xml:space="preserve"> på</w:t>
            </w:r>
            <w:r w:rsidRPr="00CD43D5">
              <w:t xml:space="preserve"> ans</w:t>
            </w:r>
            <w:r w:rsidRPr="00CD43D5">
              <w:t>ö</w:t>
            </w:r>
            <w:r w:rsidRPr="00CD43D5">
              <w:t xml:space="preserve">kan </w:t>
            </w:r>
            <w:r w:rsidRPr="00CD43D5">
              <w:rPr>
                <w:i/>
              </w:rPr>
              <w:t>låta uttaga</w:t>
            </w:r>
            <w:r w:rsidRPr="00CD43D5">
              <w:t xml:space="preserve"> beloppet som om betalningsskyldighet ålagts genom domen. </w:t>
            </w:r>
            <w:r w:rsidRPr="00CD43D5">
              <w:rPr>
                <w:i/>
              </w:rPr>
              <w:t>När nedsättning ägt rum</w:t>
            </w:r>
            <w:r w:rsidRPr="00CD43D5">
              <w:t xml:space="preserve">, skall länsstyrelsen genast </w:t>
            </w:r>
            <w:r w:rsidRPr="00CD43D5">
              <w:rPr>
                <w:i/>
              </w:rPr>
              <w:t>göra anmälan därom</w:t>
            </w:r>
            <w:r w:rsidRPr="00CD43D5">
              <w:t xml:space="preserve"> till i</w:t>
            </w:r>
            <w:r w:rsidRPr="00CD43D5">
              <w:t>n</w:t>
            </w:r>
            <w:r w:rsidRPr="00CD43D5">
              <w:t>skrivnings-myndigheten för anteckning i</w:t>
            </w:r>
            <w:r w:rsidRPr="00CD43D5">
              <w:rPr>
                <w:i/>
              </w:rPr>
              <w:t xml:space="preserve"> tom</w:t>
            </w:r>
            <w:r w:rsidRPr="00CD43D5">
              <w:rPr>
                <w:i/>
              </w:rPr>
              <w:t>t</w:t>
            </w:r>
            <w:r w:rsidRPr="00CD43D5">
              <w:rPr>
                <w:i/>
              </w:rPr>
              <w:t>rätt</w:t>
            </w:r>
            <w:r w:rsidRPr="00CD43D5">
              <w:rPr>
                <w:i/>
              </w:rPr>
              <w:t>s</w:t>
            </w:r>
            <w:r w:rsidRPr="00CD43D5">
              <w:rPr>
                <w:i/>
              </w:rPr>
              <w:t>boken.</w:t>
            </w:r>
            <w:r w:rsidRPr="00CD43D5">
              <w:t xml:space="preserve"> </w:t>
            </w:r>
          </w:p>
        </w:tc>
        <w:tc>
          <w:tcPr>
            <w:tcW w:w="3118" w:type="dxa"/>
          </w:tcPr>
          <w:p w:rsidR="00441AFC" w:rsidRPr="00CD43D5" w:rsidRDefault="00441AFC">
            <w:pPr>
              <w:pStyle w:val="Normaltindrag"/>
            </w:pPr>
            <w:r w:rsidRPr="00CD43D5">
              <w:t>När fastighets</w:t>
            </w:r>
            <w:r w:rsidRPr="00CD43D5">
              <w:t xml:space="preserve">ägaren </w:t>
            </w:r>
            <w:r w:rsidRPr="00CD43D5">
              <w:rPr>
                <w:i/>
              </w:rPr>
              <w:t xml:space="preserve">är skyldig </w:t>
            </w:r>
            <w:r w:rsidRPr="00CD43D5">
              <w:t xml:space="preserve">att lösa egendom, skall talan om </w:t>
            </w:r>
            <w:r w:rsidRPr="00CD43D5">
              <w:rPr>
                <w:i/>
              </w:rPr>
              <w:t>lös</w:t>
            </w:r>
            <w:r w:rsidRPr="00CD43D5">
              <w:rPr>
                <w:i/>
              </w:rPr>
              <w:t>e</w:t>
            </w:r>
            <w:r w:rsidRPr="00CD43D5">
              <w:rPr>
                <w:i/>
              </w:rPr>
              <w:t>summan</w:t>
            </w:r>
            <w:r w:rsidRPr="00CD43D5">
              <w:t xml:space="preserve"> väckas inom ett år efter det att uppsägningen antecknades i </w:t>
            </w:r>
            <w:r w:rsidRPr="00CD43D5">
              <w:rPr>
                <w:i/>
              </w:rPr>
              <w:t>fastighetsregistrets inskrivningsdel. Om tomträttshavaren har klandrat uppsägningen</w:t>
            </w:r>
            <w:r w:rsidRPr="00CD43D5">
              <w:t xml:space="preserve"> enligt 16 §, </w:t>
            </w:r>
            <w:r w:rsidRPr="00CD43D5">
              <w:rPr>
                <w:i/>
              </w:rPr>
              <w:t xml:space="preserve">får talan om lösesumman i stället väckas </w:t>
            </w:r>
            <w:r w:rsidRPr="00CD43D5">
              <w:t xml:space="preserve">inom ett år efter det att domen i målet </w:t>
            </w:r>
            <w:r w:rsidRPr="00CD43D5">
              <w:rPr>
                <w:i/>
              </w:rPr>
              <w:t>om klander</w:t>
            </w:r>
            <w:r w:rsidRPr="00CD43D5">
              <w:t xml:space="preserve"> vann laga kraft. Om tiden </w:t>
            </w:r>
            <w:r w:rsidRPr="00CD43D5">
              <w:rPr>
                <w:i/>
              </w:rPr>
              <w:t>inte</w:t>
            </w:r>
            <w:r w:rsidRPr="00CD43D5">
              <w:t xml:space="preserve"> </w:t>
            </w:r>
            <w:r w:rsidRPr="00CD43D5">
              <w:rPr>
                <w:i/>
              </w:rPr>
              <w:t>iakttas</w:t>
            </w:r>
            <w:r w:rsidRPr="00CD43D5">
              <w:t>, förfaller uppsägningen. Talan får väckas av såväl fastighetsägaren som tom</w:t>
            </w:r>
            <w:r w:rsidRPr="00CD43D5">
              <w:t>t</w:t>
            </w:r>
            <w:r w:rsidRPr="00CD43D5">
              <w:t>rättshavaren.</w:t>
            </w:r>
          </w:p>
          <w:p w:rsidR="00441AFC" w:rsidRPr="00CD43D5" w:rsidRDefault="00441AFC">
            <w:pPr>
              <w:pStyle w:val="Normaltindrag"/>
            </w:pPr>
            <w:r w:rsidRPr="00CD43D5">
              <w:t xml:space="preserve">Sedan </w:t>
            </w:r>
            <w:r w:rsidRPr="00CD43D5">
              <w:rPr>
                <w:i/>
              </w:rPr>
              <w:t>domen</w:t>
            </w:r>
            <w:r w:rsidRPr="00CD43D5">
              <w:t xml:space="preserve"> </w:t>
            </w:r>
            <w:r w:rsidRPr="00CD43D5">
              <w:rPr>
                <w:i/>
              </w:rPr>
              <w:t>om</w:t>
            </w:r>
            <w:r w:rsidRPr="00CD43D5">
              <w:t xml:space="preserve"> </w:t>
            </w:r>
            <w:r w:rsidRPr="00CD43D5">
              <w:rPr>
                <w:i/>
              </w:rPr>
              <w:t xml:space="preserve">lösesumman har </w:t>
            </w:r>
            <w:r w:rsidRPr="00CD43D5">
              <w:t xml:space="preserve">vunnit laga kraft, skall lösesumman inom en månad </w:t>
            </w:r>
            <w:r w:rsidRPr="00CD43D5">
              <w:rPr>
                <w:i/>
              </w:rPr>
              <w:t>deponeras</w:t>
            </w:r>
            <w:r w:rsidRPr="00CD43D5">
              <w:t xml:space="preserve"> hos länsstyrelsen. </w:t>
            </w:r>
            <w:r w:rsidRPr="00CD43D5">
              <w:rPr>
                <w:i/>
              </w:rPr>
              <w:t>Lösesumman</w:t>
            </w:r>
            <w:r w:rsidRPr="00CD43D5">
              <w:t xml:space="preserve"> behöver dock </w:t>
            </w:r>
            <w:r w:rsidRPr="00CD43D5">
              <w:rPr>
                <w:i/>
              </w:rPr>
              <w:t>inte</w:t>
            </w:r>
            <w:r w:rsidRPr="00CD43D5">
              <w:t xml:space="preserve"> </w:t>
            </w:r>
            <w:r w:rsidRPr="00CD43D5">
              <w:rPr>
                <w:i/>
              </w:rPr>
              <w:t>deponeras</w:t>
            </w:r>
            <w:r w:rsidRPr="00CD43D5">
              <w:t xml:space="preserve"> tidigare än en månad före den dag till vilken up</w:t>
            </w:r>
            <w:r w:rsidRPr="00CD43D5">
              <w:t>p</w:t>
            </w:r>
            <w:r w:rsidRPr="00CD43D5">
              <w:t>sägningen</w:t>
            </w:r>
            <w:r w:rsidRPr="00CD43D5">
              <w:rPr>
                <w:i/>
              </w:rPr>
              <w:t xml:space="preserve"> har</w:t>
            </w:r>
            <w:r w:rsidRPr="00CD43D5">
              <w:t xml:space="preserve"> ägt rum. </w:t>
            </w:r>
            <w:r w:rsidRPr="00CD43D5">
              <w:rPr>
                <w:i/>
              </w:rPr>
              <w:t>Om lös</w:t>
            </w:r>
            <w:r w:rsidRPr="00CD43D5">
              <w:rPr>
                <w:i/>
              </w:rPr>
              <w:t>e</w:t>
            </w:r>
            <w:r w:rsidRPr="00CD43D5">
              <w:rPr>
                <w:i/>
              </w:rPr>
              <w:t>summan</w:t>
            </w:r>
            <w:r w:rsidRPr="00CD43D5">
              <w:t xml:space="preserve"> </w:t>
            </w:r>
            <w:r w:rsidRPr="00CD43D5">
              <w:rPr>
                <w:i/>
              </w:rPr>
              <w:t xml:space="preserve">inte deponeras </w:t>
            </w:r>
            <w:r w:rsidRPr="00CD43D5">
              <w:t xml:space="preserve"> inom för</w:t>
            </w:r>
            <w:r w:rsidRPr="00CD43D5">
              <w:t>e</w:t>
            </w:r>
            <w:r w:rsidRPr="00CD43D5">
              <w:t xml:space="preserve">skriven tid, skall länsstyrelsen </w:t>
            </w:r>
            <w:r w:rsidRPr="00CD43D5">
              <w:rPr>
                <w:i/>
              </w:rPr>
              <w:t>efter</w:t>
            </w:r>
            <w:r w:rsidRPr="00CD43D5">
              <w:t xml:space="preserve"> ansökan</w:t>
            </w:r>
            <w:r w:rsidRPr="00CD43D5">
              <w:rPr>
                <w:i/>
              </w:rPr>
              <w:t xml:space="preserve"> ta ut</w:t>
            </w:r>
            <w:r w:rsidRPr="00CD43D5">
              <w:t xml:space="preserve"> beloppet som om betalningsskyldighet </w:t>
            </w:r>
            <w:r w:rsidRPr="00CD43D5">
              <w:rPr>
                <w:i/>
              </w:rPr>
              <w:t>hade</w:t>
            </w:r>
            <w:r w:rsidRPr="00CD43D5">
              <w:t xml:space="preserve"> ålagts genom domen. När </w:t>
            </w:r>
            <w:r w:rsidRPr="00CD43D5">
              <w:rPr>
                <w:i/>
              </w:rPr>
              <w:t>lösesumman har deponerats,</w:t>
            </w:r>
            <w:r w:rsidRPr="00CD43D5">
              <w:t xml:space="preserve"> skall länsstyrelsen genast </w:t>
            </w:r>
            <w:r w:rsidRPr="00CD43D5">
              <w:rPr>
                <w:i/>
              </w:rPr>
              <w:t>anmäla detta</w:t>
            </w:r>
            <w:r w:rsidRPr="00CD43D5">
              <w:t xml:space="preserve"> till inskriv-ningsmyndigheten för anteckning i </w:t>
            </w:r>
            <w:r w:rsidRPr="00CD43D5">
              <w:rPr>
                <w:i/>
              </w:rPr>
              <w:t>fastighetsregistrets inskr</w:t>
            </w:r>
            <w:r w:rsidRPr="00CD43D5">
              <w:rPr>
                <w:i/>
              </w:rPr>
              <w:t>ivningsdel.</w:t>
            </w:r>
          </w:p>
        </w:tc>
      </w:tr>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Medel som </w:t>
            </w:r>
            <w:r w:rsidRPr="00CD43D5">
              <w:rPr>
                <w:i/>
              </w:rPr>
              <w:t>nedsatts</w:t>
            </w:r>
            <w:r w:rsidRPr="00CD43D5">
              <w:t xml:space="preserve"> skall ofö</w:t>
            </w:r>
            <w:r w:rsidRPr="00CD43D5">
              <w:t>r</w:t>
            </w:r>
            <w:r w:rsidRPr="00CD43D5">
              <w:t xml:space="preserve">dröjligen </w:t>
            </w:r>
            <w:r w:rsidRPr="00CD43D5">
              <w:rPr>
                <w:i/>
              </w:rPr>
              <w:t>insättas</w:t>
            </w:r>
            <w:r w:rsidRPr="00CD43D5">
              <w:t xml:space="preserve"> i bank mot ränta.</w:t>
            </w:r>
          </w:p>
        </w:tc>
        <w:tc>
          <w:tcPr>
            <w:tcW w:w="3118" w:type="dxa"/>
          </w:tcPr>
          <w:p w:rsidR="00441AFC" w:rsidRPr="00CD43D5" w:rsidRDefault="00441AFC">
            <w:pPr>
              <w:pStyle w:val="Normaltindrag"/>
            </w:pPr>
            <w:r w:rsidRPr="00CD43D5">
              <w:t xml:space="preserve">Medel som </w:t>
            </w:r>
            <w:r w:rsidRPr="00CD43D5">
              <w:rPr>
                <w:i/>
              </w:rPr>
              <w:t>har</w:t>
            </w:r>
            <w:r w:rsidRPr="00CD43D5">
              <w:t xml:space="preserve"> </w:t>
            </w:r>
            <w:r w:rsidRPr="00CD43D5">
              <w:rPr>
                <w:i/>
              </w:rPr>
              <w:t>deponerats</w:t>
            </w:r>
            <w:r w:rsidRPr="00CD43D5">
              <w:t xml:space="preserve"> skall ofördröjligen </w:t>
            </w:r>
            <w:r w:rsidRPr="00CD43D5">
              <w:rPr>
                <w:i/>
              </w:rPr>
              <w:t>sättas in</w:t>
            </w:r>
            <w:r w:rsidRPr="00CD43D5">
              <w:t xml:space="preserve"> i bank mot ränta.</w:t>
            </w:r>
          </w:p>
        </w:tc>
      </w:tr>
    </w:tbl>
    <w:p w:rsidR="00441AFC" w:rsidRPr="00CD43D5" w:rsidRDefault="00441AFC"/>
    <w:p w:rsidR="00441AFC" w:rsidRPr="00CD43D5" w:rsidRDefault="00441AFC">
      <w:pPr>
        <w:pStyle w:val="Normaltindrag"/>
        <w:jc w:val="center"/>
        <w:rPr>
          <w:b/>
        </w:rPr>
      </w:pPr>
      <w:r w:rsidRPr="00CD43D5">
        <w:rPr>
          <w:b/>
        </w:rPr>
        <w:t>18 kap.</w:t>
      </w:r>
    </w:p>
    <w:p w:rsidR="00441AFC" w:rsidRPr="00CD43D5" w:rsidRDefault="00441AFC">
      <w:pPr>
        <w:pStyle w:val="Normaltindrag"/>
        <w:jc w:val="center"/>
      </w:pPr>
      <w:r w:rsidRPr="00CD43D5">
        <w:t>8 §</w:t>
      </w:r>
      <w:r w:rsidRPr="00CD43D5">
        <w:rPr>
          <w:rStyle w:val="Fotnotsreferens"/>
        </w:rPr>
        <w:footnoteReference w:customMarkFollows="1" w:id="3"/>
        <w:t>3</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Har ärende angående anteckning enligt 19 kap. 20 § att talan blivit väckt om äganderätt till fast ege</w:t>
            </w:r>
            <w:r w:rsidRPr="00CD43D5">
              <w:rPr>
                <w:i/>
              </w:rPr>
              <w:t>n</w:t>
            </w:r>
            <w:r w:rsidRPr="00CD43D5">
              <w:rPr>
                <w:i/>
              </w:rPr>
              <w:t>dom eller enligt 20 kap. 14 § att ägares rätt att förfoga över ege</w:t>
            </w:r>
            <w:r w:rsidRPr="00CD43D5">
              <w:rPr>
                <w:i/>
              </w:rPr>
              <w:t>n</w:t>
            </w:r>
            <w:r w:rsidRPr="00CD43D5">
              <w:rPr>
                <w:i/>
              </w:rPr>
              <w:t>domen är inskränkt eller enligt 7 § förköpslagen (1967:868) att ko</w:t>
            </w:r>
            <w:r w:rsidRPr="00CD43D5">
              <w:rPr>
                <w:i/>
              </w:rPr>
              <w:t>m</w:t>
            </w:r>
            <w:r w:rsidRPr="00CD43D5">
              <w:rPr>
                <w:i/>
              </w:rPr>
              <w:t>mun beslutat utöva förköpsrätt i fråga om egendomen upptagits på inskrivningsdag, får den som dä</w:t>
            </w:r>
            <w:r w:rsidRPr="00CD43D5">
              <w:rPr>
                <w:i/>
              </w:rPr>
              <w:t>r</w:t>
            </w:r>
            <w:r w:rsidRPr="00CD43D5">
              <w:rPr>
                <w:i/>
              </w:rPr>
              <w:t>efter förvärvat egendomen eller annan rättighet i denna än panträtt icke till stöd för beståndet av fö</w:t>
            </w:r>
            <w:r w:rsidRPr="00CD43D5">
              <w:rPr>
                <w:i/>
              </w:rPr>
              <w:t>r</w:t>
            </w:r>
            <w:r w:rsidRPr="00CD43D5">
              <w:rPr>
                <w:i/>
              </w:rPr>
              <w:t>värvet eller rätten till ersättning enligt 4 § andra stycket åberopa att han vid förvärvet varken ägde eller bort äga kännedom om omständi</w:t>
            </w:r>
            <w:r w:rsidRPr="00CD43D5">
              <w:rPr>
                <w:i/>
              </w:rPr>
              <w:t>g</w:t>
            </w:r>
            <w:r w:rsidRPr="00CD43D5">
              <w:rPr>
                <w:i/>
              </w:rPr>
              <w:t>het som avses med anteckningen. Motsva</w:t>
            </w:r>
            <w:r w:rsidRPr="00CD43D5">
              <w:rPr>
                <w:i/>
              </w:rPr>
              <w:t>rande gäller i fråga om anteckning enligt 21 kap. 4 § att tomträttshavares rätt att upplåta servitut eller rätt till elektrisk kraft i tomträtten är inskränkt.</w:t>
            </w:r>
          </w:p>
        </w:tc>
        <w:tc>
          <w:tcPr>
            <w:tcW w:w="3118" w:type="dxa"/>
          </w:tcPr>
          <w:p w:rsidR="00441AFC" w:rsidRPr="00CD43D5" w:rsidRDefault="00441AFC">
            <w:pPr>
              <w:pStyle w:val="Normaltindrag"/>
              <w:rPr>
                <w:i/>
              </w:rPr>
            </w:pPr>
            <w:r w:rsidRPr="00CD43D5">
              <w:rPr>
                <w:i/>
              </w:rPr>
              <w:t>Sedan ett ärende om anteckning enligt 19 kap. 29 § första stycket, 20 kap. 14 § eller 21 kap. 4 § denna balk eller 7 § förköpslagen (1967:868) har tagits upp på en inskrivningsdag, får den som dä</w:t>
            </w:r>
            <w:r w:rsidRPr="00CD43D5">
              <w:rPr>
                <w:i/>
              </w:rPr>
              <w:t>r</w:t>
            </w:r>
            <w:r w:rsidRPr="00CD43D5">
              <w:rPr>
                <w:i/>
              </w:rPr>
              <w:t>efter har förvärvat egendomen eller någon annan rättighet i denna än panträtt inte till stöd för beståndet av förvärvet eller rätten till ersät</w:t>
            </w:r>
            <w:r w:rsidRPr="00CD43D5">
              <w:rPr>
                <w:i/>
              </w:rPr>
              <w:t>t</w:t>
            </w:r>
            <w:r w:rsidRPr="00CD43D5">
              <w:rPr>
                <w:i/>
              </w:rPr>
              <w:t>ning enligt 4 § andra stycket åber</w:t>
            </w:r>
            <w:r w:rsidRPr="00CD43D5">
              <w:rPr>
                <w:i/>
              </w:rPr>
              <w:t>o</w:t>
            </w:r>
            <w:r w:rsidRPr="00CD43D5">
              <w:rPr>
                <w:i/>
              </w:rPr>
              <w:t>pa att han eller hon vid förvärvet varken ägde eller bort äga känn</w:t>
            </w:r>
            <w:r w:rsidRPr="00CD43D5">
              <w:rPr>
                <w:i/>
              </w:rPr>
              <w:t>e</w:t>
            </w:r>
            <w:r w:rsidRPr="00CD43D5">
              <w:rPr>
                <w:i/>
              </w:rPr>
              <w:t>dom om den omständighet som har antecknats.</w:t>
            </w:r>
            <w:r w:rsidRPr="00CD43D5">
              <w:t xml:space="preserve"> </w:t>
            </w:r>
          </w:p>
          <w:p w:rsidR="00441AFC" w:rsidRPr="00CD43D5" w:rsidRDefault="00441AFC">
            <w:pPr>
              <w:pStyle w:val="Normaltindrag"/>
            </w:pPr>
          </w:p>
        </w:tc>
      </w:tr>
    </w:tbl>
    <w:p w:rsidR="00441AFC" w:rsidRPr="00CD43D5" w:rsidRDefault="00441AFC">
      <w:pPr>
        <w:pStyle w:val="Normaltindrag"/>
      </w:pPr>
      <w:r w:rsidRPr="00CD43D5">
        <w:t>Bestämmelserna i 6 kap. 7 § tredje stycket och 7 a § gäller också vid b</w:t>
      </w:r>
      <w:r w:rsidRPr="00CD43D5">
        <w:t>e</w:t>
      </w:r>
      <w:r w:rsidRPr="00CD43D5">
        <w:t xml:space="preserve">dömningen av om vid förvärv av panträtt god tro föreligger i fråga om en omständighet som avses med anteckning enligt första stycket. </w:t>
      </w:r>
    </w:p>
    <w:p w:rsidR="00441AFC" w:rsidRPr="00CD43D5" w:rsidRDefault="00441AFC">
      <w:pPr>
        <w:pStyle w:val="Normaltindrag"/>
      </w:pPr>
    </w:p>
    <w:p w:rsidR="00441AFC" w:rsidRPr="00CD43D5" w:rsidRDefault="00441AFC">
      <w:r w:rsidRPr="00CD43D5">
        <w:rPr>
          <w:b/>
          <w:i/>
        </w:rPr>
        <w:t>19 kap. Handläggning av inskrivningsärenden m.m</w:t>
      </w:r>
      <w:r w:rsidRPr="00CD43D5">
        <w:t>.</w:t>
      </w:r>
    </w:p>
    <w:p w:rsidR="00441AFC" w:rsidRPr="00CD43D5" w:rsidRDefault="00441AFC">
      <w:r w:rsidRPr="00CD43D5">
        <w:rPr>
          <w:b/>
          <w:i/>
        </w:rPr>
        <w:t>Allmänna bestämmelser om inskrivning</w:t>
      </w:r>
    </w:p>
    <w:p w:rsidR="00441AFC" w:rsidRPr="00CD43D5" w:rsidRDefault="00441AFC">
      <w:pPr>
        <w:pStyle w:val="Rubrik7"/>
      </w:pPr>
      <w:r w:rsidRPr="00CD43D5">
        <w:t>Inskrivning</w:t>
      </w:r>
    </w:p>
    <w:p w:rsidR="00441AFC" w:rsidRPr="00CD43D5" w:rsidRDefault="00441AFC">
      <w:r w:rsidRPr="00CD43D5">
        <w:t>1 § Inskrivning enligt denna balk skall göras i fastighetsregistrets inskri</w:t>
      </w:r>
      <w:r w:rsidRPr="00CD43D5">
        <w:t>v</w:t>
      </w:r>
      <w:r w:rsidRPr="00CD43D5">
        <w:t>ningsdel. Bestämmelser om fastighetsregistret finns i lagen (2000:000) om fastighetsregister.</w:t>
      </w:r>
    </w:p>
    <w:p w:rsidR="00441AFC" w:rsidRPr="00CD43D5" w:rsidRDefault="00441AFC">
      <w:pPr>
        <w:pStyle w:val="Normaltindrag"/>
      </w:pPr>
    </w:p>
    <w:p w:rsidR="00441AFC" w:rsidRPr="00CD43D5" w:rsidRDefault="00441AFC">
      <w:pPr>
        <w:pStyle w:val="Rubrik7"/>
      </w:pPr>
      <w:r w:rsidRPr="00CD43D5">
        <w:t>Inskrivningsärenden</w:t>
      </w:r>
    </w:p>
    <w:p w:rsidR="00441AFC" w:rsidRPr="00CD43D5" w:rsidRDefault="00441AFC">
      <w:r w:rsidRPr="00CD43D5">
        <w:t>2 §</w:t>
      </w:r>
      <w:r w:rsidRPr="00CD43D5">
        <w:rPr>
          <w:i/>
        </w:rPr>
        <w:t xml:space="preserve"> </w:t>
      </w:r>
      <w:r w:rsidRPr="00CD43D5">
        <w:t>Inskrivningsärenden är ärenden om lagfart, inteckning eller annan i</w:t>
      </w:r>
      <w:r w:rsidRPr="00CD43D5">
        <w:t>n</w:t>
      </w:r>
      <w:r w:rsidRPr="00CD43D5">
        <w:t>skrivning enligt 20–24 kap. samt ärenden om anteckning enligt 29 och 30 §§ i detta kapitel.</w:t>
      </w:r>
    </w:p>
    <w:p w:rsidR="00441AFC" w:rsidRPr="00CD43D5" w:rsidRDefault="00441AFC">
      <w:pPr>
        <w:pStyle w:val="Rubrik7"/>
      </w:pPr>
      <w:r w:rsidRPr="00CD43D5">
        <w:t>Handläggande myndighet</w:t>
      </w:r>
    </w:p>
    <w:p w:rsidR="00441AFC" w:rsidRPr="00CD43D5" w:rsidRDefault="00441AFC">
      <w:r w:rsidRPr="00CD43D5">
        <w:t>3 § Inskrivningsärenden skall handläggas av inskrivningsmyndigheter, om inte regeringen med stöd av 27 § har bestämt något annat. Regeringen b</w:t>
      </w:r>
      <w:r w:rsidRPr="00CD43D5">
        <w:t>e</w:t>
      </w:r>
      <w:r w:rsidRPr="00CD43D5">
        <w:t xml:space="preserve">stämmer inskrivningsmyndigheternas verksamhetsområden. </w:t>
      </w:r>
    </w:p>
    <w:p w:rsidR="00441AFC" w:rsidRPr="00CD43D5" w:rsidRDefault="00441AFC">
      <w:r w:rsidRPr="00CD43D5">
        <w:t>4 § Ett inskrivningsärende skall handläggas av den inskrivningsmyndighet inom vars verksamhetsområde den fastighet som ärendet rör är belägen.</w:t>
      </w:r>
    </w:p>
    <w:p w:rsidR="00441AFC" w:rsidRPr="00CD43D5" w:rsidRDefault="00441AFC">
      <w:r w:rsidRPr="00CD43D5">
        <w:t xml:space="preserve">5 § En inskrivningsmyndighet skall ledas av en lagfaren domare. </w:t>
      </w:r>
    </w:p>
    <w:p w:rsidR="00441AFC" w:rsidRPr="00CD43D5" w:rsidRDefault="00441AFC">
      <w:pPr>
        <w:pStyle w:val="Normaltindrag"/>
      </w:pPr>
      <w:r w:rsidRPr="00CD43D5">
        <w:t>För den som handlägger ett inskrivningsärende tillämpas bestämmelserna i 4 kap. 13–15 §§ rättegångsbalken om jäv.</w:t>
      </w:r>
    </w:p>
    <w:p w:rsidR="00441AFC" w:rsidRPr="00CD43D5" w:rsidRDefault="00441AFC">
      <w:pPr>
        <w:pStyle w:val="Normaltindrag"/>
      </w:pPr>
    </w:p>
    <w:p w:rsidR="00441AFC" w:rsidRPr="00CD43D5" w:rsidRDefault="00441AFC">
      <w:pPr>
        <w:pStyle w:val="Rubrik7"/>
      </w:pPr>
      <w:r w:rsidRPr="00CD43D5">
        <w:t>Inskrivningsdag</w:t>
      </w:r>
    </w:p>
    <w:p w:rsidR="00441AFC" w:rsidRPr="00CD43D5" w:rsidRDefault="00441AFC">
      <w:r w:rsidRPr="00CD43D5">
        <w:t>6 § Ett inskrivningsärende skall tas upp på en inskrivningsdag.</w:t>
      </w:r>
    </w:p>
    <w:p w:rsidR="00441AFC" w:rsidRPr="00CD43D5" w:rsidRDefault="00441AFC">
      <w:pPr>
        <w:pStyle w:val="Normaltindrag"/>
      </w:pPr>
      <w:r w:rsidRPr="00CD43D5">
        <w:t>Inskrivningsdag skall hållas varje måndag, tisdag, onsdag, torsdag och fr</w:t>
      </w:r>
      <w:r w:rsidRPr="00CD43D5">
        <w:t>e</w:t>
      </w:r>
      <w:r w:rsidRPr="00CD43D5">
        <w:t>dag, dock inte på helgdag, midsommarafton, julafton eller nyårsafton.</w:t>
      </w:r>
    </w:p>
    <w:p w:rsidR="00441AFC" w:rsidRPr="00CD43D5" w:rsidRDefault="00441AFC">
      <w:pPr>
        <w:pStyle w:val="Normaltindrag"/>
      </w:pPr>
      <w:r w:rsidRPr="00CD43D5">
        <w:t>Inskrivningsdagen skall avslutas klockan tolv. En ansökan om inskrivning enligt 20–24 kap. eller en anmälan om anteckning enligt 29 och 30 §§ i detta kapitel som kommer in till inskrivningsmyndigheten efter denna tidpunkt anses gjord följande inskrivningsdag.</w:t>
      </w:r>
    </w:p>
    <w:p w:rsidR="00441AFC" w:rsidRPr="00CD43D5" w:rsidRDefault="00441AFC">
      <w:pPr>
        <w:pStyle w:val="Normaltindrag"/>
      </w:pPr>
      <w:r w:rsidRPr="00CD43D5">
        <w:t>Om det samma dag som en ansökan eller anmälan tas upp görs en registr</w:t>
      </w:r>
      <w:r w:rsidRPr="00CD43D5">
        <w:t>e</w:t>
      </w:r>
      <w:r w:rsidRPr="00CD43D5">
        <w:t>ring i fastighetsregistrets allmänna del avseende den fastighet som ansökan eller anmälan avser, skall ansökan eller anmälan anses ha gjorts efter regi- streringen.</w:t>
      </w:r>
    </w:p>
    <w:p w:rsidR="00441AFC" w:rsidRPr="00CD43D5" w:rsidRDefault="00441AFC">
      <w:r w:rsidRPr="00CD43D5">
        <w:t>7 § Om ett inskrivningsärende enligt beslut av hovrätten eller Högsta do</w:t>
      </w:r>
      <w:r w:rsidRPr="00CD43D5">
        <w:t>m</w:t>
      </w:r>
      <w:r w:rsidRPr="00CD43D5">
        <w:t>stolen skall tas upp till ny handläggning hos inskrivningsmyndigheten, skall ärendet tas upp på den inskrivningsdag då beslutet inkommer till myndigh</w:t>
      </w:r>
      <w:r w:rsidRPr="00CD43D5">
        <w:t>e</w:t>
      </w:r>
      <w:r w:rsidRPr="00CD43D5">
        <w:t>ten.</w:t>
      </w:r>
    </w:p>
    <w:p w:rsidR="00441AFC" w:rsidRPr="00CD43D5" w:rsidRDefault="00441AFC">
      <w:pPr>
        <w:pStyle w:val="Normaltindrag"/>
      </w:pPr>
    </w:p>
    <w:p w:rsidR="00441AFC" w:rsidRPr="00CD43D5" w:rsidRDefault="00441AFC">
      <w:pPr>
        <w:pStyle w:val="Rubrik7"/>
      </w:pPr>
      <w:r w:rsidRPr="00CD43D5">
        <w:t>Dagbok och akter</w:t>
      </w:r>
    </w:p>
    <w:p w:rsidR="00441AFC" w:rsidRPr="00CD43D5" w:rsidRDefault="00441AFC">
      <w:r w:rsidRPr="00CD43D5">
        <w:t xml:space="preserve">8 § Inskrivningsmyndigheten skall föra dagbok över de inskrivningsärenden som handläggs av myndigheten. </w:t>
      </w:r>
    </w:p>
    <w:p w:rsidR="00441AFC" w:rsidRPr="00CD43D5" w:rsidRDefault="00441AFC">
      <w:r w:rsidRPr="00CD43D5">
        <w:t>9 § Inskrivningsmyndigheten skall sammanföra handlingarna i inskrivnings-ärendena i akter.</w:t>
      </w:r>
    </w:p>
    <w:p w:rsidR="00441AFC" w:rsidRPr="00CD43D5" w:rsidRDefault="00441AFC">
      <w:pPr>
        <w:pStyle w:val="Normaltindrag"/>
      </w:pPr>
      <w:r w:rsidRPr="00CD43D5">
        <w:t>Om sökanden eller någon annan har lämnat någon uppgift eller förklaring av betydelse för ärendet, skall en anteckning om detta göras i akten. De</w:t>
      </w:r>
      <w:r w:rsidRPr="00CD43D5">
        <w:t>t</w:t>
      </w:r>
      <w:r w:rsidRPr="00CD43D5">
        <w:t>samma gäller om en särskild utredning har gjorts i ärendet. I akten skall även tas in protokoll samt kallelser, förelägganden och andra beslut som inte skall antecknas i fastighetsregistrets inskrivningsdel.</w:t>
      </w:r>
    </w:p>
    <w:p w:rsidR="00441AFC" w:rsidRPr="00CD43D5" w:rsidRDefault="00441AFC">
      <w:pPr>
        <w:pStyle w:val="Normaltindrag"/>
      </w:pPr>
      <w:r w:rsidRPr="00CD43D5">
        <w:t>Att skälen för vissa beslut skall antecknas i akten framgår av 19 och 25 §§.</w:t>
      </w:r>
    </w:p>
    <w:p w:rsidR="00441AFC" w:rsidRPr="00CD43D5" w:rsidRDefault="00441AFC">
      <w:pPr>
        <w:pStyle w:val="Normaltindrag"/>
      </w:pPr>
    </w:p>
    <w:p w:rsidR="00441AFC" w:rsidRPr="00CD43D5" w:rsidRDefault="00441AFC">
      <w:r w:rsidRPr="00CD43D5">
        <w:rPr>
          <w:b/>
          <w:i/>
        </w:rPr>
        <w:br w:type="page"/>
        <w:t>Bestämmelser om handläggning av ärenden enligt 20–24 kap.</w:t>
      </w:r>
    </w:p>
    <w:p w:rsidR="00441AFC" w:rsidRPr="00CD43D5" w:rsidRDefault="00441AFC">
      <w:pPr>
        <w:pStyle w:val="Rubrik7"/>
      </w:pPr>
      <w:r w:rsidRPr="00CD43D5">
        <w:t>Ansökan</w:t>
      </w:r>
    </w:p>
    <w:p w:rsidR="00441AFC" w:rsidRPr="00CD43D5" w:rsidRDefault="00441AFC">
      <w:r w:rsidRPr="00CD43D5">
        <w:t>10 § Den som vill ansöka om inskrivning enligt 20–24 kap. skall göra detta skriftligen. Regeringen får föreskriva att ansökan får göras i annan form.</w:t>
      </w:r>
    </w:p>
    <w:p w:rsidR="00441AFC" w:rsidRPr="00CD43D5" w:rsidRDefault="00441AFC">
      <w:pPr>
        <w:pStyle w:val="Normaltindrag"/>
      </w:pPr>
      <w:r w:rsidRPr="00CD43D5">
        <w:t>Sökanden skall ge in de handlingar som åberopas till stöd för ansökan.</w:t>
      </w:r>
    </w:p>
    <w:p w:rsidR="00441AFC" w:rsidRPr="00CD43D5" w:rsidRDefault="00441AFC">
      <w:pPr>
        <w:pStyle w:val="Normaltindrag"/>
      </w:pPr>
    </w:p>
    <w:p w:rsidR="00441AFC" w:rsidRPr="00CD43D5" w:rsidRDefault="00441AFC">
      <w:r w:rsidRPr="00CD43D5">
        <w:t>11 § En ansökan skall innehålla uppgifter om sökandens namn, personnu</w:t>
      </w:r>
      <w:r w:rsidRPr="00CD43D5">
        <w:t>m</w:t>
      </w:r>
      <w:r w:rsidRPr="00CD43D5">
        <w:t>mer och postadress. Ansökan skall också innehålla uppgift om sökandens telefonnummer till bostaden eller arbetsplatsen. Om sökanden företräds av ställföreträdare eller ombud, behöver telefonnummer dock inte anges. Nu</w:t>
      </w:r>
      <w:r w:rsidRPr="00CD43D5">
        <w:t>m</w:t>
      </w:r>
      <w:r w:rsidRPr="00CD43D5">
        <w:t>mer som avser ett hemligt telefonabonnemang behöver anges endast om inskrivningsmyndigheten begär det.</w:t>
      </w:r>
    </w:p>
    <w:p w:rsidR="00441AFC" w:rsidRPr="00CD43D5" w:rsidRDefault="00441AFC">
      <w:pPr>
        <w:pStyle w:val="Normaltindrag"/>
      </w:pPr>
      <w:r w:rsidRPr="00CD43D5">
        <w:t>Om sökanden har en ställföreträdare, skall motsvarande uppgifter lämnas även om ställföreträdaren. Har sökanden utsett ombud, skall ombudets namn, postadress och telefonnummer anges.</w:t>
      </w:r>
    </w:p>
    <w:p w:rsidR="00441AFC" w:rsidRPr="00CD43D5" w:rsidRDefault="00441AFC">
      <w:pPr>
        <w:pStyle w:val="Normaltindrag"/>
      </w:pPr>
      <w:r w:rsidRPr="00CD43D5">
        <w:t>Avser en ansökan något annat än inteckning, skall den även innehålla up</w:t>
      </w:r>
      <w:r w:rsidRPr="00CD43D5">
        <w:t>p</w:t>
      </w:r>
      <w:r w:rsidRPr="00CD43D5">
        <w:t>gift om överlåtarens, upplåtarens eller förvärvarens namn och, där sådant finns, person- eller organisationsnummer.</w:t>
      </w:r>
    </w:p>
    <w:p w:rsidR="00441AFC" w:rsidRPr="00CD43D5" w:rsidRDefault="00441AFC">
      <w:pPr>
        <w:pStyle w:val="Normaltindrag"/>
      </w:pPr>
    </w:p>
    <w:p w:rsidR="00441AFC" w:rsidRPr="00CD43D5" w:rsidRDefault="00441AFC">
      <w:pPr>
        <w:pStyle w:val="Rubrik7"/>
      </w:pPr>
      <w:r w:rsidRPr="00CD43D5">
        <w:t>Avvisning</w:t>
      </w:r>
    </w:p>
    <w:p w:rsidR="00441AFC" w:rsidRPr="00CD43D5" w:rsidRDefault="00441AFC">
      <w:r w:rsidRPr="00CD43D5">
        <w:t>12 § En ansökan skall omedelbart avvisas, om</w:t>
      </w:r>
    </w:p>
    <w:p w:rsidR="00441AFC" w:rsidRPr="00CD43D5" w:rsidRDefault="00441AFC">
      <w:pPr>
        <w:pStyle w:val="Normaltindrag"/>
      </w:pPr>
      <w:r w:rsidRPr="00CD43D5">
        <w:t xml:space="preserve">1. den inte har gjorts hos rätt inskrivningsmyndighet, </w:t>
      </w:r>
    </w:p>
    <w:p w:rsidR="00441AFC" w:rsidRPr="00CD43D5" w:rsidRDefault="00441AFC">
      <w:pPr>
        <w:pStyle w:val="Normaltindrag"/>
      </w:pPr>
      <w:r w:rsidRPr="00CD43D5">
        <w:t>2. den inte har gjorts på det sätt som anges i 10 § första stycket, eller</w:t>
      </w:r>
    </w:p>
    <w:p w:rsidR="00441AFC" w:rsidRPr="00CD43D5" w:rsidRDefault="00441AFC">
      <w:pPr>
        <w:pStyle w:val="Normaltindrag"/>
      </w:pPr>
      <w:r w:rsidRPr="00CD43D5">
        <w:t>3. det förvärv som sökanden åberopar uppenbarligen är sådant att det inte kan skrivas in i fastighetsregistrets inskrivningsdel.</w:t>
      </w:r>
    </w:p>
    <w:p w:rsidR="00441AFC" w:rsidRPr="00CD43D5" w:rsidRDefault="00441AFC">
      <w:pPr>
        <w:pStyle w:val="Normaltindrag"/>
      </w:pPr>
    </w:p>
    <w:p w:rsidR="00441AFC" w:rsidRPr="00CD43D5" w:rsidRDefault="00441AFC">
      <w:pPr>
        <w:pStyle w:val="Rubrik7"/>
      </w:pPr>
      <w:r w:rsidRPr="00CD43D5">
        <w:t>Uppskov</w:t>
      </w:r>
    </w:p>
    <w:p w:rsidR="00441AFC" w:rsidRPr="00CD43D5" w:rsidRDefault="00441AFC">
      <w:r w:rsidRPr="00CD43D5">
        <w:t>13 § Om en ansökan avser en fastighet eller en del av en fastighet som ingår i en beslutad men inte fullbordad sammanläggning, skall inskrivningsmyndi</w:t>
      </w:r>
      <w:r w:rsidRPr="00CD43D5">
        <w:t>g</w:t>
      </w:r>
      <w:r w:rsidRPr="00CD43D5">
        <w:t>heten besluta om uppskov i ärendet. Uppskov får dock inte beslutas om ansökan omedelbart skall avvisas enligt 12 § eller omedelbart avslås enligt någon bestämmelse i 20–24 kap.</w:t>
      </w:r>
    </w:p>
    <w:p w:rsidR="00441AFC" w:rsidRPr="00CD43D5" w:rsidRDefault="00441AFC">
      <w:pPr>
        <w:pStyle w:val="Normaltindrag"/>
      </w:pPr>
      <w:r w:rsidRPr="00CD43D5">
        <w:t>Ärendet skall tas upp på nytt på den inskrivningsdag då ett meddelande har kommit in till inskrivningsmyndigheten om att sammanläggningen har ful</w:t>
      </w:r>
      <w:r w:rsidRPr="00CD43D5">
        <w:t>l</w:t>
      </w:r>
      <w:r w:rsidRPr="00CD43D5">
        <w:t>bordats eller frågan om sammanläggning inte längre är aktuell.</w:t>
      </w:r>
    </w:p>
    <w:p w:rsidR="00441AFC" w:rsidRPr="00CD43D5" w:rsidRDefault="00441AFC">
      <w:pPr>
        <w:pStyle w:val="Normaltindrag"/>
      </w:pPr>
    </w:p>
    <w:p w:rsidR="00441AFC" w:rsidRPr="00CD43D5" w:rsidRDefault="00441AFC">
      <w:r w:rsidRPr="00CD43D5">
        <w:t>14 § Om det är nödvändigt för utredningen, får inskrivningsmyndigheten besluta om uppskov i ett ärende till en viss senare inskrivningsdag. Detsa</w:t>
      </w:r>
      <w:r w:rsidRPr="00CD43D5">
        <w:t>m</w:t>
      </w:r>
      <w:r w:rsidRPr="00CD43D5">
        <w:t>ma gäller om en ansökan inte innehåller de uppgifter som anges i 11 § och ansökan på grund av detta inte kan tas upp till prövning utan väsentlig ol</w:t>
      </w:r>
      <w:r w:rsidRPr="00CD43D5">
        <w:t>ä</w:t>
      </w:r>
      <w:r w:rsidRPr="00CD43D5">
        <w:t xml:space="preserve">genhet. </w:t>
      </w:r>
    </w:p>
    <w:p w:rsidR="00441AFC" w:rsidRPr="00CD43D5" w:rsidRDefault="00441AFC">
      <w:pPr>
        <w:pStyle w:val="Normaltindrag"/>
      </w:pPr>
      <w:r w:rsidRPr="00CD43D5">
        <w:t>Om uppskov beslutas enligt första stycket, får sökanden föreläggas att ge in den utredning eller de uppgifter som behövs. I fall som avses i 16 § får sökanden även föreläggas att infinna sig personligen eller genom ombud till ett sammanträde. I föreläggandet får inskrivningsmyndigheten föreskriva vite. Följer sökanden inte föreläggandet, får ansökan a</w:t>
      </w:r>
      <w:r w:rsidRPr="00CD43D5">
        <w:t>vvisas. En upplysning om detta skall tas in i föreläggandet.</w:t>
      </w:r>
    </w:p>
    <w:p w:rsidR="00441AFC" w:rsidRPr="00CD43D5" w:rsidRDefault="00441AFC">
      <w:pPr>
        <w:pStyle w:val="Normaltindrag"/>
      </w:pPr>
    </w:p>
    <w:p w:rsidR="00441AFC" w:rsidRPr="00CD43D5" w:rsidRDefault="00441AFC">
      <w:r w:rsidRPr="00CD43D5">
        <w:t>15 § Om ett ärende med hänsyn till sin art eller omfattning inte lämpligen kan avgöras omedelbart, får inskrivningsmyndigheten besluta om uppskov även i andra fall än som avses i 13 och 14 §§. Ärendet skall i så fall tas upp till prövning senast på den femte inskrivningsdagen efter den inskrivning</w:t>
      </w:r>
      <w:r w:rsidRPr="00CD43D5">
        <w:t>s</w:t>
      </w:r>
      <w:r w:rsidRPr="00CD43D5">
        <w:t>dag då ansökan gjordes.</w:t>
      </w:r>
    </w:p>
    <w:p w:rsidR="00441AFC" w:rsidRPr="00CD43D5" w:rsidRDefault="00441AFC">
      <w:pPr>
        <w:pStyle w:val="Normaltindrag"/>
      </w:pPr>
    </w:p>
    <w:p w:rsidR="00441AFC" w:rsidRPr="00CD43D5" w:rsidRDefault="00441AFC">
      <w:pPr>
        <w:rPr>
          <w:i/>
        </w:rPr>
      </w:pPr>
      <w:r w:rsidRPr="00CD43D5">
        <w:rPr>
          <w:i/>
        </w:rPr>
        <w:t>Kommunicering m.m.</w:t>
      </w:r>
    </w:p>
    <w:p w:rsidR="00441AFC" w:rsidRPr="00CD43D5" w:rsidRDefault="00441AFC">
      <w:r w:rsidRPr="00CD43D5">
        <w:t>16 § Om det på grund av någon särskild omständighet finns anledning att anta att det förvärv som sökanden åberopar är ogiltigt eller inte kan göras gällande eller att den sökta åtgärden på annat sätt skulle kränka någon annans rätt, skall inskrivningsmyndigheten ge den vars rätt berörs tillfälle att yttra sig skriftligen. I samband med detta får även sökanden eller annan ges til</w:t>
      </w:r>
      <w:r w:rsidRPr="00CD43D5">
        <w:t>l</w:t>
      </w:r>
      <w:r w:rsidRPr="00CD43D5">
        <w:t xml:space="preserve">fälle att yttra sig skriftligen. </w:t>
      </w:r>
    </w:p>
    <w:p w:rsidR="00441AFC" w:rsidRPr="00CD43D5" w:rsidRDefault="00441AFC">
      <w:pPr>
        <w:pStyle w:val="Normaltindrag"/>
      </w:pPr>
      <w:r w:rsidRPr="00CD43D5">
        <w:t>Om det behövs, skall inskrivningsmyndigheten hålla ett sammanträde. B</w:t>
      </w:r>
      <w:r w:rsidRPr="00CD43D5">
        <w:t>e</w:t>
      </w:r>
      <w:r w:rsidRPr="00CD43D5">
        <w:t>träffande kallelse till och utevaro från ett sådant sammanträde gäller för sökanden 14 § andra stycket i detta kapitel och för någon annan än sökanden 18 och 20 §§ lagen (1996:242) om domstolsärenden. Sammanträdet får hå</w:t>
      </w:r>
      <w:r w:rsidRPr="00CD43D5">
        <w:t>l</w:t>
      </w:r>
      <w:r w:rsidRPr="00CD43D5">
        <w:t>las på telefon, om det är lämpligt. Underlåtenhet att delta i ett telefonsa</w:t>
      </w:r>
      <w:r w:rsidRPr="00CD43D5">
        <w:t>m</w:t>
      </w:r>
      <w:r w:rsidRPr="00CD43D5">
        <w:t xml:space="preserve">manträde får dock inte leda till någon påföljd. Protokoll skall föras över vad som framkommer vid sammanträdet. </w:t>
      </w:r>
    </w:p>
    <w:p w:rsidR="00441AFC" w:rsidRPr="00CD43D5" w:rsidRDefault="00441AFC">
      <w:pPr>
        <w:pStyle w:val="Normaltindrag"/>
      </w:pPr>
      <w:r w:rsidRPr="00CD43D5">
        <w:t>Om inskrivningsmyndigheten finner att det råder tvist om sökandens rätt, får myndigheten förelägga sö</w:t>
      </w:r>
      <w:r w:rsidRPr="00CD43D5">
        <w:t>kanden att inom viss tid väcka talan vid do</w:t>
      </w:r>
      <w:r w:rsidRPr="00CD43D5">
        <w:t>m</w:t>
      </w:r>
      <w:r w:rsidRPr="00CD43D5">
        <w:t>stol. Följer sökanden inte föreläggandet, får inskrivningsmyndigheten avvisa ansökan. En upplysning om detta skall tas in i föreläggandet.</w:t>
      </w:r>
    </w:p>
    <w:p w:rsidR="00441AFC" w:rsidRPr="00CD43D5" w:rsidRDefault="00441AFC">
      <w:pPr>
        <w:pStyle w:val="Normaltindrag"/>
      </w:pPr>
    </w:p>
    <w:p w:rsidR="00441AFC" w:rsidRPr="00CD43D5" w:rsidRDefault="00441AFC">
      <w:pPr>
        <w:pStyle w:val="Rubrik7"/>
      </w:pPr>
      <w:r w:rsidRPr="00CD43D5">
        <w:t>Vilandeförklaring</w:t>
      </w:r>
    </w:p>
    <w:p w:rsidR="00441AFC" w:rsidRPr="00CD43D5" w:rsidRDefault="00441AFC">
      <w:r w:rsidRPr="00CD43D5">
        <w:t>17 § Av 20 kap. 7 §, 21 kap. 3 §, 22 kap. 4 § och 23 kap. 3 § följer att i</w:t>
      </w:r>
      <w:r w:rsidRPr="00CD43D5">
        <w:t>n</w:t>
      </w:r>
      <w:r w:rsidRPr="00CD43D5">
        <w:t>skrivningsmyndigheten i vissa fall skall förklara en ansökan vilande.</w:t>
      </w:r>
    </w:p>
    <w:p w:rsidR="00441AFC" w:rsidRPr="00CD43D5" w:rsidRDefault="00441AFC">
      <w:pPr>
        <w:pStyle w:val="Normaltindrag"/>
      </w:pPr>
      <w:r w:rsidRPr="00CD43D5">
        <w:t>I samband med att en ansökan förklaras vilande får inskrivningsmyndi</w:t>
      </w:r>
      <w:r w:rsidRPr="00CD43D5">
        <w:t>g</w:t>
      </w:r>
      <w:r w:rsidRPr="00CD43D5">
        <w:t>heten förelägga sökanden att visa om det hinder som har föranlett viland</w:t>
      </w:r>
      <w:r w:rsidRPr="00CD43D5">
        <w:t>e</w:t>
      </w:r>
      <w:r w:rsidRPr="00CD43D5">
        <w:t>förklaringen har blivit undanröjt. Föreläggandet får förenas med vite. Om sökanden inte följer föreläggandet, kan ansökan avvisas. En upplysning om detta skall tas in i föreläggandet.</w:t>
      </w:r>
    </w:p>
    <w:p w:rsidR="00441AFC" w:rsidRPr="00CD43D5" w:rsidRDefault="00441AFC">
      <w:pPr>
        <w:pStyle w:val="Normaltindrag"/>
      </w:pPr>
    </w:p>
    <w:p w:rsidR="00441AFC" w:rsidRPr="00CD43D5" w:rsidRDefault="00441AFC">
      <w:r w:rsidRPr="00CD43D5">
        <w:t>18 § Om en ansökan har förklarats vilande, skall inskrivningsmyndigheten ta upp den till ny prövning så snart det finns anledning till det. Ansökan får dock inte avslås utan att sökanden har fått tillfälle att yttra sig.</w:t>
      </w:r>
    </w:p>
    <w:p w:rsidR="00441AFC" w:rsidRPr="00CD43D5" w:rsidRDefault="00441AFC">
      <w:pPr>
        <w:pStyle w:val="Normaltindrag"/>
      </w:pPr>
      <w:r w:rsidRPr="00CD43D5">
        <w:t>Inskrivningsmyndigheten får i ett ärende som avses i första stycket me</w:t>
      </w:r>
      <w:r w:rsidRPr="00CD43D5">
        <w:t>d</w:t>
      </w:r>
      <w:r w:rsidRPr="00CD43D5">
        <w:t>dela ett sådant föreläggande som anges i 17 § andra stycket.</w:t>
      </w:r>
    </w:p>
    <w:p w:rsidR="00441AFC" w:rsidRPr="00CD43D5" w:rsidRDefault="00441AFC">
      <w:pPr>
        <w:pStyle w:val="Normaltindrag"/>
      </w:pPr>
    </w:p>
    <w:p w:rsidR="00441AFC" w:rsidRPr="00CD43D5" w:rsidRDefault="00441AFC">
      <w:pPr>
        <w:pStyle w:val="Rubrik7"/>
      </w:pPr>
      <w:r w:rsidRPr="00CD43D5">
        <w:t>Meddelande av beslut</w:t>
      </w:r>
    </w:p>
    <w:p w:rsidR="00441AFC" w:rsidRPr="00CD43D5" w:rsidRDefault="00441AFC">
      <w:r w:rsidRPr="00CD43D5">
        <w:t>19 § Ett sådant beslut i ärende enligt 20–24 kap. som enligt lag eller annan författning skall föras in i fastighetsregistrets inskrivningsdel meddelas g</w:t>
      </w:r>
      <w:r w:rsidRPr="00CD43D5">
        <w:t>e</w:t>
      </w:r>
      <w:r w:rsidRPr="00CD43D5">
        <w:t xml:space="preserve">nom att beslutet förs in i denna del av registret. Beslutet skall anses ha det innehåll som framgår av registret. </w:t>
      </w:r>
    </w:p>
    <w:p w:rsidR="00441AFC" w:rsidRPr="00CD43D5" w:rsidRDefault="00441AFC">
      <w:pPr>
        <w:pStyle w:val="Normaltindrag"/>
      </w:pPr>
      <w:r w:rsidRPr="00CD43D5">
        <w:t>Om beslutet innebär att en ansökan inte bifalls, skall skälen för beslutet antecknas i akten.</w:t>
      </w:r>
    </w:p>
    <w:p w:rsidR="00441AFC" w:rsidRPr="00CD43D5" w:rsidRDefault="00441AFC">
      <w:pPr>
        <w:pStyle w:val="Normaltindrag"/>
      </w:pPr>
    </w:p>
    <w:p w:rsidR="00441AFC" w:rsidRPr="00CD43D5" w:rsidRDefault="00441AFC">
      <w:pPr>
        <w:pStyle w:val="Rubrik7"/>
      </w:pPr>
      <w:r w:rsidRPr="00CD43D5">
        <w:t>Underrättelse och bevis om beslut</w:t>
      </w:r>
    </w:p>
    <w:p w:rsidR="00441AFC" w:rsidRPr="00CD43D5" w:rsidRDefault="00441AFC">
      <w:r w:rsidRPr="00CD43D5">
        <w:t>20 § Inskrivningsmyndigheten skall utfärda bevis om beslut i ärendet.</w:t>
      </w:r>
    </w:p>
    <w:p w:rsidR="00441AFC" w:rsidRPr="00CD43D5" w:rsidRDefault="00441AFC">
      <w:pPr>
        <w:pStyle w:val="Normaltindrag"/>
      </w:pPr>
      <w:r w:rsidRPr="00CD43D5">
        <w:t>Om beslutet har gått emot sökanden eller någon annan som har hörts i ärendet, skall inskrivningsmyndigheten genast underrätta denne om beslutet.</w:t>
      </w:r>
    </w:p>
    <w:p w:rsidR="00441AFC" w:rsidRPr="00CD43D5" w:rsidRDefault="00441AFC">
      <w:pPr>
        <w:pStyle w:val="Normaltindrag"/>
      </w:pPr>
      <w:r w:rsidRPr="00CD43D5">
        <w:t>En underrättelse enligt andra stycket skall vara skriftlig. Den skall inn</w:t>
      </w:r>
      <w:r w:rsidRPr="00CD43D5">
        <w:t>e</w:t>
      </w:r>
      <w:r w:rsidRPr="00CD43D5">
        <w:t>hålla de skäl för beslutet som har antecknats i akten. Om beslutet kan öve</w:t>
      </w:r>
      <w:r w:rsidRPr="00CD43D5">
        <w:t>r</w:t>
      </w:r>
      <w:r w:rsidRPr="00CD43D5">
        <w:t>klagas, skall upplysning lämnas om detta och om vad som skall iakttas vid ett överklagande.</w:t>
      </w:r>
    </w:p>
    <w:p w:rsidR="00441AFC" w:rsidRPr="00CD43D5" w:rsidRDefault="00441AFC">
      <w:r w:rsidRPr="00CD43D5">
        <w:t>21 § Om innehållet i ett bevis som inskrivningsmyndigheten tidigare har utfärdat till följd av senare beslut om rättelse inte längre stämmer överens med uppgift i fastighetsregistrets inskrivningsdel, skall myndigheten utfärda ett nytt bevis. I samband därmed skall det tidigare utfärdade beviset först</w:t>
      </w:r>
      <w:r w:rsidRPr="00CD43D5">
        <w:t>ö</w:t>
      </w:r>
      <w:r w:rsidRPr="00CD43D5">
        <w:t>ras. Inskrivningsmyndigheten får förelägga den som innehar ett sådant bevis att ge in det till myndigheten. Föreläggandet får förenas med vite.</w:t>
      </w:r>
    </w:p>
    <w:p w:rsidR="00441AFC" w:rsidRPr="00CD43D5" w:rsidRDefault="00441AFC">
      <w:pPr>
        <w:pStyle w:val="Normaltindrag"/>
      </w:pPr>
    </w:p>
    <w:p w:rsidR="00441AFC" w:rsidRPr="00CD43D5" w:rsidRDefault="00441AFC">
      <w:pPr>
        <w:pStyle w:val="Rubrik7"/>
      </w:pPr>
      <w:r w:rsidRPr="00CD43D5">
        <w:t>Rättelse</w:t>
      </w:r>
    </w:p>
    <w:p w:rsidR="00441AFC" w:rsidRPr="00CD43D5" w:rsidRDefault="00441AFC">
      <w:r w:rsidRPr="00CD43D5">
        <w:t>22 § Om fastighetsregistrets inskrivningsdel innehåller någon uppenbar oriktighet som beror på inskrivningsmyndighetens eller någon annans skri</w:t>
      </w:r>
      <w:r w:rsidRPr="00CD43D5">
        <w:t>v</w:t>
      </w:r>
      <w:r w:rsidRPr="00CD43D5">
        <w:t>fel, på något liknande förbiseende eller på ett tekniskt fel, skall inskrivnin</w:t>
      </w:r>
      <w:r w:rsidRPr="00CD43D5">
        <w:t>g</w:t>
      </w:r>
      <w:r w:rsidRPr="00CD43D5">
        <w:t xml:space="preserve">s-myndigheten rätta uppgiften. </w:t>
      </w:r>
    </w:p>
    <w:p w:rsidR="00441AFC" w:rsidRPr="00CD43D5" w:rsidRDefault="00441AFC">
      <w:pPr>
        <w:pStyle w:val="Normaltindrag"/>
      </w:pPr>
      <w:r w:rsidRPr="00CD43D5">
        <w:t>Om åtgärden kan bli till skada för en ägare eller en innehavare av en pa</w:t>
      </w:r>
      <w:r w:rsidRPr="00CD43D5">
        <w:t>n</w:t>
      </w:r>
      <w:r w:rsidRPr="00CD43D5">
        <w:t>t-rätt eller en innehavare av en rättighet för vilken inskrivning är beviljad eller sökt, skall det inbördes företrädet mellan de berörda förvärven bestämmas efter vad som är skäligt.</w:t>
      </w:r>
    </w:p>
    <w:p w:rsidR="00441AFC" w:rsidRPr="00CD43D5" w:rsidRDefault="00441AFC">
      <w:r w:rsidRPr="00CD43D5">
        <w:t>23 § När inskrivningsmyndigheten har tagit upp ett ärende om rättelse, skall detta antecknas i fastighetsregistrets inskrivningsdel, om beslut i ärendet inte meddelas samma dag.</w:t>
      </w:r>
    </w:p>
    <w:p w:rsidR="00441AFC" w:rsidRPr="00CD43D5" w:rsidRDefault="00441AFC">
      <w:r w:rsidRPr="00CD43D5">
        <w:t>24 § Innan rättelse sker, skall inskrivningsmyndigheten ge den som berörs av åtgärden, om han eller hon är känd, tillfälle att yttra sig. Även den myndighet som avses i 18 kap. 5 § första stycket skall ges tillfälle att yttra sig. Något yttrande behöver dock inte inhämtas, om det är uppenbart obehövligt.</w:t>
      </w:r>
    </w:p>
    <w:p w:rsidR="00441AFC" w:rsidRPr="00CD43D5" w:rsidRDefault="00441AFC">
      <w:r w:rsidRPr="00CD43D5">
        <w:t>25 § Beslut om rättelse enligt 22 § meddelas genom att uppgiften i registret ändras eller tas bort med uppgift om att rättelse har gjorts. Skälen för beslutet skall antecknas i akten.</w:t>
      </w:r>
    </w:p>
    <w:p w:rsidR="00441AFC" w:rsidRPr="00CD43D5" w:rsidRDefault="00441AFC">
      <w:pPr>
        <w:pStyle w:val="Normaltindrag"/>
      </w:pPr>
      <w:r w:rsidRPr="00CD43D5">
        <w:t>Att inskrivningsmyndigheten i vissa fall även skall utfärda ett nytt bevis om inskrivning framgår av 21 §.</w:t>
      </w:r>
    </w:p>
    <w:p w:rsidR="00441AFC" w:rsidRPr="00CD43D5" w:rsidRDefault="00441AFC">
      <w:pPr>
        <w:pStyle w:val="Normaltindrag"/>
      </w:pPr>
    </w:p>
    <w:p w:rsidR="00441AFC" w:rsidRPr="00CD43D5" w:rsidRDefault="00441AFC">
      <w:pPr>
        <w:pStyle w:val="Rubrik7"/>
      </w:pPr>
      <w:r w:rsidRPr="00CD43D5">
        <w:t xml:space="preserve">Övriga regler för handläggningen </w:t>
      </w:r>
    </w:p>
    <w:p w:rsidR="00441AFC" w:rsidRPr="00CD43D5" w:rsidRDefault="00441AFC">
      <w:r w:rsidRPr="00CD43D5">
        <w:t>26 § Om inte annat följer av denna balk, skall följande bestämmelser i lagen (1996:242) om domstolsärenden tillämpas vid inskrivningsmyndighetens handläggning:</w:t>
      </w:r>
    </w:p>
    <w:p w:rsidR="00441AFC" w:rsidRPr="00CD43D5" w:rsidRDefault="00441AFC">
      <w:pPr>
        <w:pStyle w:val="Normaltindrag"/>
      </w:pPr>
      <w:r w:rsidRPr="00CD43D5">
        <w:t xml:space="preserve">12 § om utredning av ärendet, </w:t>
      </w:r>
    </w:p>
    <w:p w:rsidR="00441AFC" w:rsidRPr="00CD43D5" w:rsidRDefault="00441AFC">
      <w:pPr>
        <w:pStyle w:val="Normaltindrag"/>
      </w:pPr>
      <w:r w:rsidRPr="00CD43D5">
        <w:t>13 § första stycket om skriftligt förfarande,</w:t>
      </w:r>
    </w:p>
    <w:p w:rsidR="00441AFC" w:rsidRPr="00CD43D5" w:rsidRDefault="00441AFC">
      <w:pPr>
        <w:pStyle w:val="Normaltindrag"/>
      </w:pPr>
      <w:r w:rsidRPr="00CD43D5">
        <w:t>16 § om skriftväxling,</w:t>
      </w:r>
    </w:p>
    <w:p w:rsidR="00441AFC" w:rsidRPr="00CD43D5" w:rsidRDefault="00441AFC">
      <w:pPr>
        <w:pStyle w:val="Normaltindrag"/>
      </w:pPr>
      <w:r w:rsidRPr="00CD43D5">
        <w:t>21 § första stycket om offentlighet och ordning vid sammanträde,</w:t>
      </w:r>
    </w:p>
    <w:p w:rsidR="00441AFC" w:rsidRPr="00CD43D5" w:rsidRDefault="00441AFC">
      <w:pPr>
        <w:pStyle w:val="Normaltindrag"/>
      </w:pPr>
      <w:r w:rsidRPr="00CD43D5">
        <w:t>22 § om parts rätt att få del av uppgifter,</w:t>
      </w:r>
    </w:p>
    <w:p w:rsidR="00441AFC" w:rsidRPr="00CD43D5" w:rsidRDefault="00441AFC">
      <w:pPr>
        <w:pStyle w:val="Normaltindrag"/>
      </w:pPr>
      <w:r w:rsidRPr="00CD43D5">
        <w:t>23–25 §§ om bevisning,</w:t>
      </w:r>
    </w:p>
    <w:p w:rsidR="00441AFC" w:rsidRPr="00CD43D5" w:rsidRDefault="00441AFC">
      <w:pPr>
        <w:pStyle w:val="Normaltindrag"/>
      </w:pPr>
      <w:r w:rsidRPr="00CD43D5">
        <w:t>27 § om beslut,</w:t>
      </w:r>
    </w:p>
    <w:p w:rsidR="00441AFC" w:rsidRPr="00CD43D5" w:rsidRDefault="00441AFC">
      <w:pPr>
        <w:pStyle w:val="Normaltindrag"/>
      </w:pPr>
      <w:r w:rsidRPr="00CD43D5">
        <w:t>43 § om straff och vite,</w:t>
      </w:r>
    </w:p>
    <w:p w:rsidR="00441AFC" w:rsidRPr="00CD43D5" w:rsidRDefault="00441AFC">
      <w:pPr>
        <w:pStyle w:val="Normaltindrag"/>
      </w:pPr>
      <w:r w:rsidRPr="00CD43D5">
        <w:t>44 § första och tredje styckena om inkommande handlingar,</w:t>
      </w:r>
    </w:p>
    <w:p w:rsidR="00441AFC" w:rsidRPr="00CD43D5" w:rsidRDefault="00441AFC">
      <w:pPr>
        <w:pStyle w:val="Normaltindrag"/>
      </w:pPr>
      <w:r w:rsidRPr="00CD43D5">
        <w:t>45 § om hinder mot inställelse,</w:t>
      </w:r>
    </w:p>
    <w:p w:rsidR="00441AFC" w:rsidRPr="00CD43D5" w:rsidRDefault="00441AFC">
      <w:pPr>
        <w:pStyle w:val="Normaltindrag"/>
      </w:pPr>
      <w:r w:rsidRPr="00CD43D5">
        <w:t>46 § om delgivning,</w:t>
      </w:r>
    </w:p>
    <w:p w:rsidR="00441AFC" w:rsidRPr="00CD43D5" w:rsidRDefault="00441AFC">
      <w:pPr>
        <w:pStyle w:val="Normaltindrag"/>
      </w:pPr>
      <w:r w:rsidRPr="00CD43D5">
        <w:t xml:space="preserve">47 § om ombud och biträde samt </w:t>
      </w:r>
    </w:p>
    <w:p w:rsidR="00441AFC" w:rsidRPr="00CD43D5" w:rsidRDefault="00441AFC">
      <w:pPr>
        <w:pStyle w:val="Normaltindrag"/>
      </w:pPr>
      <w:r w:rsidRPr="00CD43D5">
        <w:t>48 § om tolk och översättning av handlingar.</w:t>
      </w:r>
    </w:p>
    <w:p w:rsidR="00441AFC" w:rsidRPr="00CD43D5" w:rsidRDefault="00441AFC">
      <w:pPr>
        <w:pStyle w:val="Normaltindrag"/>
      </w:pPr>
      <w:r w:rsidRPr="00CD43D5">
        <w:t>Vad som sägs i de i första stycket angivna paragraferna om domstolen skall i stället avse inskrivningsmyndigheten.</w:t>
      </w:r>
    </w:p>
    <w:p w:rsidR="00441AFC" w:rsidRPr="00CD43D5" w:rsidRDefault="00441AFC">
      <w:pPr>
        <w:pStyle w:val="Normaltindrag"/>
      </w:pPr>
    </w:p>
    <w:p w:rsidR="00441AFC" w:rsidRPr="00CD43D5" w:rsidRDefault="00441AFC">
      <w:pPr>
        <w:pStyle w:val="Rubrik7"/>
      </w:pPr>
      <w:r w:rsidRPr="00CD43D5">
        <w:t>Bemyndiganden</w:t>
      </w:r>
    </w:p>
    <w:p w:rsidR="00441AFC" w:rsidRPr="00CD43D5" w:rsidRDefault="00441AFC">
      <w:r w:rsidRPr="00CD43D5">
        <w:t>27 § Regeringen får i fråga om inteckningar som är registrerade i pantbrev</w:t>
      </w:r>
      <w:r w:rsidRPr="00CD43D5">
        <w:t>s</w:t>
      </w:r>
      <w:r w:rsidRPr="00CD43D5">
        <w:t>registret enligt lagen (1994:448) om pantbrevsregister föreskriva att antec</w:t>
      </w:r>
      <w:r w:rsidRPr="00CD43D5">
        <w:t>k</w:t>
      </w:r>
      <w:r w:rsidRPr="00CD43D5">
        <w:t>ningar om innehav av pantbrev får tas bort från fastighetsregistrets inskri</w:t>
      </w:r>
      <w:r w:rsidRPr="00CD43D5">
        <w:t>v</w:t>
      </w:r>
      <w:r w:rsidRPr="00CD43D5">
        <w:t>ningsdel på annat sätt än som följer av övriga bestämmelser i detta kapitel.</w:t>
      </w:r>
    </w:p>
    <w:p w:rsidR="00441AFC" w:rsidRPr="00CD43D5" w:rsidRDefault="00441AFC">
      <w:pPr>
        <w:pStyle w:val="Normaltindrag"/>
      </w:pPr>
      <w:r w:rsidRPr="00CD43D5">
        <w:t>Regeringen får vidare föreskriva att ändring av namn och adressuppgifter i anteckningar om innehav av pantbrev eller vilandebevis får införas i inskri</w:t>
      </w:r>
      <w:r w:rsidRPr="00CD43D5">
        <w:t>v</w:t>
      </w:r>
      <w:r w:rsidRPr="00CD43D5">
        <w:t>ningsdelen på annat sätt än som följer av övriga bestämmelser i detta kapitel.</w:t>
      </w:r>
    </w:p>
    <w:p w:rsidR="00441AFC" w:rsidRPr="00CD43D5" w:rsidRDefault="00441AFC">
      <w:r w:rsidRPr="00CD43D5">
        <w:t>28 § Regeringen eller den myndighet som regeringen bestämmer får meddela närmare föreskrifter om handläggningen av ärenden enligt 20–24 kap.</w:t>
      </w:r>
    </w:p>
    <w:p w:rsidR="00441AFC" w:rsidRPr="00CD43D5" w:rsidRDefault="00441AFC">
      <w:pPr>
        <w:pStyle w:val="Normaltindrag"/>
      </w:pPr>
    </w:p>
    <w:p w:rsidR="00441AFC" w:rsidRPr="00CD43D5" w:rsidRDefault="00441AFC">
      <w:r w:rsidRPr="00CD43D5">
        <w:rPr>
          <w:b/>
          <w:i/>
        </w:rPr>
        <w:t>Anteckningsärenden</w:t>
      </w:r>
    </w:p>
    <w:p w:rsidR="00441AFC" w:rsidRPr="00CD43D5" w:rsidRDefault="00441AFC">
      <w:r w:rsidRPr="00CD43D5">
        <w:t>29 § Inskrivningsmyndigheten skall anteckna följande uppgifter i fastighet</w:t>
      </w:r>
      <w:r w:rsidRPr="00CD43D5">
        <w:t>s</w:t>
      </w:r>
      <w:r w:rsidRPr="00CD43D5">
        <w:t>registrets inskrivningsdel:</w:t>
      </w:r>
    </w:p>
    <w:p w:rsidR="00441AFC" w:rsidRPr="00CD43D5" w:rsidRDefault="00441AFC">
      <w:pPr>
        <w:pStyle w:val="Normaltindrag"/>
      </w:pPr>
      <w:r w:rsidRPr="00CD43D5">
        <w:t>1. uppgift om exekutiv försäljning eller expropriation eller liknande tvångsförvärv som inverkat på en inteckning eller en inskriven rättighet,</w:t>
      </w:r>
    </w:p>
    <w:p w:rsidR="00441AFC" w:rsidRPr="00CD43D5" w:rsidRDefault="00441AFC">
      <w:pPr>
        <w:pStyle w:val="Normaltindrag"/>
      </w:pPr>
      <w:r w:rsidRPr="00CD43D5">
        <w:t>2. uppgift om en myndighets fördelning av medel som inverkar på en i</w:t>
      </w:r>
      <w:r w:rsidRPr="00CD43D5">
        <w:t>n</w:t>
      </w:r>
      <w:r w:rsidRPr="00CD43D5">
        <w:t>teckning eller en inskriven rättighet,</w:t>
      </w:r>
    </w:p>
    <w:p w:rsidR="00441AFC" w:rsidRPr="00CD43D5" w:rsidRDefault="00441AFC">
      <w:pPr>
        <w:pStyle w:val="Normaltindrag"/>
      </w:pPr>
      <w:r w:rsidRPr="00CD43D5">
        <w:t>3. uppgift om att talan har väckts om hävning eller återgång av förvärv av fast egendom eller tomträtt eller om bättre rätt till sådan egendom,</w:t>
      </w:r>
    </w:p>
    <w:p w:rsidR="00441AFC" w:rsidRPr="00CD43D5" w:rsidRDefault="00441AFC">
      <w:pPr>
        <w:pStyle w:val="Normaltindrag"/>
      </w:pPr>
      <w:r w:rsidRPr="00CD43D5">
        <w:t>4. uppgift om att talan har väckts i tvist om upplåtelse av tomträtt,</w:t>
      </w:r>
    </w:p>
    <w:p w:rsidR="00441AFC" w:rsidRPr="00CD43D5" w:rsidRDefault="00441AFC">
      <w:pPr>
        <w:pStyle w:val="Normaltindrag"/>
      </w:pPr>
      <w:r w:rsidRPr="00CD43D5">
        <w:t>5. uppgift om dom eller beslut som har vunnit laga kraft i mål som avses i 3 eller 4 eller i annat mål som angår inskrivning,</w:t>
      </w:r>
    </w:p>
    <w:p w:rsidR="00441AFC" w:rsidRPr="00CD43D5" w:rsidRDefault="00441AFC">
      <w:pPr>
        <w:pStyle w:val="Normaltindrag"/>
      </w:pPr>
      <w:r w:rsidRPr="00CD43D5">
        <w:t>6. uppgift om att fast egendom eller tomträtt har utmätts,</w:t>
      </w:r>
    </w:p>
    <w:p w:rsidR="00441AFC" w:rsidRPr="00CD43D5" w:rsidRDefault="00441AFC">
      <w:pPr>
        <w:pStyle w:val="Normaltindrag"/>
      </w:pPr>
      <w:r w:rsidRPr="00CD43D5">
        <w:t>7. uppgift om att konkursförvaltare har begärt att fast egendom eller tom</w:t>
      </w:r>
      <w:r w:rsidRPr="00CD43D5">
        <w:t>t</w:t>
      </w:r>
      <w:r w:rsidRPr="00CD43D5">
        <w:t>rätt som ingår i konkursbo skall säljas exekutivt,</w:t>
      </w:r>
    </w:p>
    <w:p w:rsidR="00441AFC" w:rsidRPr="00CD43D5" w:rsidRDefault="00441AFC">
      <w:pPr>
        <w:pStyle w:val="Normaltindrag"/>
      </w:pPr>
      <w:r w:rsidRPr="00CD43D5">
        <w:t>8. uppgift om att utmätt fast egendom eller tomträtt har sålts,</w:t>
      </w:r>
    </w:p>
    <w:p w:rsidR="00441AFC" w:rsidRPr="00CD43D5" w:rsidRDefault="00441AFC">
      <w:pPr>
        <w:pStyle w:val="Normaltindrag"/>
      </w:pPr>
      <w:r w:rsidRPr="00CD43D5">
        <w:t>9. uppgift om att fast egendom eller tomträtt har belagts med kvarstad eller tagits i anspråk genom betalningssäkring, och</w:t>
      </w:r>
    </w:p>
    <w:p w:rsidR="00441AFC" w:rsidRPr="00CD43D5" w:rsidRDefault="00441AFC">
      <w:pPr>
        <w:pStyle w:val="Normaltindrag"/>
      </w:pPr>
      <w:r w:rsidRPr="00CD43D5">
        <w:t>10. annan uppgift som enligt lag eller annan författning skall antecknas i fastighetsregistrets inskrivningsdel.</w:t>
      </w:r>
    </w:p>
    <w:p w:rsidR="00441AFC" w:rsidRPr="00CD43D5" w:rsidRDefault="00441AFC">
      <w:pPr>
        <w:pStyle w:val="Normaltindrag"/>
      </w:pPr>
      <w:r w:rsidRPr="00CD43D5">
        <w:t>Anteckning skall göras när anmälan, bevis eller utdelningslängd som utv</w:t>
      </w:r>
      <w:r w:rsidRPr="00CD43D5">
        <w:t>i</w:t>
      </w:r>
      <w:r w:rsidRPr="00CD43D5">
        <w:t>sar förhållandet har kommit in till inskrivningsmyndigheten.</w:t>
      </w:r>
    </w:p>
    <w:p w:rsidR="00441AFC" w:rsidRPr="00CD43D5" w:rsidRDefault="00441AFC">
      <w:pPr>
        <w:pStyle w:val="Normaltindrag"/>
      </w:pPr>
      <w:r w:rsidRPr="00CD43D5">
        <w:t>Domstol skall genast till inskrivningsmyndigheten anmäla sådana förhå</w:t>
      </w:r>
      <w:r w:rsidRPr="00CD43D5">
        <w:t>l</w:t>
      </w:r>
      <w:r w:rsidRPr="00CD43D5">
        <w:t>landen som avses i första stycket 3–5.</w:t>
      </w:r>
    </w:p>
    <w:p w:rsidR="00441AFC" w:rsidRPr="00CD43D5" w:rsidRDefault="00441AFC">
      <w:r w:rsidRPr="00CD43D5">
        <w:t>30 § Om inskrivningsmyndigheten får uppgift om att en åtgärd som avses i 29 § första stycket 6 eller 9 har upphävts eller återgått eller att en fråga som sägs i 29 § första stycket har förfallit, skall anteckningen om åtgärden tas bort.</w:t>
      </w:r>
    </w:p>
    <w:p w:rsidR="00441AFC" w:rsidRPr="00CD43D5" w:rsidRDefault="00441AFC">
      <w:pPr>
        <w:pStyle w:val="Normaltindrag"/>
      </w:pPr>
      <w:r w:rsidRPr="00CD43D5">
        <w:t>Om inskrivningsmyndigheten i annat fall har fått en i lag eller annan fö</w:t>
      </w:r>
      <w:r w:rsidRPr="00CD43D5">
        <w:t>r</w:t>
      </w:r>
      <w:r w:rsidRPr="00CD43D5">
        <w:t>fattning föreskriven underrättelse om att ett tidigare antecknat förhållande har upphört, skall myndigheten ta bort anteckningen.</w:t>
      </w:r>
    </w:p>
    <w:p w:rsidR="00441AFC" w:rsidRPr="00CD43D5" w:rsidRDefault="00441AFC">
      <w:pPr>
        <w:pStyle w:val="Normaltindrag"/>
      </w:pPr>
      <w:r w:rsidRPr="00CD43D5">
        <w:t>Även om någon underrättelse enligt första eller andra stycket inte har lä</w:t>
      </w:r>
      <w:r w:rsidRPr="00CD43D5">
        <w:t>m</w:t>
      </w:r>
      <w:r w:rsidRPr="00CD43D5">
        <w:t>nats, skall inskrivningsmyndigheten ta bort anteckning som uppenbarligen inte längre har någon betydelse.</w:t>
      </w:r>
    </w:p>
    <w:p w:rsidR="00441AFC" w:rsidRPr="00CD43D5" w:rsidRDefault="00441AFC">
      <w:r w:rsidRPr="00CD43D5">
        <w:t>31 § I ärende enligt 29 eller 30 § skall bestämmelserna i 10 §, 11 § första och andra styckena, 12 § 1 och 2 samt 14–16, 19 och 22–26 §§ tillämpas. Därvid skall vad som där sägs om ansökan även avse anmälan. Om inskrivnin</w:t>
      </w:r>
      <w:r w:rsidRPr="00CD43D5">
        <w:t>g</w:t>
      </w:r>
      <w:r w:rsidRPr="00CD43D5">
        <w:t xml:space="preserve">s-myndigheten avslår eller avvisar en begäran om anteckning, skall 20 § andra och tredje styckena tillämpas. </w:t>
      </w:r>
    </w:p>
    <w:p w:rsidR="00441AFC" w:rsidRPr="00CD43D5" w:rsidRDefault="00441AFC">
      <w:pPr>
        <w:pStyle w:val="Normaltindrag"/>
      </w:pPr>
      <w:r w:rsidRPr="00CD43D5">
        <w:t>Regeringen eller den myndighet som regeringen bestämmer får meddela närmare föreskrifter om handläggningen av ärenden enligt 29 och 30 §§.</w:t>
      </w:r>
    </w:p>
    <w:p w:rsidR="00441AFC" w:rsidRPr="00CD43D5" w:rsidRDefault="00441AFC">
      <w:pPr>
        <w:pStyle w:val="Normaltindrag"/>
      </w:pPr>
      <w:r w:rsidRPr="00CD43D5">
        <w:t>Om regeringen eller en myndighet med stöd av andra stycket har meddelat föreskrifter om utfärdande av bevis om beslut i ärende om anteckning, skall bestämmelsen i 21 § tillämpas även på sådant bevis.</w:t>
      </w:r>
    </w:p>
    <w:p w:rsidR="00441AFC" w:rsidRPr="00CD43D5" w:rsidRDefault="00441AFC">
      <w:pPr>
        <w:pStyle w:val="Normaltindrag"/>
      </w:pPr>
    </w:p>
    <w:p w:rsidR="00441AFC" w:rsidRPr="00CD43D5" w:rsidRDefault="00441AFC">
      <w:r w:rsidRPr="00CD43D5">
        <w:rPr>
          <w:b/>
          <w:i/>
        </w:rPr>
        <w:t>Överklagande</w:t>
      </w:r>
    </w:p>
    <w:p w:rsidR="00441AFC" w:rsidRPr="00CD43D5" w:rsidRDefault="00441AFC">
      <w:pPr>
        <w:pStyle w:val="Rubrik7"/>
      </w:pPr>
      <w:r w:rsidRPr="00CD43D5">
        <w:t>Allmänt om överklagande</w:t>
      </w:r>
    </w:p>
    <w:p w:rsidR="00441AFC" w:rsidRPr="00CD43D5" w:rsidRDefault="00441AFC">
      <w:r w:rsidRPr="00CD43D5">
        <w:t>32 § Ett beslut av inskrivningsmyndigheten i ett inskrivningsärende får öve</w:t>
      </w:r>
      <w:r w:rsidRPr="00CD43D5">
        <w:t>r</w:t>
      </w:r>
      <w:r w:rsidRPr="00CD43D5">
        <w:t>klagas till hovrätten av den som beslutet rör, om det har gått honom eller henne emot.</w:t>
      </w:r>
    </w:p>
    <w:p w:rsidR="00441AFC" w:rsidRPr="00CD43D5" w:rsidRDefault="00441AFC">
      <w:pPr>
        <w:pStyle w:val="Normaltindrag"/>
      </w:pPr>
      <w:r w:rsidRPr="00CD43D5">
        <w:t>Ett beslut om rättelse får överklagas även av den myndighet som avses i 18 kap. 5 § första stycket.</w:t>
      </w:r>
    </w:p>
    <w:p w:rsidR="00441AFC" w:rsidRPr="00CD43D5" w:rsidRDefault="00441AFC">
      <w:pPr>
        <w:pStyle w:val="Normaltindrag"/>
      </w:pPr>
      <w:r w:rsidRPr="00CD43D5">
        <w:t>Vid överklagande tillämpas, om inte annat följer av denna balk, bestä</w:t>
      </w:r>
      <w:r w:rsidRPr="00CD43D5">
        <w:t>m</w:t>
      </w:r>
      <w:r w:rsidRPr="00CD43D5">
        <w:t>melserna i 7 §, 8 § första stycket, 9 och 10 §§ samt 38 § fjärde stycket lagen (1996:242) om domstolsärenden.</w:t>
      </w:r>
    </w:p>
    <w:p w:rsidR="00441AFC" w:rsidRPr="00CD43D5" w:rsidRDefault="00441AFC">
      <w:pPr>
        <w:pStyle w:val="Rubrik7"/>
      </w:pPr>
      <w:r w:rsidRPr="00CD43D5">
        <w:t>Vissa begränsningar för när ett beslut kan överklagas</w:t>
      </w:r>
    </w:p>
    <w:p w:rsidR="00441AFC" w:rsidRPr="00CD43D5" w:rsidRDefault="00441AFC">
      <w:r w:rsidRPr="00CD43D5">
        <w:t>33 § När det gäller överklagande av beslut som inte är slutliga skall 37 § lagen (1996:242) om domstolsärenden tillämpas. Ett beslut om att förklara en ansökan vilande får dock alltid överklagas särskilt.</w:t>
      </w:r>
    </w:p>
    <w:p w:rsidR="00441AFC" w:rsidRPr="00CD43D5" w:rsidRDefault="00441AFC">
      <w:pPr>
        <w:pStyle w:val="Rubrik7"/>
      </w:pPr>
      <w:r w:rsidRPr="00CD43D5">
        <w:t>Sätt och tid för överklagande</w:t>
      </w:r>
    </w:p>
    <w:p w:rsidR="00441AFC" w:rsidRPr="00CD43D5" w:rsidRDefault="00441AFC">
      <w:r w:rsidRPr="00CD43D5">
        <w:t>34 § Den som vill överklaga ett beslut av en inskrivningsmyndighet skall göra detta skriftligen. Skrivelsen skall ges in till inskrivningsmyndigheten.</w:t>
      </w:r>
    </w:p>
    <w:p w:rsidR="00441AFC" w:rsidRPr="00CD43D5" w:rsidRDefault="00441AFC">
      <w:pPr>
        <w:pStyle w:val="Normaltindrag"/>
      </w:pPr>
      <w:r w:rsidRPr="00CD43D5">
        <w:t>Om överklagandet avser ett slutligt beslut eller ett beslut om att förklara en ansökan vilande, skall skrivelsen ha kommit in till inskrivningsmyndigheten inom tre veckor från den dag en underrättelse eller ett bevis om beslutet hölls tillgängligt för sökanden. Skrivelsen får dock alltid ges in inom fyra veckor från den inskrivningsdag då beslutet meddelades.</w:t>
      </w:r>
    </w:p>
    <w:p w:rsidR="00441AFC" w:rsidRPr="00CD43D5" w:rsidRDefault="00441AFC">
      <w:pPr>
        <w:pStyle w:val="Normaltindrag"/>
      </w:pPr>
      <w:r w:rsidRPr="00CD43D5">
        <w:t>I fråga om andra beslut som kan överklagas gäller bestämmelserna om klagotid i 38 § första och andra styckena lagen (1996:242) om domstolsäre</w:t>
      </w:r>
      <w:r w:rsidRPr="00CD43D5">
        <w:t>n</w:t>
      </w:r>
      <w:r w:rsidRPr="00CD43D5">
        <w:t>den.</w:t>
      </w:r>
    </w:p>
    <w:p w:rsidR="00441AFC" w:rsidRPr="00CD43D5" w:rsidRDefault="00441AFC">
      <w:pPr>
        <w:pStyle w:val="Rubrik7"/>
      </w:pPr>
      <w:r w:rsidRPr="00CD43D5">
        <w:t>Anteckning om överklagande</w:t>
      </w:r>
    </w:p>
    <w:p w:rsidR="00441AFC" w:rsidRPr="00CD43D5" w:rsidRDefault="00441AFC">
      <w:r w:rsidRPr="00CD43D5">
        <w:t>35 § Om det överklagade beslutet har förts in i fastighetsregistrets inskri</w:t>
      </w:r>
      <w:r w:rsidRPr="00CD43D5">
        <w:t>v</w:t>
      </w:r>
      <w:r w:rsidRPr="00CD43D5">
        <w:t>ningsdel, skall uppgift om överklagandet föras in i registret. När det finns ett lagakraftvunnet beslut med anledning av överklagandet, skall beslutets inn</w:t>
      </w:r>
      <w:r w:rsidRPr="00CD43D5">
        <w:t>e</w:t>
      </w:r>
      <w:r w:rsidRPr="00CD43D5">
        <w:t>håll antecknas i registret.</w:t>
      </w:r>
    </w:p>
    <w:p w:rsidR="00441AFC" w:rsidRPr="00CD43D5" w:rsidRDefault="00441AFC">
      <w:pPr>
        <w:pStyle w:val="Rubrik7"/>
      </w:pPr>
      <w:r w:rsidRPr="00CD43D5">
        <w:t>Särskilda rättsmedel</w:t>
      </w:r>
    </w:p>
    <w:p w:rsidR="00441AFC" w:rsidRPr="00CD43D5" w:rsidRDefault="00441AFC">
      <w:r w:rsidRPr="00CD43D5">
        <w:t>36 § I fråga om särskilda rättsmedel gäller 42 § lagen (1996:242) om do</w:t>
      </w:r>
      <w:r w:rsidRPr="00CD43D5">
        <w:t>m</w:t>
      </w:r>
      <w:r w:rsidRPr="00CD43D5">
        <w:t>stolsärenden.</w:t>
      </w:r>
    </w:p>
    <w:p w:rsidR="00441AFC" w:rsidRPr="00CD43D5" w:rsidRDefault="00441AFC">
      <w:pPr>
        <w:pStyle w:val="Normaltindrag"/>
      </w:pPr>
    </w:p>
    <w:p w:rsidR="00441AFC" w:rsidRPr="00CD43D5" w:rsidRDefault="00441AFC">
      <w:r w:rsidRPr="00CD43D5">
        <w:rPr>
          <w:b/>
          <w:i/>
        </w:rPr>
        <w:t>Skadestånd</w:t>
      </w:r>
    </w:p>
    <w:p w:rsidR="00441AFC" w:rsidRPr="00CD43D5" w:rsidRDefault="00441AFC">
      <w:r w:rsidRPr="00CD43D5">
        <w:t>37 § Rätt till ersättning av staten har den som lider skada på grund av ett tekniskt fel i fastighetsregistrets inskrivningsdel eller i en anordning som är ansluten till registrets inskrivningsdel hos Lantmäteriverket, en inskrivnin</w:t>
      </w:r>
      <w:r w:rsidRPr="00CD43D5">
        <w:t>g</w:t>
      </w:r>
      <w:r w:rsidRPr="00CD43D5">
        <w:t>s-myndighet, en lantmäterimyndighet eller en myndighet som avses i 4 kap. 34 a § fastighetsbildningslagen (1970:988).</w:t>
      </w:r>
    </w:p>
    <w:p w:rsidR="00441AFC" w:rsidRPr="00CD43D5" w:rsidRDefault="00441AFC">
      <w:pPr>
        <w:pStyle w:val="Normaltindrag"/>
      </w:pPr>
      <w:r w:rsidRPr="00CD43D5">
        <w:t>Ersättningen skall efter skälighet sättas ned eller helt falla bort om den skadelidande har medverkat till skadan genom att utan skälig anledning låta bli att vidta åtgärder för att bevara sin rätt eller om den skadelidande på något annat sätt har medverkat till skadan genom eget vållande.</w:t>
      </w:r>
    </w:p>
    <w:p w:rsidR="00441AFC" w:rsidRPr="00CD43D5" w:rsidRDefault="00441AFC">
      <w:r w:rsidRPr="00CD43D5">
        <w:t>38 § En ägare eller rättighetshavare, som drabbas av skada till följd av ett beslut om rättelse enligt 22 §, har rätt till ersättning av staten. Ersättning lämnas dock inte, om den skadelidande med hänsyn till felets art eller andra omständigheter hade bort inse att fel förekommit.</w:t>
      </w:r>
    </w:p>
    <w:p w:rsidR="00441AFC" w:rsidRPr="00CD43D5" w:rsidRDefault="00441AFC">
      <w:r w:rsidRPr="00CD43D5">
        <w:t>39 § Bestämmelserna i 18 kap. 5 och 7 §§ gäller även i fråga om ersättning som avses i 37 och 38 §§.</w:t>
      </w:r>
    </w:p>
    <w:p w:rsidR="00441AFC" w:rsidRPr="00CD43D5" w:rsidRDefault="00441AFC">
      <w:pPr>
        <w:pStyle w:val="Normaltindrag"/>
      </w:pPr>
    </w:p>
    <w:p w:rsidR="00441AFC" w:rsidRPr="00CD43D5" w:rsidRDefault="00441AFC">
      <w:r w:rsidRPr="00CD43D5">
        <w:rPr>
          <w:b/>
          <w:i/>
        </w:rPr>
        <w:br w:type="page"/>
        <w:t>Inskrivningens inverkan på giltigheten av inskrivna förvärv</w:t>
      </w:r>
    </w:p>
    <w:p w:rsidR="00441AFC" w:rsidRPr="00CD43D5" w:rsidRDefault="00441AFC">
      <w:r w:rsidRPr="00CD43D5">
        <w:t>40 § En fråga om ett förvärv är ogiltigt eller av någon annan anledning inte kan göras gällande får prövas även om förvärvet har blivit inskrivet. Inskri</w:t>
      </w:r>
      <w:r w:rsidRPr="00CD43D5">
        <w:t>v</w:t>
      </w:r>
      <w:r w:rsidRPr="00CD43D5">
        <w:t xml:space="preserve">ningen hindrar inte heller en prövning av frågan om inskrivningen av andra skäl kränker någons rätt. </w:t>
      </w:r>
    </w:p>
    <w:p w:rsidR="00441AFC" w:rsidRPr="00CD43D5" w:rsidRDefault="00441AFC">
      <w:pPr>
        <w:pStyle w:val="Normaltindrag"/>
      </w:pPr>
      <w:r w:rsidRPr="00CD43D5">
        <w:t>Om det finns särskilda föreskrifter om att inskrivningen har rättsverkan eller om att talan skall väckas inom viss tid från inskrivningen, gäller dock dessa.</w:t>
      </w:r>
    </w:p>
    <w:p w:rsidR="00441AFC" w:rsidRPr="00CD43D5" w:rsidRDefault="00441AFC">
      <w:pPr>
        <w:pStyle w:val="Normaltindrag"/>
        <w:jc w:val="center"/>
      </w:pPr>
    </w:p>
    <w:p w:rsidR="00441AFC" w:rsidRPr="00CD43D5" w:rsidRDefault="00441AFC">
      <w:pPr>
        <w:pStyle w:val="Normaltindrag"/>
        <w:jc w:val="center"/>
      </w:pPr>
      <w:r w:rsidRPr="00CD43D5">
        <w:rPr>
          <w:b/>
        </w:rPr>
        <w:t>20 kap.</w:t>
      </w:r>
    </w:p>
    <w:p w:rsidR="00441AFC" w:rsidRPr="00CD43D5" w:rsidRDefault="00441AFC">
      <w:pPr>
        <w:pStyle w:val="Normaltindrag"/>
        <w:jc w:val="center"/>
      </w:pPr>
      <w:r w:rsidRPr="00CD43D5">
        <w:t>5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Den som söker lagfart skall </w:t>
            </w:r>
            <w:r w:rsidRPr="00CD43D5">
              <w:rPr>
                <w:i/>
              </w:rPr>
              <w:t>inge</w:t>
            </w:r>
            <w:r w:rsidRPr="00CD43D5">
              <w:t xml:space="preserve"> fångeshandlingen </w:t>
            </w:r>
            <w:r w:rsidRPr="00CD43D5">
              <w:rPr>
                <w:i/>
              </w:rPr>
              <w:t xml:space="preserve">samt </w:t>
            </w:r>
            <w:r w:rsidRPr="00CD43D5">
              <w:t xml:space="preserve">de övriga handlingar som </w:t>
            </w:r>
            <w:r w:rsidRPr="00CD43D5">
              <w:rPr>
                <w:i/>
              </w:rPr>
              <w:t>fordras till styrka</w:t>
            </w:r>
            <w:r w:rsidRPr="00CD43D5">
              <w:rPr>
                <w:i/>
              </w:rPr>
              <w:t>n</w:t>
            </w:r>
            <w:r w:rsidRPr="00CD43D5">
              <w:rPr>
                <w:i/>
              </w:rPr>
              <w:t xml:space="preserve">de av </w:t>
            </w:r>
            <w:r w:rsidRPr="00CD43D5">
              <w:t xml:space="preserve">förvärvet. </w:t>
            </w:r>
            <w:r w:rsidRPr="00CD43D5">
              <w:rPr>
                <w:i/>
              </w:rPr>
              <w:t>Söker</w:t>
            </w:r>
            <w:r w:rsidRPr="00CD43D5">
              <w:t xml:space="preserve"> dödsbo eller arvinge som är ensam delägare i dödsbo lagfart på förvärv av ege</w:t>
            </w:r>
            <w:r w:rsidRPr="00CD43D5">
              <w:t>n</w:t>
            </w:r>
            <w:r w:rsidRPr="00CD43D5">
              <w:t>dom från den döde, anses inregistr</w:t>
            </w:r>
            <w:r w:rsidRPr="00CD43D5">
              <w:t>e</w:t>
            </w:r>
            <w:r w:rsidRPr="00CD43D5">
              <w:t xml:space="preserve">rad bouppteckning efter denne </w:t>
            </w:r>
            <w:r w:rsidRPr="00CD43D5">
              <w:rPr>
                <w:i/>
              </w:rPr>
              <w:t>såsom</w:t>
            </w:r>
            <w:r w:rsidRPr="00CD43D5">
              <w:t xml:space="preserve"> fångeshandling.</w:t>
            </w:r>
          </w:p>
          <w:p w:rsidR="00441AFC" w:rsidRPr="00CD43D5" w:rsidRDefault="00441AFC">
            <w:pPr>
              <w:pStyle w:val="Propmedindrag"/>
            </w:pPr>
          </w:p>
        </w:tc>
        <w:tc>
          <w:tcPr>
            <w:tcW w:w="3118" w:type="dxa"/>
          </w:tcPr>
          <w:p w:rsidR="00441AFC" w:rsidRPr="00CD43D5" w:rsidRDefault="00441AFC">
            <w:pPr>
              <w:pStyle w:val="Normaltindrag"/>
            </w:pPr>
            <w:r w:rsidRPr="00CD43D5">
              <w:t xml:space="preserve">Den som söker lagfart skall </w:t>
            </w:r>
            <w:r w:rsidRPr="00CD43D5">
              <w:rPr>
                <w:i/>
              </w:rPr>
              <w:t>ge in</w:t>
            </w:r>
            <w:r w:rsidRPr="00CD43D5">
              <w:t xml:space="preserve"> fångeshandlingen</w:t>
            </w:r>
            <w:r w:rsidRPr="00CD43D5">
              <w:rPr>
                <w:i/>
              </w:rPr>
              <w:t xml:space="preserve"> och</w:t>
            </w:r>
            <w:r w:rsidRPr="00CD43D5">
              <w:t xml:space="preserve"> de övriga handlingar som </w:t>
            </w:r>
            <w:r w:rsidRPr="00CD43D5">
              <w:rPr>
                <w:i/>
              </w:rPr>
              <w:t>är nödvändiga för att styrka</w:t>
            </w:r>
            <w:r w:rsidRPr="00CD43D5">
              <w:t xml:space="preserve"> förvärvet. </w:t>
            </w:r>
            <w:r w:rsidRPr="00CD43D5">
              <w:rPr>
                <w:i/>
              </w:rPr>
              <w:t>Om ett</w:t>
            </w:r>
            <w:r w:rsidRPr="00CD43D5">
              <w:t xml:space="preserve"> dödsbo eller </w:t>
            </w:r>
            <w:r w:rsidRPr="00CD43D5">
              <w:rPr>
                <w:i/>
              </w:rPr>
              <w:t>en</w:t>
            </w:r>
            <w:r w:rsidRPr="00CD43D5">
              <w:t xml:space="preserve"> arvinge som är ensam de</w:t>
            </w:r>
            <w:r w:rsidRPr="00CD43D5">
              <w:t>l</w:t>
            </w:r>
            <w:r w:rsidRPr="00CD43D5">
              <w:t xml:space="preserve">ägare i </w:t>
            </w:r>
            <w:r w:rsidRPr="00CD43D5">
              <w:rPr>
                <w:i/>
              </w:rPr>
              <w:t>ett</w:t>
            </w:r>
            <w:r w:rsidRPr="00CD43D5">
              <w:t xml:space="preserve"> dödsbo </w:t>
            </w:r>
            <w:r w:rsidRPr="00CD43D5">
              <w:rPr>
                <w:i/>
              </w:rPr>
              <w:t>söker</w:t>
            </w:r>
            <w:r w:rsidRPr="00CD43D5">
              <w:t xml:space="preserve"> lagfart på förvärv av egendom från den döde, anses </w:t>
            </w:r>
            <w:r w:rsidRPr="00CD43D5">
              <w:rPr>
                <w:i/>
              </w:rPr>
              <w:t xml:space="preserve">en </w:t>
            </w:r>
            <w:r w:rsidRPr="00CD43D5">
              <w:t>inregistrerad boupptec</w:t>
            </w:r>
            <w:r w:rsidRPr="00CD43D5">
              <w:t>k</w:t>
            </w:r>
            <w:r w:rsidRPr="00CD43D5">
              <w:t>ning efter denne</w:t>
            </w:r>
            <w:r w:rsidRPr="00CD43D5">
              <w:rPr>
                <w:i/>
              </w:rPr>
              <w:t xml:space="preserve"> som</w:t>
            </w:r>
            <w:r w:rsidRPr="00CD43D5">
              <w:t xml:space="preserve"> fångeshan</w:t>
            </w:r>
            <w:r w:rsidRPr="00CD43D5">
              <w:t>d</w:t>
            </w:r>
            <w:r w:rsidRPr="00CD43D5">
              <w:t>ling.</w:t>
            </w:r>
          </w:p>
          <w:p w:rsidR="00441AFC" w:rsidRPr="00CD43D5" w:rsidRDefault="00441AFC">
            <w:pPr>
              <w:pStyle w:val="Normaltindrag"/>
            </w:pPr>
            <w:r w:rsidRPr="00CD43D5">
              <w:rPr>
                <w:i/>
              </w:rPr>
              <w:t>Om en ansökan om lagfart görs av flera sökande gemensamt, skall den innehålla uppgift om hur stor andel av fastigheten som varje sökande har förvärvat. Om det saknas sådana uppgifter och söka</w:t>
            </w:r>
            <w:r w:rsidRPr="00CD43D5">
              <w:rPr>
                <w:i/>
              </w:rPr>
              <w:t>n</w:t>
            </w:r>
            <w:r w:rsidRPr="00CD43D5">
              <w:rPr>
                <w:i/>
              </w:rPr>
              <w:t>dena inte följer ett föreläggande att komplettera ansökan, skall den anses avse andelar efter huvudtalet.</w:t>
            </w:r>
          </w:p>
        </w:tc>
      </w:tr>
    </w:tbl>
    <w:p w:rsidR="00441AFC" w:rsidRPr="00CD43D5" w:rsidRDefault="00441AFC">
      <w:pPr>
        <w:pStyle w:val="Normaltindrag"/>
        <w:jc w:val="center"/>
      </w:pPr>
    </w:p>
    <w:p w:rsidR="00441AFC" w:rsidRPr="00CD43D5" w:rsidRDefault="00441AFC">
      <w:pPr>
        <w:pStyle w:val="Normaltindrag"/>
        <w:jc w:val="center"/>
      </w:pPr>
      <w:r w:rsidRPr="00CD43D5">
        <w:rPr>
          <w:b/>
        </w:rPr>
        <w:t>21 kap.</w:t>
      </w:r>
    </w:p>
    <w:p w:rsidR="00441AFC" w:rsidRPr="00CD43D5" w:rsidRDefault="00441AFC">
      <w:pPr>
        <w:pStyle w:val="Normaltindrag"/>
        <w:jc w:val="center"/>
      </w:pPr>
      <w:r w:rsidRPr="00CD43D5">
        <w:t>6 §</w:t>
      </w:r>
      <w:r w:rsidRPr="00CD43D5">
        <w:rPr>
          <w:rStyle w:val="Fotnotsreferens"/>
        </w:rPr>
        <w:footnoteReference w:customMarkFollows="1" w:id="4"/>
        <w:t>4</w:t>
      </w:r>
      <w:r w:rsidRPr="00CD43D5">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Framgår</w:t>
            </w:r>
            <w:r w:rsidRPr="00CD43D5">
              <w:t xml:space="preserve"> av anteckning i </w:t>
            </w:r>
            <w:r w:rsidRPr="00CD43D5">
              <w:rPr>
                <w:i/>
              </w:rPr>
              <w:t>tom</w:t>
            </w:r>
            <w:r w:rsidRPr="00CD43D5">
              <w:rPr>
                <w:i/>
              </w:rPr>
              <w:t>t</w:t>
            </w:r>
            <w:r w:rsidRPr="00CD43D5">
              <w:rPr>
                <w:i/>
              </w:rPr>
              <w:t>rättsboken</w:t>
            </w:r>
            <w:r w:rsidRPr="00CD43D5">
              <w:t xml:space="preserve"> eller upplyses </w:t>
            </w:r>
            <w:r w:rsidRPr="00CD43D5">
              <w:rPr>
                <w:i/>
              </w:rPr>
              <w:t>eljest</w:t>
            </w:r>
            <w:r w:rsidRPr="00CD43D5">
              <w:t xml:space="preserve"> att tomträtten upphört enligt 13 kap. 19 §, skall </w:t>
            </w:r>
            <w:r w:rsidRPr="00CD43D5">
              <w:rPr>
                <w:i/>
              </w:rPr>
              <w:t>anteckning om tomträ</w:t>
            </w:r>
            <w:r w:rsidRPr="00CD43D5">
              <w:rPr>
                <w:i/>
              </w:rPr>
              <w:t>t</w:t>
            </w:r>
            <w:r w:rsidRPr="00CD43D5">
              <w:rPr>
                <w:i/>
              </w:rPr>
              <w:t>tens upphörande göras i boken.</w:t>
            </w:r>
          </w:p>
        </w:tc>
        <w:tc>
          <w:tcPr>
            <w:tcW w:w="3118" w:type="dxa"/>
          </w:tcPr>
          <w:p w:rsidR="00441AFC" w:rsidRPr="00CD43D5" w:rsidRDefault="00441AFC">
            <w:pPr>
              <w:pStyle w:val="Normaltindrag"/>
            </w:pPr>
            <w:r w:rsidRPr="00CD43D5">
              <w:rPr>
                <w:i/>
              </w:rPr>
              <w:t>Om det framgår</w:t>
            </w:r>
            <w:r w:rsidRPr="00CD43D5">
              <w:t xml:space="preserve"> av </w:t>
            </w:r>
            <w:r w:rsidRPr="00CD43D5">
              <w:rPr>
                <w:i/>
              </w:rPr>
              <w:t>en</w:t>
            </w:r>
            <w:r w:rsidRPr="00CD43D5">
              <w:t xml:space="preserve"> anteckning i </w:t>
            </w:r>
            <w:r w:rsidRPr="00CD43D5">
              <w:rPr>
                <w:i/>
              </w:rPr>
              <w:t>fastighetsregistrets inskrivningsdel</w:t>
            </w:r>
            <w:r w:rsidRPr="00CD43D5">
              <w:t xml:space="preserve"> eller upplyses </w:t>
            </w:r>
            <w:r w:rsidRPr="00CD43D5">
              <w:rPr>
                <w:i/>
              </w:rPr>
              <w:t>på annat sätt</w:t>
            </w:r>
            <w:r w:rsidRPr="00CD43D5">
              <w:t xml:space="preserve"> att tomträtten </w:t>
            </w:r>
            <w:r w:rsidRPr="00CD43D5">
              <w:rPr>
                <w:i/>
              </w:rPr>
              <w:t>har</w:t>
            </w:r>
            <w:r w:rsidRPr="00CD43D5">
              <w:t xml:space="preserve"> upphört enligt 13 kap. 19 §, skall </w:t>
            </w:r>
            <w:r w:rsidRPr="00CD43D5">
              <w:rPr>
                <w:i/>
              </w:rPr>
              <w:t>det</w:t>
            </w:r>
            <w:r w:rsidRPr="00CD43D5">
              <w:t xml:space="preserve"> i </w:t>
            </w:r>
            <w:r w:rsidRPr="00CD43D5">
              <w:rPr>
                <w:i/>
              </w:rPr>
              <w:t>fastighet</w:t>
            </w:r>
            <w:r w:rsidRPr="00CD43D5">
              <w:rPr>
                <w:i/>
              </w:rPr>
              <w:t>s</w:t>
            </w:r>
            <w:r w:rsidRPr="00CD43D5">
              <w:rPr>
                <w:i/>
              </w:rPr>
              <w:t>registrets inskrivningsdel</w:t>
            </w:r>
            <w:r w:rsidRPr="00CD43D5">
              <w:t xml:space="preserve"> </w:t>
            </w:r>
            <w:r w:rsidRPr="00CD43D5">
              <w:rPr>
                <w:i/>
              </w:rPr>
              <w:t>antecknas att tom</w:t>
            </w:r>
            <w:r w:rsidRPr="00CD43D5">
              <w:rPr>
                <w:i/>
              </w:rPr>
              <w:t>t</w:t>
            </w:r>
            <w:r w:rsidRPr="00CD43D5">
              <w:rPr>
                <w:i/>
              </w:rPr>
              <w:t>rätten har upphört.</w:t>
            </w:r>
          </w:p>
        </w:tc>
      </w:tr>
    </w:tbl>
    <w:p w:rsidR="00441AFC" w:rsidRPr="00CD43D5" w:rsidRDefault="00441AFC">
      <w:pPr>
        <w:pStyle w:val="Normaltindrag"/>
      </w:pPr>
      <w:r w:rsidRPr="00CD43D5">
        <w:t>Ansökan om dödning av tomträttsinskrivning i fall som anges i 13 kap. 22 § får ej bifallas, om inskrivning i tomträtten är beviljad eller sökt eller om tomträtten har utmätts, belagts med kvarstad eller tagits i anspråk genom betalningssäkring och ett ärende angående anteckning om åtgärden har tagits upp senast på den inskrivningsdag då dödning söks.</w:t>
      </w:r>
    </w:p>
    <w:p w:rsidR="00441AFC" w:rsidRPr="00CD43D5" w:rsidRDefault="00441AFC">
      <w:pPr>
        <w:spacing w:before="0"/>
        <w:jc w:val="center"/>
      </w:pPr>
      <w:r w:rsidRPr="00CD43D5">
        <w:rPr>
          <w:b/>
        </w:rPr>
        <w:t>22 kap.</w:t>
      </w:r>
    </w:p>
    <w:p w:rsidR="00441AFC" w:rsidRPr="00CD43D5" w:rsidRDefault="00441AFC">
      <w:pPr>
        <w:spacing w:before="0"/>
        <w:jc w:val="center"/>
      </w:pPr>
      <w:r w:rsidRPr="00CD43D5">
        <w:t>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Ansökan om inteckning skall g</w:t>
            </w:r>
            <w:r w:rsidRPr="00CD43D5">
              <w:t>ö</w:t>
            </w:r>
            <w:r w:rsidRPr="00CD43D5">
              <w:t xml:space="preserve">ras </w:t>
            </w:r>
            <w:r w:rsidRPr="00CD43D5">
              <w:rPr>
                <w:i/>
              </w:rPr>
              <w:t>skriftligen</w:t>
            </w:r>
            <w:r w:rsidRPr="00CD43D5">
              <w:t xml:space="preserve"> av fastighetsägaren. </w:t>
            </w:r>
            <w:r w:rsidRPr="00CD43D5">
              <w:rPr>
                <w:i/>
              </w:rPr>
              <w:t>Ansökningshandlingen</w:t>
            </w:r>
            <w:r w:rsidRPr="00CD43D5">
              <w:t xml:space="preserve"> skall inn</w:t>
            </w:r>
            <w:r w:rsidRPr="00CD43D5">
              <w:t>e</w:t>
            </w:r>
            <w:r w:rsidRPr="00CD43D5">
              <w:t xml:space="preserve">hålla uppgift om dels det </w:t>
            </w:r>
            <w:r w:rsidRPr="00CD43D5">
              <w:rPr>
                <w:i/>
              </w:rPr>
              <w:t>pennin</w:t>
            </w:r>
            <w:r w:rsidRPr="00CD43D5">
              <w:rPr>
                <w:i/>
              </w:rPr>
              <w:t>g</w:t>
            </w:r>
            <w:r w:rsidRPr="00CD43D5">
              <w:rPr>
                <w:i/>
              </w:rPr>
              <w:t>belopp</w:t>
            </w:r>
            <w:r w:rsidRPr="00CD43D5">
              <w:t xml:space="preserve"> på vilket inteckningen skall lyda, dels den eller de fastigheter som avses. Beloppet skall </w:t>
            </w:r>
            <w:r w:rsidRPr="00CD43D5">
              <w:rPr>
                <w:i/>
              </w:rPr>
              <w:t>vara bestämt i svenskt mynt.</w:t>
            </w:r>
          </w:p>
        </w:tc>
        <w:tc>
          <w:tcPr>
            <w:tcW w:w="3118" w:type="dxa"/>
          </w:tcPr>
          <w:p w:rsidR="00441AFC" w:rsidRPr="00CD43D5" w:rsidRDefault="00441AFC">
            <w:pPr>
              <w:pStyle w:val="Normaltindrag"/>
            </w:pPr>
            <w:r w:rsidRPr="00CD43D5">
              <w:rPr>
                <w:i/>
              </w:rPr>
              <w:t>En</w:t>
            </w:r>
            <w:r w:rsidRPr="00CD43D5">
              <w:t xml:space="preserve"> ansökan om inteckning skall göras av fastighetsägaren.</w:t>
            </w:r>
            <w:r w:rsidRPr="00CD43D5">
              <w:rPr>
                <w:i/>
              </w:rPr>
              <w:t xml:space="preserve"> Den</w:t>
            </w:r>
            <w:r w:rsidRPr="00CD43D5">
              <w:t xml:space="preserve"> skall innehålla uppgift om dels det </w:t>
            </w:r>
            <w:r w:rsidRPr="00CD43D5">
              <w:rPr>
                <w:i/>
              </w:rPr>
              <w:t>b</w:t>
            </w:r>
            <w:r w:rsidRPr="00CD43D5">
              <w:rPr>
                <w:i/>
              </w:rPr>
              <w:t>e</w:t>
            </w:r>
            <w:r w:rsidRPr="00CD43D5">
              <w:rPr>
                <w:i/>
              </w:rPr>
              <w:t xml:space="preserve">lopp </w:t>
            </w:r>
            <w:r w:rsidRPr="00CD43D5">
              <w:t xml:space="preserve">på vilket inteckningen skall lyda, dels den eller de fastigheter som avses. Beloppet skall </w:t>
            </w:r>
            <w:r w:rsidRPr="00CD43D5">
              <w:rPr>
                <w:i/>
              </w:rPr>
              <w:t>anges i svenska kronor.</w:t>
            </w:r>
          </w:p>
        </w:tc>
      </w:tr>
    </w:tbl>
    <w:p w:rsidR="00441AFC" w:rsidRPr="00CD43D5" w:rsidRDefault="00441AFC">
      <w:pPr>
        <w:pStyle w:val="Normaltindrag"/>
      </w:pPr>
      <w:r w:rsidRPr="00CD43D5">
        <w:t>Ansökan får ej avse del av fastighet. Den får avse flera fastigheter geme</w:t>
      </w:r>
      <w:r w:rsidRPr="00CD43D5">
        <w:t>n</w:t>
      </w:r>
      <w:r w:rsidRPr="00CD43D5">
        <w:t>samt endast om dessa är i samme ägares hand och belägna inom samma inskrivningsmyndighets område. Angår ansökan fastighet som svarar för beviljad eller sökt inteckning, måste ansökningen avse samma fasta egendom som inteckningen och får icke därjämte avse fastighet som ej svarar för i</w:t>
      </w:r>
      <w:r w:rsidRPr="00CD43D5">
        <w:t>n</w:t>
      </w:r>
      <w:r w:rsidRPr="00CD43D5">
        <w:t>teckningen.</w:t>
      </w:r>
    </w:p>
    <w:p w:rsidR="00441AFC" w:rsidRPr="00CD43D5" w:rsidRDefault="00441AFC">
      <w:pPr>
        <w:pStyle w:val="Normaltindrag"/>
      </w:pPr>
    </w:p>
    <w:p w:rsidR="00441AFC" w:rsidRPr="00CD43D5" w:rsidRDefault="00441AFC">
      <w:pPr>
        <w:spacing w:before="0"/>
        <w:jc w:val="center"/>
      </w:pPr>
      <w:r w:rsidRPr="00CD43D5">
        <w:rPr>
          <w:b/>
        </w:rPr>
        <w:t xml:space="preserve">24 kap. </w:t>
      </w:r>
    </w:p>
    <w:p w:rsidR="00441AFC" w:rsidRPr="00CD43D5" w:rsidRDefault="00441AFC">
      <w:pPr>
        <w:spacing w:before="0"/>
        <w:jc w:val="center"/>
      </w:pPr>
      <w:r w:rsidRPr="00CD43D5">
        <w:t>1 §</w:t>
      </w:r>
      <w:r w:rsidRPr="00CD43D5">
        <w:rPr>
          <w:rStyle w:val="Fotnotsreferens"/>
        </w:rPr>
        <w:footnoteReference w:customMarkFollows="1" w:id="5"/>
        <w:t>5</w:t>
      </w:r>
      <w:r w:rsidRPr="00CD43D5">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En fastighetsägare har rätt att a</w:t>
            </w:r>
            <w:r w:rsidRPr="00CD43D5">
              <w:t>n</w:t>
            </w:r>
            <w:r w:rsidRPr="00CD43D5">
              <w:t xml:space="preserve">söka om inskrivning i </w:t>
            </w:r>
            <w:r w:rsidRPr="00CD43D5">
              <w:rPr>
                <w:i/>
              </w:rPr>
              <w:t>fastighetsb</w:t>
            </w:r>
            <w:r w:rsidRPr="00CD43D5">
              <w:rPr>
                <w:i/>
              </w:rPr>
              <w:t>o</w:t>
            </w:r>
            <w:r w:rsidRPr="00CD43D5">
              <w:rPr>
                <w:i/>
              </w:rPr>
              <w:t>ken</w:t>
            </w:r>
            <w:r w:rsidRPr="00CD43D5">
              <w:t xml:space="preserve"> av förklaring som avses i 2 kap. 3 §. Som fastighetsägare anses i detta kapitel den för vilken lagfart senast är sökt. </w:t>
            </w:r>
            <w:r w:rsidRPr="00CD43D5">
              <w:rPr>
                <w:i/>
              </w:rPr>
              <w:t xml:space="preserve">Ansökningen skall göras skriftligen. </w:t>
            </w:r>
          </w:p>
          <w:p w:rsidR="00441AFC" w:rsidRPr="00CD43D5" w:rsidRDefault="00441AFC">
            <w:pPr>
              <w:pStyle w:val="Normaltindrag"/>
            </w:pPr>
            <w:r w:rsidRPr="00CD43D5">
              <w:rPr>
                <w:i/>
              </w:rPr>
              <w:t>Ansökningen</w:t>
            </w:r>
            <w:r w:rsidRPr="00CD43D5">
              <w:t xml:space="preserve"> skall avslås, om</w:t>
            </w:r>
          </w:p>
          <w:p w:rsidR="00441AFC" w:rsidRPr="00CD43D5" w:rsidRDefault="00441AFC">
            <w:pPr>
              <w:pStyle w:val="Normaltindrag"/>
            </w:pPr>
            <w:r w:rsidRPr="00CD43D5">
              <w:rPr>
                <w:i/>
              </w:rPr>
              <w:t>1. kravet på skriftlig form inte har iakttagits,</w:t>
            </w:r>
          </w:p>
          <w:p w:rsidR="00441AFC" w:rsidRPr="00CD43D5" w:rsidRDefault="00441AFC">
            <w:pPr>
              <w:pStyle w:val="Normaltindrag"/>
            </w:pPr>
            <w:r w:rsidRPr="00CD43D5">
              <w:rPr>
                <w:i/>
              </w:rPr>
              <w:t>2.</w:t>
            </w:r>
            <w:r w:rsidRPr="00CD43D5">
              <w:t xml:space="preserve"> ansökan om lagfart för söka</w:t>
            </w:r>
            <w:r w:rsidRPr="00CD43D5">
              <w:t>n</w:t>
            </w:r>
            <w:r w:rsidRPr="00CD43D5">
              <w:t xml:space="preserve">den är vilandeförklarad och </w:t>
            </w:r>
            <w:r w:rsidRPr="00CD43D5">
              <w:rPr>
                <w:i/>
              </w:rPr>
              <w:t>inskri</w:t>
            </w:r>
            <w:r w:rsidRPr="00CD43D5">
              <w:rPr>
                <w:i/>
              </w:rPr>
              <w:t>v</w:t>
            </w:r>
            <w:r w:rsidRPr="00CD43D5">
              <w:rPr>
                <w:i/>
              </w:rPr>
              <w:t>ningsansökningen</w:t>
            </w:r>
            <w:r w:rsidRPr="00CD43D5">
              <w:t xml:space="preserve"> inte har </w:t>
            </w:r>
            <w:r w:rsidRPr="00CD43D5">
              <w:rPr>
                <w:i/>
              </w:rPr>
              <w:t>medgivits</w:t>
            </w:r>
            <w:r w:rsidRPr="00CD43D5">
              <w:t xml:space="preserve"> av den som har lagfart,</w:t>
            </w:r>
          </w:p>
          <w:p w:rsidR="00441AFC" w:rsidRPr="00CD43D5" w:rsidRDefault="00441AFC">
            <w:pPr>
              <w:pStyle w:val="Normaltindrag"/>
            </w:pPr>
            <w:r w:rsidRPr="00CD43D5">
              <w:rPr>
                <w:i/>
              </w:rPr>
              <w:t>3.</w:t>
            </w:r>
            <w:r w:rsidRPr="00CD43D5">
              <w:t xml:space="preserve"> en eller flera inteckningar gä</w:t>
            </w:r>
            <w:r w:rsidRPr="00CD43D5">
              <w:t>l</w:t>
            </w:r>
            <w:r w:rsidRPr="00CD43D5">
              <w:t xml:space="preserve">ler i fastigheten och varje borgenär för vars fordran pantbrev på grund av sådan inteckning utgör säkerhet inte med ingivande av pantbrevet har </w:t>
            </w:r>
            <w:r w:rsidRPr="00CD43D5">
              <w:rPr>
                <w:i/>
              </w:rPr>
              <w:t>medgivit ansökningen</w:t>
            </w:r>
            <w:r w:rsidRPr="00CD43D5">
              <w:t>,</w:t>
            </w:r>
          </w:p>
          <w:p w:rsidR="00441AFC" w:rsidRPr="00CD43D5" w:rsidRDefault="00441AFC">
            <w:pPr>
              <w:pStyle w:val="Normaltindrag"/>
            </w:pPr>
            <w:r w:rsidRPr="00CD43D5">
              <w:rPr>
                <w:i/>
              </w:rPr>
              <w:t>4</w:t>
            </w:r>
            <w:r w:rsidRPr="00CD43D5">
              <w:t>. fastigheten har frångått söka</w:t>
            </w:r>
            <w:r w:rsidRPr="00CD43D5">
              <w:t>n</w:t>
            </w:r>
            <w:r w:rsidRPr="00CD43D5">
              <w:t>den på grund av exekutiv försäl</w:t>
            </w:r>
            <w:r w:rsidRPr="00CD43D5">
              <w:t>j</w:t>
            </w:r>
            <w:r w:rsidRPr="00CD43D5">
              <w:t xml:space="preserve">ning eller genom expropriation eller liknande tvångsförvärv, </w:t>
            </w:r>
          </w:p>
          <w:p w:rsidR="00441AFC" w:rsidRPr="00CD43D5" w:rsidRDefault="00441AFC">
            <w:pPr>
              <w:pStyle w:val="Normaltindrag"/>
            </w:pPr>
            <w:r w:rsidRPr="00CD43D5">
              <w:rPr>
                <w:i/>
              </w:rPr>
              <w:t>5.</w:t>
            </w:r>
            <w:r w:rsidRPr="00CD43D5">
              <w:t xml:space="preserve"> sökanden är i konkurs eller fö</w:t>
            </w:r>
            <w:r w:rsidRPr="00CD43D5">
              <w:t>r</w:t>
            </w:r>
            <w:r w:rsidRPr="00CD43D5">
              <w:t>sätts i konkurs den dag då inskri</w:t>
            </w:r>
            <w:r w:rsidRPr="00CD43D5">
              <w:t>v</w:t>
            </w:r>
            <w:r w:rsidRPr="00CD43D5">
              <w:t xml:space="preserve">ningen söks samt fastigheten hör till konkursboet, </w:t>
            </w:r>
          </w:p>
          <w:p w:rsidR="00441AFC" w:rsidRPr="00CD43D5" w:rsidRDefault="00441AFC">
            <w:pPr>
              <w:pStyle w:val="Normaltindrag"/>
            </w:pPr>
            <w:r w:rsidRPr="00CD43D5">
              <w:rPr>
                <w:i/>
              </w:rPr>
              <w:t>6.</w:t>
            </w:r>
            <w:r w:rsidRPr="00CD43D5">
              <w:t xml:space="preserve"> fastigheten eller en del därav är utmätt eller utmäts den dag då i</w:t>
            </w:r>
            <w:r w:rsidRPr="00CD43D5">
              <w:t>n</w:t>
            </w:r>
            <w:r w:rsidRPr="00CD43D5">
              <w:t>skrivningen söks och kronofogd</w:t>
            </w:r>
            <w:r w:rsidRPr="00CD43D5">
              <w:t>e</w:t>
            </w:r>
            <w:r w:rsidRPr="00CD43D5">
              <w:t xml:space="preserve">myndigheten inte har </w:t>
            </w:r>
            <w:r w:rsidRPr="00CD43D5">
              <w:rPr>
                <w:i/>
              </w:rPr>
              <w:t>medgivit</w:t>
            </w:r>
            <w:r w:rsidRPr="00CD43D5">
              <w:t xml:space="preserve"> </w:t>
            </w:r>
            <w:r w:rsidRPr="00CD43D5">
              <w:rPr>
                <w:i/>
              </w:rPr>
              <w:t xml:space="preserve">ansökningen, </w:t>
            </w:r>
          </w:p>
          <w:p w:rsidR="00441AFC" w:rsidRPr="00CD43D5" w:rsidRDefault="00441AFC">
            <w:pPr>
              <w:pStyle w:val="Normaltindrag"/>
            </w:pPr>
            <w:r w:rsidRPr="00CD43D5">
              <w:rPr>
                <w:i/>
              </w:rPr>
              <w:t>7.</w:t>
            </w:r>
            <w:r w:rsidRPr="00CD43D5">
              <w:t xml:space="preserve"> fastigheten eller en del därav har tagits i anspråk genom beta</w:t>
            </w:r>
            <w:r w:rsidRPr="00CD43D5">
              <w:t>l</w:t>
            </w:r>
            <w:r w:rsidRPr="00CD43D5">
              <w:t>ningssäkring eller tas i anspråk den dag då inskrivningen söks och kr</w:t>
            </w:r>
            <w:r w:rsidRPr="00CD43D5">
              <w:t>o</w:t>
            </w:r>
            <w:r w:rsidRPr="00CD43D5">
              <w:t xml:space="preserve">nofogdemyndigheten inte har </w:t>
            </w:r>
            <w:r w:rsidRPr="00CD43D5">
              <w:rPr>
                <w:i/>
              </w:rPr>
              <w:t>me</w:t>
            </w:r>
            <w:r w:rsidRPr="00CD43D5">
              <w:rPr>
                <w:i/>
              </w:rPr>
              <w:t>d</w:t>
            </w:r>
            <w:r w:rsidRPr="00CD43D5">
              <w:rPr>
                <w:i/>
              </w:rPr>
              <w:t>givit ansökningen,</w:t>
            </w:r>
            <w:r w:rsidRPr="00CD43D5">
              <w:t xml:space="preserve"> </w:t>
            </w:r>
          </w:p>
          <w:p w:rsidR="00441AFC" w:rsidRPr="00CD43D5" w:rsidRDefault="00441AFC">
            <w:pPr>
              <w:pStyle w:val="Normaltindrag"/>
            </w:pPr>
            <w:r w:rsidRPr="00CD43D5">
              <w:rPr>
                <w:i/>
              </w:rPr>
              <w:t>8.</w:t>
            </w:r>
            <w:r w:rsidRPr="00CD43D5">
              <w:t xml:space="preserve"> fastigheten eller en del därav är belagd med kvarstad eller beläggs med kvarstad den dag då inskri</w:t>
            </w:r>
            <w:r w:rsidRPr="00CD43D5">
              <w:t>v</w:t>
            </w:r>
            <w:r w:rsidRPr="00CD43D5">
              <w:t>ningen söks och kronofogdemy</w:t>
            </w:r>
            <w:r w:rsidRPr="00CD43D5">
              <w:t>n</w:t>
            </w:r>
            <w:r w:rsidRPr="00CD43D5">
              <w:t xml:space="preserve">digheten inte har </w:t>
            </w:r>
            <w:r w:rsidRPr="00CD43D5">
              <w:rPr>
                <w:i/>
              </w:rPr>
              <w:t>medgivit</w:t>
            </w:r>
            <w:r w:rsidRPr="00CD43D5">
              <w:t xml:space="preserve"> </w:t>
            </w:r>
            <w:r w:rsidRPr="00CD43D5">
              <w:rPr>
                <w:i/>
              </w:rPr>
              <w:t>ansö</w:t>
            </w:r>
            <w:r w:rsidRPr="00CD43D5">
              <w:rPr>
                <w:i/>
              </w:rPr>
              <w:t>k</w:t>
            </w:r>
            <w:r w:rsidRPr="00CD43D5">
              <w:rPr>
                <w:i/>
              </w:rPr>
              <w:t>ningen</w:t>
            </w:r>
            <w:r w:rsidRPr="00CD43D5">
              <w:t>.</w:t>
            </w:r>
          </w:p>
          <w:p w:rsidR="00441AFC" w:rsidRPr="00CD43D5" w:rsidRDefault="00441AFC">
            <w:pPr>
              <w:pStyle w:val="Normaltindrag"/>
            </w:pPr>
            <w:r w:rsidRPr="00CD43D5">
              <w:t>Om ett ärende angående</w:t>
            </w:r>
            <w:r w:rsidRPr="00CD43D5">
              <w:rPr>
                <w:i/>
              </w:rPr>
              <w:t xml:space="preserve"> </w:t>
            </w:r>
            <w:r w:rsidRPr="00CD43D5">
              <w:t>lagfart för sökanden har skjutits upp till en senare inskrivningsdag skall b</w:t>
            </w:r>
            <w:r w:rsidRPr="00CD43D5">
              <w:t>e</w:t>
            </w:r>
            <w:r w:rsidRPr="00CD43D5">
              <w:t xml:space="preserve">handlingen av </w:t>
            </w:r>
            <w:r w:rsidRPr="00CD43D5">
              <w:rPr>
                <w:i/>
              </w:rPr>
              <w:t>inskrivningsansö</w:t>
            </w:r>
            <w:r w:rsidRPr="00CD43D5">
              <w:rPr>
                <w:i/>
              </w:rPr>
              <w:t>k</w:t>
            </w:r>
            <w:r w:rsidRPr="00CD43D5">
              <w:rPr>
                <w:i/>
              </w:rPr>
              <w:t>ningen</w:t>
            </w:r>
            <w:r w:rsidRPr="00CD43D5">
              <w:t xml:space="preserve"> skjutas upp till samma dag.</w:t>
            </w:r>
          </w:p>
        </w:tc>
        <w:tc>
          <w:tcPr>
            <w:tcW w:w="3118" w:type="dxa"/>
          </w:tcPr>
          <w:p w:rsidR="00441AFC" w:rsidRPr="00CD43D5" w:rsidRDefault="00441AFC">
            <w:pPr>
              <w:pStyle w:val="Normaltindrag"/>
            </w:pPr>
            <w:r w:rsidRPr="00CD43D5">
              <w:t>En fastighetsägare har rätt att a</w:t>
            </w:r>
            <w:r w:rsidRPr="00CD43D5">
              <w:t>n</w:t>
            </w:r>
            <w:r w:rsidRPr="00CD43D5">
              <w:t xml:space="preserve">söka om inskrivning i </w:t>
            </w:r>
            <w:r w:rsidRPr="00CD43D5">
              <w:rPr>
                <w:i/>
              </w:rPr>
              <w:t>fastighetsr</w:t>
            </w:r>
            <w:r w:rsidRPr="00CD43D5">
              <w:rPr>
                <w:i/>
              </w:rPr>
              <w:t>e</w:t>
            </w:r>
            <w:r w:rsidRPr="00CD43D5">
              <w:rPr>
                <w:i/>
              </w:rPr>
              <w:t>gistrets inskrivningsdel</w:t>
            </w:r>
            <w:r w:rsidRPr="00CD43D5">
              <w:t xml:space="preserve"> av en fö</w:t>
            </w:r>
            <w:r w:rsidRPr="00CD43D5">
              <w:t>r</w:t>
            </w:r>
            <w:r w:rsidRPr="00CD43D5">
              <w:t xml:space="preserve">klaring som avses i 2 kap. 3 §. Som fastighetsägare anses i detta kapitel den för vilken lagfart senast är sökt. </w:t>
            </w:r>
          </w:p>
          <w:p w:rsidR="00441AFC" w:rsidRPr="00CD43D5" w:rsidRDefault="00441AFC">
            <w:pPr>
              <w:pStyle w:val="Normaltindrag"/>
            </w:pPr>
          </w:p>
          <w:p w:rsidR="00441AFC" w:rsidRPr="00CD43D5" w:rsidRDefault="00441AFC">
            <w:pPr>
              <w:pStyle w:val="Normaltindrag"/>
            </w:pPr>
            <w:r w:rsidRPr="00CD43D5">
              <w:rPr>
                <w:i/>
              </w:rPr>
              <w:t xml:space="preserve">Ansökan </w:t>
            </w:r>
            <w:r w:rsidRPr="00CD43D5">
              <w:t>skall avslås, om</w:t>
            </w: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r w:rsidRPr="00CD43D5">
              <w:rPr>
                <w:i/>
              </w:rPr>
              <w:t>1.</w:t>
            </w:r>
            <w:r w:rsidRPr="00CD43D5">
              <w:t xml:space="preserve"> ansökan om lagfart för söka</w:t>
            </w:r>
            <w:r w:rsidRPr="00CD43D5">
              <w:t>n</w:t>
            </w:r>
            <w:r w:rsidRPr="00CD43D5">
              <w:t xml:space="preserve">den är vilandeförklarad och </w:t>
            </w:r>
            <w:r w:rsidRPr="00CD43D5">
              <w:rPr>
                <w:i/>
              </w:rPr>
              <w:t>inskri</w:t>
            </w:r>
            <w:r w:rsidRPr="00CD43D5">
              <w:rPr>
                <w:i/>
              </w:rPr>
              <w:t>v</w:t>
            </w:r>
            <w:r w:rsidRPr="00CD43D5">
              <w:rPr>
                <w:i/>
              </w:rPr>
              <w:t>ningsansökan</w:t>
            </w:r>
            <w:r w:rsidRPr="00CD43D5">
              <w:t xml:space="preserve"> inte har </w:t>
            </w:r>
            <w:r w:rsidRPr="00CD43D5">
              <w:rPr>
                <w:i/>
              </w:rPr>
              <w:t xml:space="preserve">medgetts </w:t>
            </w:r>
            <w:r w:rsidRPr="00CD43D5">
              <w:t>av den som har lagfart,</w:t>
            </w:r>
          </w:p>
          <w:p w:rsidR="00441AFC" w:rsidRPr="00CD43D5" w:rsidRDefault="00441AFC">
            <w:pPr>
              <w:pStyle w:val="Normaltindrag"/>
            </w:pPr>
            <w:r w:rsidRPr="00CD43D5">
              <w:rPr>
                <w:i/>
              </w:rPr>
              <w:t>2.</w:t>
            </w:r>
            <w:r w:rsidRPr="00CD43D5">
              <w:t xml:space="preserve"> en eller flera inteckningar gä</w:t>
            </w:r>
            <w:r w:rsidRPr="00CD43D5">
              <w:t>l</w:t>
            </w:r>
            <w:r w:rsidRPr="00CD43D5">
              <w:t xml:space="preserve">ler i fastigheten och varje borgenär för vars fordran pantbrev på grund av sådan inteckning utgör säkerhet inte med ingivande av pantbrevet har </w:t>
            </w:r>
            <w:r w:rsidRPr="00CD43D5">
              <w:rPr>
                <w:i/>
              </w:rPr>
              <w:t>medgett ansökan</w:t>
            </w:r>
            <w:r w:rsidRPr="00CD43D5">
              <w:t>,</w:t>
            </w:r>
          </w:p>
          <w:p w:rsidR="00441AFC" w:rsidRPr="00CD43D5" w:rsidRDefault="00441AFC">
            <w:pPr>
              <w:pStyle w:val="Normaltindrag"/>
            </w:pPr>
            <w:r w:rsidRPr="00CD43D5">
              <w:rPr>
                <w:i/>
              </w:rPr>
              <w:t>3</w:t>
            </w:r>
            <w:r w:rsidRPr="00CD43D5">
              <w:t>. fastigheten har frångått söka</w:t>
            </w:r>
            <w:r w:rsidRPr="00CD43D5">
              <w:t>n</w:t>
            </w:r>
            <w:r w:rsidRPr="00CD43D5">
              <w:t>den på grund av exekutiv försäl</w:t>
            </w:r>
            <w:r w:rsidRPr="00CD43D5">
              <w:t>j</w:t>
            </w:r>
            <w:r w:rsidRPr="00CD43D5">
              <w:t xml:space="preserve">ning eller genom expropriation eller liknande tvångsförvärv, </w:t>
            </w:r>
          </w:p>
          <w:p w:rsidR="00441AFC" w:rsidRPr="00CD43D5" w:rsidRDefault="00441AFC">
            <w:pPr>
              <w:pStyle w:val="Normaltindrag"/>
            </w:pPr>
            <w:r w:rsidRPr="00CD43D5">
              <w:rPr>
                <w:i/>
              </w:rPr>
              <w:t>4.</w:t>
            </w:r>
            <w:r w:rsidRPr="00CD43D5">
              <w:t xml:space="preserve"> sökanden är i konkurs eller fö</w:t>
            </w:r>
            <w:r w:rsidRPr="00CD43D5">
              <w:t>r</w:t>
            </w:r>
            <w:r w:rsidRPr="00CD43D5">
              <w:t>sätts i konkurs den dag då inskri</w:t>
            </w:r>
            <w:r w:rsidRPr="00CD43D5">
              <w:t>v</w:t>
            </w:r>
            <w:r w:rsidRPr="00CD43D5">
              <w:t xml:space="preserve">ningen söks samt fastigheten hör till konkursboet, </w:t>
            </w:r>
          </w:p>
          <w:p w:rsidR="00441AFC" w:rsidRPr="00CD43D5" w:rsidRDefault="00441AFC">
            <w:pPr>
              <w:pStyle w:val="Normaltindrag"/>
            </w:pPr>
            <w:r w:rsidRPr="00CD43D5">
              <w:rPr>
                <w:i/>
              </w:rPr>
              <w:t>5</w:t>
            </w:r>
            <w:r w:rsidRPr="00CD43D5">
              <w:t>. fastigheten eller en del därav är utmätt eller utmäts</w:t>
            </w:r>
            <w:r w:rsidRPr="00CD43D5">
              <w:rPr>
                <w:i/>
              </w:rPr>
              <w:t xml:space="preserve"> </w:t>
            </w:r>
            <w:r w:rsidRPr="00CD43D5">
              <w:t>den dag då i</w:t>
            </w:r>
            <w:r w:rsidRPr="00CD43D5">
              <w:t>n</w:t>
            </w:r>
            <w:r w:rsidRPr="00CD43D5">
              <w:t>skrivningen söks och kronofogd</w:t>
            </w:r>
            <w:r w:rsidRPr="00CD43D5">
              <w:t>e</w:t>
            </w:r>
            <w:r w:rsidRPr="00CD43D5">
              <w:t xml:space="preserve">myndigheten inte har </w:t>
            </w:r>
            <w:r w:rsidRPr="00CD43D5">
              <w:rPr>
                <w:i/>
              </w:rPr>
              <w:t>medgett ans</w:t>
            </w:r>
            <w:r w:rsidRPr="00CD43D5">
              <w:rPr>
                <w:i/>
              </w:rPr>
              <w:t>ö</w:t>
            </w:r>
            <w:r w:rsidRPr="00CD43D5">
              <w:rPr>
                <w:i/>
              </w:rPr>
              <w:t>kan</w:t>
            </w:r>
            <w:r w:rsidRPr="00CD43D5">
              <w:t xml:space="preserve">, </w:t>
            </w:r>
          </w:p>
          <w:p w:rsidR="00441AFC" w:rsidRPr="00CD43D5" w:rsidRDefault="00441AFC">
            <w:pPr>
              <w:pStyle w:val="Normaltindrag"/>
            </w:pPr>
            <w:r w:rsidRPr="00CD43D5">
              <w:rPr>
                <w:i/>
              </w:rPr>
              <w:t>6.</w:t>
            </w:r>
            <w:r w:rsidRPr="00CD43D5">
              <w:t xml:space="preserve"> fastigheten eller en del därav har tagits i anspråk genom beta</w:t>
            </w:r>
            <w:r w:rsidRPr="00CD43D5">
              <w:t>l</w:t>
            </w:r>
            <w:r w:rsidRPr="00CD43D5">
              <w:t>ningssäkring eller tas i anspråk den dag då inskrivningen söks och kr</w:t>
            </w:r>
            <w:r w:rsidRPr="00CD43D5">
              <w:t>o</w:t>
            </w:r>
            <w:r w:rsidRPr="00CD43D5">
              <w:t xml:space="preserve">nofogdemyndigheten inte har </w:t>
            </w:r>
            <w:r w:rsidRPr="00CD43D5">
              <w:rPr>
                <w:i/>
              </w:rPr>
              <w:t>me</w:t>
            </w:r>
            <w:r w:rsidRPr="00CD43D5">
              <w:rPr>
                <w:i/>
              </w:rPr>
              <w:t>d</w:t>
            </w:r>
            <w:r w:rsidRPr="00CD43D5">
              <w:rPr>
                <w:i/>
              </w:rPr>
              <w:t>gett</w:t>
            </w:r>
            <w:r w:rsidRPr="00CD43D5">
              <w:t xml:space="preserve"> </w:t>
            </w:r>
            <w:r w:rsidRPr="00CD43D5">
              <w:rPr>
                <w:i/>
              </w:rPr>
              <w:t>ansökan</w:t>
            </w:r>
            <w:r w:rsidRPr="00CD43D5">
              <w:t xml:space="preserve">, </w:t>
            </w:r>
          </w:p>
          <w:p w:rsidR="00441AFC" w:rsidRPr="00CD43D5" w:rsidRDefault="00441AFC">
            <w:pPr>
              <w:pStyle w:val="Normaltindrag"/>
            </w:pPr>
            <w:r w:rsidRPr="00CD43D5">
              <w:rPr>
                <w:i/>
              </w:rPr>
              <w:t>7.</w:t>
            </w:r>
            <w:r w:rsidRPr="00CD43D5">
              <w:t xml:space="preserve"> fastigheten eller en del därav är belagd med kvarstad eller beläggs med kvarstad den dag då inskri</w:t>
            </w:r>
            <w:r w:rsidRPr="00CD43D5">
              <w:t>v</w:t>
            </w:r>
            <w:r w:rsidRPr="00CD43D5">
              <w:t>ningen söks och kronofogdemy</w:t>
            </w:r>
            <w:r w:rsidRPr="00CD43D5">
              <w:t>n</w:t>
            </w:r>
            <w:r w:rsidRPr="00CD43D5">
              <w:t xml:space="preserve">digheten inte har </w:t>
            </w:r>
            <w:r w:rsidRPr="00CD43D5">
              <w:rPr>
                <w:i/>
              </w:rPr>
              <w:t>medgett ansökan</w:t>
            </w:r>
            <w:r w:rsidRPr="00CD43D5">
              <w:t>.</w:t>
            </w:r>
          </w:p>
          <w:p w:rsidR="00441AFC" w:rsidRPr="00CD43D5" w:rsidRDefault="00441AFC">
            <w:pPr>
              <w:pStyle w:val="Normaltindrag"/>
            </w:pPr>
            <w:r w:rsidRPr="00CD43D5">
              <w:t>Om ett ärende angående</w:t>
            </w:r>
            <w:r w:rsidRPr="00CD43D5">
              <w:rPr>
                <w:i/>
              </w:rPr>
              <w:t xml:space="preserve"> </w:t>
            </w:r>
            <w:r w:rsidRPr="00CD43D5">
              <w:t>lagfart för sökanden har skjutits upp till en senare inskrivningsdag, skall b</w:t>
            </w:r>
            <w:r w:rsidRPr="00CD43D5">
              <w:t>e</w:t>
            </w:r>
            <w:r w:rsidRPr="00CD43D5">
              <w:t xml:space="preserve">handlingen av </w:t>
            </w:r>
            <w:r w:rsidRPr="00CD43D5">
              <w:rPr>
                <w:i/>
              </w:rPr>
              <w:t>inskrivningsansökan</w:t>
            </w:r>
            <w:r w:rsidRPr="00CD43D5">
              <w:t xml:space="preserve"> skjutas upp till samma dag.</w:t>
            </w:r>
          </w:p>
        </w:tc>
      </w:tr>
    </w:tbl>
    <w:p w:rsidR="00441AFC" w:rsidRPr="00CD43D5" w:rsidRDefault="00441AFC">
      <w:pPr>
        <w:pStyle w:val="Normaltindrag"/>
        <w:jc w:val="center"/>
      </w:pPr>
    </w:p>
    <w:p w:rsidR="00441AFC" w:rsidRPr="00CD43D5" w:rsidRDefault="00441AFC">
      <w:pPr>
        <w:pStyle w:val="Normaltindrag"/>
        <w:jc w:val="center"/>
      </w:pPr>
      <w:r w:rsidRPr="00CD43D5">
        <w:t>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En inskrivning av förklaring som avses i 2 kap. 3 § skall avföras på ansökan av fastighetsägaren. </w:t>
            </w:r>
            <w:r w:rsidRPr="00CD43D5">
              <w:rPr>
                <w:i/>
              </w:rPr>
              <w:t>A</w:t>
            </w:r>
            <w:r w:rsidRPr="00CD43D5">
              <w:rPr>
                <w:i/>
              </w:rPr>
              <w:t>n</w:t>
            </w:r>
            <w:r w:rsidRPr="00CD43D5">
              <w:rPr>
                <w:i/>
              </w:rPr>
              <w:t>sökningen skall göras skriftligen.</w:t>
            </w:r>
          </w:p>
          <w:p w:rsidR="00441AFC" w:rsidRPr="00CD43D5" w:rsidRDefault="00441AFC">
            <w:pPr>
              <w:pStyle w:val="Normaltindrag"/>
            </w:pPr>
            <w:r w:rsidRPr="00CD43D5">
              <w:rPr>
                <w:i/>
              </w:rPr>
              <w:t>I fråga om ansökningen</w:t>
            </w:r>
            <w:r w:rsidRPr="00CD43D5">
              <w:t xml:space="preserve"> gäller 1 § andra och tredje styckena. I stället för vad som föreskrivs i 1 § andra stycket 3 gäller dock att </w:t>
            </w:r>
            <w:r w:rsidRPr="00CD43D5">
              <w:rPr>
                <w:i/>
              </w:rPr>
              <w:t>ansöknin</w:t>
            </w:r>
            <w:r w:rsidRPr="00CD43D5">
              <w:rPr>
                <w:i/>
              </w:rPr>
              <w:t>g</w:t>
            </w:r>
            <w:r w:rsidRPr="00CD43D5">
              <w:rPr>
                <w:i/>
              </w:rPr>
              <w:t>en</w:t>
            </w:r>
            <w:r w:rsidRPr="00CD43D5">
              <w:t xml:space="preserve"> skall avslås, om inte varje borg</w:t>
            </w:r>
            <w:r w:rsidRPr="00CD43D5">
              <w:t>e</w:t>
            </w:r>
            <w:r w:rsidRPr="00CD43D5">
              <w:t>när som har företagshypotek i fa</w:t>
            </w:r>
            <w:r w:rsidRPr="00CD43D5">
              <w:t>s</w:t>
            </w:r>
            <w:r w:rsidRPr="00CD43D5">
              <w:t xml:space="preserve">tighetsägarens näringsverksamhet </w:t>
            </w:r>
            <w:r w:rsidRPr="00CD43D5">
              <w:rPr>
                <w:i/>
              </w:rPr>
              <w:t xml:space="preserve">med ingivande av </w:t>
            </w:r>
            <w:r w:rsidRPr="00CD43D5">
              <w:t>företagshyp</w:t>
            </w:r>
            <w:r w:rsidRPr="00CD43D5">
              <w:t>o</w:t>
            </w:r>
            <w:r w:rsidRPr="00CD43D5">
              <w:t xml:space="preserve">teksbrevet har </w:t>
            </w:r>
            <w:r w:rsidRPr="00CD43D5">
              <w:rPr>
                <w:i/>
              </w:rPr>
              <w:t>medgivit ansökan</w:t>
            </w:r>
            <w:r w:rsidRPr="00CD43D5">
              <w:t xml:space="preserve">. Sådant medgivande behövs inte, om fastighetsägaren visar att åtgärden att </w:t>
            </w:r>
            <w:r w:rsidRPr="00CD43D5">
              <w:rPr>
                <w:i/>
              </w:rPr>
              <w:t>avföra</w:t>
            </w:r>
            <w:r w:rsidRPr="00CD43D5">
              <w:t xml:space="preserve"> inskrivningen endast berör egendom som inte omfattas av företagshypoteket.</w:t>
            </w:r>
          </w:p>
          <w:p w:rsidR="00441AFC" w:rsidRPr="00CD43D5" w:rsidRDefault="00441AFC">
            <w:pPr>
              <w:pStyle w:val="Propmedindrag"/>
            </w:pPr>
          </w:p>
        </w:tc>
        <w:tc>
          <w:tcPr>
            <w:tcW w:w="3118" w:type="dxa"/>
          </w:tcPr>
          <w:p w:rsidR="00441AFC" w:rsidRPr="00CD43D5" w:rsidRDefault="00441AFC">
            <w:pPr>
              <w:pStyle w:val="Normaltindrag"/>
            </w:pPr>
            <w:r w:rsidRPr="00CD43D5">
              <w:t>En inskrivning av förklaring som avses i 2 kap. 3 § skall avföras på ansökan av fastighetsägaren.</w:t>
            </w:r>
          </w:p>
          <w:p w:rsidR="00441AFC" w:rsidRPr="00CD43D5" w:rsidRDefault="00441AFC">
            <w:pPr>
              <w:pStyle w:val="Normaltindrag"/>
            </w:pPr>
          </w:p>
          <w:p w:rsidR="00441AFC" w:rsidRPr="00CD43D5" w:rsidRDefault="00441AFC">
            <w:pPr>
              <w:pStyle w:val="Normaltindrag"/>
            </w:pPr>
            <w:r w:rsidRPr="00CD43D5">
              <w:rPr>
                <w:i/>
              </w:rPr>
              <w:t>För en</w:t>
            </w:r>
            <w:r w:rsidRPr="00CD43D5">
              <w:t xml:space="preserve"> </w:t>
            </w:r>
            <w:r w:rsidRPr="00CD43D5">
              <w:rPr>
                <w:i/>
              </w:rPr>
              <w:t>ansökan</w:t>
            </w:r>
            <w:r w:rsidRPr="00CD43D5">
              <w:t xml:space="preserve"> </w:t>
            </w:r>
            <w:r w:rsidRPr="00CD43D5">
              <w:rPr>
                <w:i/>
              </w:rPr>
              <w:t>enligt första stycket</w:t>
            </w:r>
            <w:r w:rsidRPr="00CD43D5">
              <w:t xml:space="preserve"> gäller 1 § andra och tredje styckena. I stället för vad som för</w:t>
            </w:r>
            <w:r w:rsidRPr="00CD43D5">
              <w:t>e</w:t>
            </w:r>
            <w:r w:rsidRPr="00CD43D5">
              <w:t xml:space="preserve">skrivs i 1 § andra stycket 3 gäller dock att </w:t>
            </w:r>
            <w:r w:rsidRPr="00CD43D5">
              <w:rPr>
                <w:i/>
              </w:rPr>
              <w:t>ansökan</w:t>
            </w:r>
            <w:r w:rsidRPr="00CD43D5">
              <w:t xml:space="preserve"> skall avslås, om inte varje borgenär som har för</w:t>
            </w:r>
            <w:r w:rsidRPr="00CD43D5">
              <w:t>e</w:t>
            </w:r>
            <w:r w:rsidRPr="00CD43D5">
              <w:t>tagshypotek i fastighetsägarens näringsverksamhet har</w:t>
            </w:r>
            <w:r w:rsidRPr="00CD43D5">
              <w:rPr>
                <w:i/>
              </w:rPr>
              <w:t xml:space="preserve"> medgett ansökan genom att ge in</w:t>
            </w:r>
            <w:r w:rsidRPr="00CD43D5">
              <w:t xml:space="preserve"> företag</w:t>
            </w:r>
            <w:r w:rsidRPr="00CD43D5">
              <w:t>s</w:t>
            </w:r>
            <w:r w:rsidRPr="00CD43D5">
              <w:t>hypoteksbrevet</w:t>
            </w:r>
            <w:r w:rsidRPr="00CD43D5">
              <w:rPr>
                <w:i/>
              </w:rPr>
              <w:t xml:space="preserve"> till inskriv-ningsmyndigheten.</w:t>
            </w:r>
            <w:r w:rsidRPr="00CD43D5">
              <w:t xml:space="preserve"> Sådant medg</w:t>
            </w:r>
            <w:r w:rsidRPr="00CD43D5">
              <w:t>i</w:t>
            </w:r>
            <w:r w:rsidRPr="00CD43D5">
              <w:t>vande behövs inte, om fastighet</w:t>
            </w:r>
            <w:r w:rsidRPr="00CD43D5">
              <w:t>s</w:t>
            </w:r>
            <w:r w:rsidRPr="00CD43D5">
              <w:t xml:space="preserve">ägaren visar att åtgärden att </w:t>
            </w:r>
            <w:r w:rsidRPr="00CD43D5">
              <w:rPr>
                <w:i/>
              </w:rPr>
              <w:t>ta bort</w:t>
            </w:r>
            <w:r w:rsidRPr="00CD43D5">
              <w:t xml:space="preserve"> inskrivningen endast berör egendom som inte omfattas av företagshyp</w:t>
            </w:r>
            <w:r w:rsidRPr="00CD43D5">
              <w:t>o</w:t>
            </w:r>
            <w:r w:rsidRPr="00CD43D5">
              <w:t>teket.</w:t>
            </w:r>
          </w:p>
        </w:tc>
      </w:tr>
    </w:tbl>
    <w:p w:rsidR="00441AFC" w:rsidRPr="00CD43D5" w:rsidRDefault="00441AFC">
      <w:pPr>
        <w:pStyle w:val="Normaltindrag"/>
      </w:pPr>
      <w:r w:rsidRPr="00CD43D5">
        <w:t>                                     </w:t>
      </w:r>
    </w:p>
    <w:p w:rsidR="00441AFC" w:rsidRPr="00CD43D5" w:rsidRDefault="00441AFC">
      <w:r w:rsidRPr="00CD43D5">
        <w:t>_________________</w:t>
      </w:r>
    </w:p>
    <w:p w:rsidR="00441AFC" w:rsidRPr="00CD43D5" w:rsidRDefault="00441AFC">
      <w:pPr>
        <w:pStyle w:val="Normaltindrag"/>
      </w:pPr>
    </w:p>
    <w:p w:rsidR="00441AFC" w:rsidRPr="00CD43D5" w:rsidRDefault="00441AFC">
      <w:pPr>
        <w:pStyle w:val="Normaltindrag"/>
      </w:pPr>
      <w:r w:rsidRPr="00CD43D5">
        <w:t>1. Denna lag träder i kraft den 1 juli 2000. Genom lagen upphävs lagen (1932:169) om uppläggande av nya fastighetsböcker och lagen (1973:98) om inskrivningsregister.</w:t>
      </w:r>
    </w:p>
    <w:p w:rsidR="00441AFC" w:rsidRPr="00CD43D5" w:rsidRDefault="00441AFC">
      <w:pPr>
        <w:pStyle w:val="Normaltindrag"/>
      </w:pPr>
      <w:r w:rsidRPr="00CD43D5">
        <w:t>2. Äldre bestämmelser gäller i fråga om fastigheter eller tomträtter för vi</w:t>
      </w:r>
      <w:r w:rsidRPr="00CD43D5">
        <w:t>l</w:t>
      </w:r>
      <w:r w:rsidRPr="00CD43D5">
        <w:t>ka inskrivningsmyndigheten enligt 10 § lagen (1973:98) om inskrivningsr</w:t>
      </w:r>
      <w:r w:rsidRPr="00CD43D5">
        <w:t>e</w:t>
      </w:r>
      <w:r w:rsidRPr="00CD43D5">
        <w:t>gister har beslutat att de skall stå kvar i fastighetsbok eller tomträttsbok. För sådana fastigheter eller tomträtter skall vad som i lag eller annan författning sägs om inskrivning eller anteckning i fastighetsregistrets inskrivningsdel i stället avse anteckning i fastighetsbok eller tomträttsbok.</w:t>
      </w:r>
    </w:p>
    <w:p w:rsidR="00441AFC" w:rsidRPr="00CD43D5" w:rsidRDefault="00441AFC">
      <w:pPr>
        <w:pStyle w:val="Rubrik2"/>
      </w:pPr>
      <w:r w:rsidRPr="00CD43D5">
        <w:br w:type="page"/>
      </w:r>
      <w:bookmarkStart w:id="50" w:name="_Toc465144152"/>
      <w:bookmarkStart w:id="51" w:name="_Toc465577129"/>
      <w:bookmarkStart w:id="52" w:name="_Toc469212227"/>
      <w:bookmarkStart w:id="53" w:name="_Toc479046910"/>
      <w:r w:rsidRPr="00CD43D5">
        <w:t>4. Förslag till lag om ändring i lagen (1970:995) om införande av nya jordaba</w:t>
      </w:r>
      <w:r w:rsidRPr="00CD43D5">
        <w:t>l</w:t>
      </w:r>
      <w:r w:rsidRPr="00CD43D5">
        <w:t>ken</w:t>
      </w:r>
      <w:bookmarkEnd w:id="50"/>
      <w:bookmarkEnd w:id="51"/>
      <w:bookmarkEnd w:id="52"/>
      <w:bookmarkEnd w:id="53"/>
    </w:p>
    <w:p w:rsidR="00441AFC" w:rsidRPr="00CD43D5" w:rsidRDefault="00441AFC">
      <w:pPr>
        <w:pStyle w:val="Normaltindrag"/>
      </w:pPr>
    </w:p>
    <w:p w:rsidR="00441AFC" w:rsidRPr="00CD43D5" w:rsidRDefault="00441AFC">
      <w:pPr>
        <w:pStyle w:val="Normaltindrag"/>
      </w:pPr>
      <w:r w:rsidRPr="00CD43D5">
        <w:t xml:space="preserve">Härigenom föreskrivs i fråga om lagen (1970:995) om införande av nya jordabalken </w:t>
      </w:r>
    </w:p>
    <w:p w:rsidR="00441AFC" w:rsidRPr="00CD43D5" w:rsidRDefault="00441AFC">
      <w:pPr>
        <w:pStyle w:val="Normaltindrag"/>
      </w:pPr>
      <w:r w:rsidRPr="00CD43D5">
        <w:rPr>
          <w:i/>
        </w:rPr>
        <w:t>dels</w:t>
      </w:r>
      <w:r w:rsidRPr="00CD43D5">
        <w:t xml:space="preserve"> att 58 a och 59 §§ skall upphöra att gälla,</w:t>
      </w:r>
    </w:p>
    <w:p w:rsidR="00441AFC" w:rsidRPr="00CD43D5" w:rsidRDefault="00441AFC">
      <w:pPr>
        <w:pStyle w:val="Normaltindrag"/>
      </w:pPr>
      <w:r w:rsidRPr="00CD43D5">
        <w:rPr>
          <w:i/>
        </w:rPr>
        <w:t xml:space="preserve">dels </w:t>
      </w:r>
      <w:r w:rsidRPr="00CD43D5">
        <w:t>att 10 §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r w:rsidRPr="00CD43D5">
        <w:t>10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Bestämmelserna i 5 § lagen (1895:36 s. 1) angående vad till fast egendom är att hänföra </w:t>
            </w:r>
            <w:r w:rsidRPr="00CD43D5">
              <w:rPr>
                <w:i/>
              </w:rPr>
              <w:t>äger fortf</w:t>
            </w:r>
            <w:r w:rsidRPr="00CD43D5">
              <w:rPr>
                <w:i/>
              </w:rPr>
              <w:t>a</w:t>
            </w:r>
            <w:r w:rsidRPr="00CD43D5">
              <w:rPr>
                <w:i/>
              </w:rPr>
              <w:t>rande tillämpning</w:t>
            </w:r>
            <w:r w:rsidRPr="00CD43D5">
              <w:t xml:space="preserve"> i fråga om byg</w:t>
            </w:r>
            <w:r w:rsidRPr="00CD43D5">
              <w:t>g</w:t>
            </w:r>
            <w:r w:rsidRPr="00CD43D5">
              <w:t xml:space="preserve">nad på ofri tomt i stad, vattenverk på annans grund samt </w:t>
            </w:r>
            <w:r w:rsidRPr="00CD43D5">
              <w:rPr>
                <w:i/>
              </w:rPr>
              <w:t>i jordeboken upptaget fiskeri,</w:t>
            </w:r>
            <w:r w:rsidRPr="00CD43D5">
              <w:t xml:space="preserve"> om besittningsrä</w:t>
            </w:r>
            <w:r w:rsidRPr="00CD43D5">
              <w:t>t</w:t>
            </w:r>
            <w:r w:rsidRPr="00CD43D5">
              <w:t>ten består efter nya balkens ikraf</w:t>
            </w:r>
            <w:r w:rsidRPr="00CD43D5">
              <w:t>t</w:t>
            </w:r>
            <w:r w:rsidRPr="00CD43D5">
              <w:t>trädande.</w:t>
            </w:r>
          </w:p>
        </w:tc>
        <w:tc>
          <w:tcPr>
            <w:tcW w:w="3118" w:type="dxa"/>
          </w:tcPr>
          <w:p w:rsidR="00441AFC" w:rsidRPr="00CD43D5" w:rsidRDefault="00441AFC">
            <w:pPr>
              <w:pStyle w:val="Normaltindrag"/>
            </w:pPr>
            <w:r w:rsidRPr="00CD43D5">
              <w:t xml:space="preserve">Bestämmelserna i 5 § lagen (1895:36 s. 1) angående vad till fast egendom är att hänföra </w:t>
            </w:r>
            <w:r w:rsidRPr="00CD43D5">
              <w:rPr>
                <w:i/>
              </w:rPr>
              <w:t>skall fortf</w:t>
            </w:r>
            <w:r w:rsidRPr="00CD43D5">
              <w:rPr>
                <w:i/>
              </w:rPr>
              <w:t>a</w:t>
            </w:r>
            <w:r w:rsidRPr="00CD43D5">
              <w:rPr>
                <w:i/>
              </w:rPr>
              <w:t>rande tillämpas</w:t>
            </w:r>
            <w:r w:rsidRPr="00CD43D5">
              <w:t xml:space="preserve"> i fråga om byggnad på ofri tomt i stad, vattenverk på annans grund samt </w:t>
            </w:r>
            <w:r w:rsidRPr="00CD43D5">
              <w:rPr>
                <w:i/>
              </w:rPr>
              <w:t>fiskeri, som är upptaget i kronans jordebok</w:t>
            </w:r>
            <w:r w:rsidRPr="00CD43D5">
              <w:t xml:space="preserve"> </w:t>
            </w:r>
            <w:r w:rsidRPr="00CD43D5">
              <w:rPr>
                <w:i/>
              </w:rPr>
              <w:t>(fisk</w:t>
            </w:r>
            <w:r w:rsidRPr="00CD43D5">
              <w:rPr>
                <w:i/>
              </w:rPr>
              <w:t>e</w:t>
            </w:r>
            <w:r w:rsidRPr="00CD43D5">
              <w:rPr>
                <w:i/>
              </w:rPr>
              <w:t xml:space="preserve">fastighet), </w:t>
            </w:r>
            <w:r w:rsidRPr="00CD43D5">
              <w:t>om besittningsrätten består efter nya balkens ikrafttr</w:t>
            </w:r>
            <w:r w:rsidRPr="00CD43D5">
              <w:t>ä</w:t>
            </w:r>
            <w:r w:rsidRPr="00CD43D5">
              <w:t>dande.</w:t>
            </w: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54" w:name="_Toc412971125"/>
      <w:bookmarkStart w:id="55" w:name="_Toc414097177"/>
      <w:bookmarkStart w:id="56" w:name="_Toc465144153"/>
      <w:bookmarkStart w:id="57" w:name="_Toc465577130"/>
      <w:bookmarkStart w:id="58" w:name="_Toc469212228"/>
      <w:bookmarkStart w:id="59" w:name="_Toc479046911"/>
      <w:r w:rsidRPr="00CD43D5">
        <w:t>5. Förslag till lag om ändring i miljöbalk</w:t>
      </w:r>
      <w:bookmarkEnd w:id="54"/>
      <w:bookmarkEnd w:id="55"/>
      <w:r w:rsidRPr="00CD43D5">
        <w:t>en</w:t>
      </w:r>
      <w:bookmarkEnd w:id="56"/>
      <w:bookmarkEnd w:id="57"/>
      <w:bookmarkEnd w:id="58"/>
      <w:bookmarkEnd w:id="59"/>
    </w:p>
    <w:p w:rsidR="00441AFC" w:rsidRPr="00CD43D5" w:rsidRDefault="00441AFC">
      <w:pPr>
        <w:pStyle w:val="Normaltindrag"/>
      </w:pPr>
    </w:p>
    <w:p w:rsidR="00441AFC" w:rsidRPr="00CD43D5" w:rsidRDefault="00441AFC">
      <w:pPr>
        <w:pStyle w:val="Normaltindrag"/>
      </w:pPr>
      <w:r w:rsidRPr="00CD43D5">
        <w:t>Härigenom föreskrivs att i 11 kap. 21 § och 31 kap. 35 § miljöbalken ordet ”fastighetsregistret” skall bytas ut mot ”fastighetsregistrets allmänna del” samt i 26 kap. 15 § ordet ”inskrivningsregistret” skall bytas ut mot ”fastighetsregistrets inskrivningsdel”.</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60" w:name="_Toc412971126"/>
      <w:bookmarkStart w:id="61" w:name="_Toc414097178"/>
      <w:bookmarkStart w:id="62" w:name="_Toc465144154"/>
      <w:bookmarkStart w:id="63" w:name="_Toc465577131"/>
      <w:bookmarkStart w:id="64" w:name="_Toc469212229"/>
      <w:bookmarkStart w:id="65" w:name="_Toc479046912"/>
      <w:r w:rsidRPr="00CD43D5">
        <w:t>6. Förslag till lag om ändring i lagen (1927:79) om rätt för borgenär till betalning ur ersättning på grund av brandförsäkringsavtal</w:t>
      </w:r>
      <w:bookmarkEnd w:id="60"/>
      <w:bookmarkEnd w:id="61"/>
      <w:bookmarkEnd w:id="62"/>
      <w:bookmarkEnd w:id="63"/>
      <w:bookmarkEnd w:id="64"/>
      <w:bookmarkEnd w:id="65"/>
    </w:p>
    <w:p w:rsidR="00441AFC" w:rsidRPr="00CD43D5" w:rsidRDefault="00441AFC">
      <w:pPr>
        <w:pStyle w:val="Normaltindrag"/>
      </w:pPr>
    </w:p>
    <w:p w:rsidR="00441AFC" w:rsidRPr="00CD43D5" w:rsidRDefault="00441AFC">
      <w:pPr>
        <w:pStyle w:val="Normaltindrag"/>
      </w:pPr>
      <w:r w:rsidRPr="00CD43D5">
        <w:t>Härigenom föreskrivs att 5 § lagen (1927:79) om rätt för borgenär till b</w:t>
      </w:r>
      <w:r w:rsidRPr="00CD43D5">
        <w:t>e</w:t>
      </w:r>
      <w:r w:rsidRPr="00CD43D5">
        <w:t>talning ur ersättning på grund av brandförsäkringsavtal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r w:rsidRPr="00CD43D5">
        <w:t>5 §</w:t>
      </w:r>
      <w:r w:rsidRPr="00CD43D5">
        <w:rPr>
          <w:rStyle w:val="Fotnotsreferens"/>
        </w:rPr>
        <w:footnoteReference w:customMarkFollows="1" w:id="6"/>
        <w:t>1</w:t>
      </w:r>
    </w:p>
    <w:p w:rsidR="00441AFC" w:rsidRPr="00CD43D5" w:rsidRDefault="00441AFC">
      <w:pPr>
        <w:pStyle w:val="Publutanindrag"/>
        <w:jc w:val="center"/>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Utfaller vid fördelning av medel betalning på pantbrevs belopp, </w:t>
            </w:r>
            <w:r w:rsidRPr="00CD43D5">
              <w:rPr>
                <w:i/>
              </w:rPr>
              <w:t>åligger det</w:t>
            </w:r>
            <w:r w:rsidRPr="00CD43D5">
              <w:t xml:space="preserve"> länsstyrelsen </w:t>
            </w:r>
            <w:r w:rsidRPr="00CD43D5">
              <w:rPr>
                <w:i/>
              </w:rPr>
              <w:t>att därom, sedan fördelningen blivit godkänd eller vunnit laga kraft, ofördröjligen göra anmälan hos</w:t>
            </w:r>
            <w:r w:rsidRPr="00CD43D5">
              <w:t xml:space="preserve"> inskrivnin</w:t>
            </w:r>
            <w:r w:rsidRPr="00CD43D5">
              <w:t>g</w:t>
            </w:r>
            <w:r w:rsidRPr="00CD43D5">
              <w:t xml:space="preserve">s-myndigheten för anteckning i </w:t>
            </w:r>
            <w:r w:rsidRPr="00CD43D5">
              <w:rPr>
                <w:i/>
              </w:rPr>
              <w:t>fas-tighetsboken</w:t>
            </w:r>
            <w:r w:rsidRPr="00CD43D5">
              <w:t xml:space="preserve"> </w:t>
            </w:r>
            <w:r w:rsidRPr="00CD43D5">
              <w:rPr>
                <w:i/>
              </w:rPr>
              <w:t>samt tillika insända förde</w:t>
            </w:r>
            <w:r w:rsidRPr="00CD43D5">
              <w:rPr>
                <w:i/>
              </w:rPr>
              <w:t>l</w:t>
            </w:r>
            <w:r w:rsidRPr="00CD43D5">
              <w:rPr>
                <w:i/>
              </w:rPr>
              <w:t>ningslängden.</w:t>
            </w:r>
          </w:p>
        </w:tc>
        <w:tc>
          <w:tcPr>
            <w:tcW w:w="3118" w:type="dxa"/>
          </w:tcPr>
          <w:p w:rsidR="00441AFC" w:rsidRPr="00CD43D5" w:rsidRDefault="00441AFC">
            <w:pPr>
              <w:pStyle w:val="Normaltindrag"/>
            </w:pPr>
            <w:r w:rsidRPr="00CD43D5">
              <w:rPr>
                <w:i/>
              </w:rPr>
              <w:t>Om det vid fördelningen</w:t>
            </w:r>
            <w:r w:rsidRPr="00CD43D5">
              <w:t xml:space="preserve"> av medel utfaller betalning på </w:t>
            </w:r>
            <w:r w:rsidRPr="00CD43D5">
              <w:rPr>
                <w:i/>
              </w:rPr>
              <w:t>ett</w:t>
            </w:r>
            <w:r w:rsidRPr="00CD43D5">
              <w:t xml:space="preserve"> pantbrevs belopp, </w:t>
            </w:r>
            <w:r w:rsidRPr="00CD43D5">
              <w:rPr>
                <w:i/>
              </w:rPr>
              <w:t>skall</w:t>
            </w:r>
            <w:r w:rsidRPr="00CD43D5">
              <w:t xml:space="preserve"> länsstyrelsen </w:t>
            </w:r>
            <w:r w:rsidRPr="00CD43D5">
              <w:rPr>
                <w:i/>
              </w:rPr>
              <w:t>anmäla detta till</w:t>
            </w:r>
            <w:r w:rsidRPr="00CD43D5">
              <w:t xml:space="preserve"> inskrivningsmyndigheten för anteckning i </w:t>
            </w:r>
            <w:r w:rsidRPr="00CD43D5">
              <w:rPr>
                <w:i/>
              </w:rPr>
              <w:t>fastighetsregistrets inskrivningsdel</w:t>
            </w:r>
            <w:r w:rsidRPr="00CD43D5">
              <w:t xml:space="preserve">. </w:t>
            </w:r>
            <w:r w:rsidRPr="00CD43D5">
              <w:rPr>
                <w:i/>
              </w:rPr>
              <w:t>Anmälan skall göras genast efter det att förde</w:t>
            </w:r>
            <w:r w:rsidRPr="00CD43D5">
              <w:rPr>
                <w:i/>
              </w:rPr>
              <w:t>l</w:t>
            </w:r>
            <w:r w:rsidRPr="00CD43D5">
              <w:rPr>
                <w:i/>
              </w:rPr>
              <w:t>ningen blivit godkänd eller vunnit laga kraft. En kopia av fördelnin</w:t>
            </w:r>
            <w:r w:rsidRPr="00CD43D5">
              <w:rPr>
                <w:i/>
              </w:rPr>
              <w:t>g</w:t>
            </w:r>
            <w:r w:rsidRPr="00CD43D5">
              <w:rPr>
                <w:i/>
              </w:rPr>
              <w:t>s-längden skall fogas till anmälan.</w:t>
            </w:r>
          </w:p>
        </w:tc>
      </w:tr>
    </w:tbl>
    <w:p w:rsidR="00441AFC" w:rsidRPr="00CD43D5" w:rsidRDefault="00441AFC">
      <w:pPr>
        <w:pStyle w:val="Normaltindrag"/>
      </w:pPr>
      <w:r w:rsidRPr="00CD43D5">
        <w:t>Ansökan enligt 4 § andra stycket skall göras i sammanhang med anmälan som avses i första stycket denna paragraf.</w:t>
      </w:r>
    </w:p>
    <w:p w:rsidR="00441AFC" w:rsidRPr="00CD43D5" w:rsidRDefault="00441AFC">
      <w:r w:rsidRPr="00CD43D5">
        <w:rPr>
          <w:u w:val="single"/>
        </w:rPr>
        <w:t>                                     </w:t>
      </w:r>
    </w:p>
    <w:p w:rsidR="00441AFC" w:rsidRPr="00CD43D5" w:rsidRDefault="00441AFC">
      <w:pPr>
        <w:pStyle w:val="Publutanindrag"/>
        <w:tabs>
          <w:tab w:val="left" w:pos="1134"/>
        </w:tabs>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66" w:name="_Toc412971127"/>
      <w:bookmarkStart w:id="67" w:name="_Toc414097179"/>
      <w:bookmarkStart w:id="68" w:name="_Toc465144155"/>
      <w:bookmarkStart w:id="69" w:name="_Toc465577132"/>
      <w:bookmarkStart w:id="70" w:name="_Toc469212230"/>
      <w:bookmarkStart w:id="71" w:name="_Toc479046913"/>
      <w:r w:rsidRPr="00CD43D5">
        <w:t>7. Förslag till lag om ändring i lagen (1927:85) om dödande av förkommen handling</w:t>
      </w:r>
      <w:bookmarkEnd w:id="66"/>
      <w:bookmarkEnd w:id="67"/>
      <w:bookmarkEnd w:id="68"/>
      <w:bookmarkEnd w:id="69"/>
      <w:bookmarkEnd w:id="70"/>
      <w:bookmarkEnd w:id="71"/>
    </w:p>
    <w:p w:rsidR="00441AFC" w:rsidRPr="00CD43D5" w:rsidRDefault="00441AFC">
      <w:pPr>
        <w:pStyle w:val="Normaltindrag"/>
      </w:pPr>
    </w:p>
    <w:p w:rsidR="00441AFC" w:rsidRPr="00CD43D5" w:rsidRDefault="00441AFC">
      <w:pPr>
        <w:pStyle w:val="Normaltindrag"/>
      </w:pPr>
      <w:r w:rsidRPr="00CD43D5">
        <w:t>Härigenom föreskrivs att 10 § lagen (1927:85) om dödande av förkommen handling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r w:rsidRPr="00CD43D5">
        <w:t>10 §</w:t>
      </w:r>
      <w:r w:rsidRPr="00CD43D5">
        <w:rPr>
          <w:rStyle w:val="Fotnotsreferens"/>
        </w:rPr>
        <w:footnoteReference w:customMarkFollows="1" w:id="7"/>
        <w:t>1</w:t>
      </w:r>
      <w:r w:rsidRPr="00CD43D5">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Avser ansökan om dödning pan</w:t>
            </w:r>
            <w:r w:rsidRPr="00CD43D5">
              <w:t>t</w:t>
            </w:r>
            <w:r w:rsidRPr="00CD43D5">
              <w:t xml:space="preserve">brev, företagshypoteksbrev eller intecknad fordringshandling, skall rätten underrätta vederbörande inskrivningsmyndighet om </w:t>
            </w:r>
            <w:r w:rsidRPr="00CD43D5">
              <w:rPr>
                <w:i/>
              </w:rPr>
              <w:t>ansö</w:t>
            </w:r>
            <w:r w:rsidRPr="00CD43D5">
              <w:rPr>
                <w:i/>
              </w:rPr>
              <w:t>k</w:t>
            </w:r>
            <w:r w:rsidRPr="00CD43D5">
              <w:rPr>
                <w:i/>
              </w:rPr>
              <w:t xml:space="preserve">ningen </w:t>
            </w:r>
            <w:r w:rsidRPr="00CD43D5">
              <w:t>för anteckning i inskri</w:t>
            </w:r>
            <w:r w:rsidRPr="00CD43D5">
              <w:t>v</w:t>
            </w:r>
            <w:r w:rsidRPr="00CD43D5">
              <w:t xml:space="preserve">ningsboken </w:t>
            </w:r>
            <w:r w:rsidRPr="00CD43D5">
              <w:rPr>
                <w:i/>
              </w:rPr>
              <w:t>eller inskrivningsregis</w:t>
            </w:r>
            <w:r w:rsidRPr="00CD43D5">
              <w:rPr>
                <w:i/>
              </w:rPr>
              <w:t>t</w:t>
            </w:r>
            <w:r w:rsidRPr="00CD43D5">
              <w:rPr>
                <w:i/>
              </w:rPr>
              <w:t xml:space="preserve">ret. </w:t>
            </w:r>
            <w:r w:rsidRPr="00CD43D5">
              <w:t xml:space="preserve">Vad nu sagts om </w:t>
            </w:r>
            <w:r w:rsidRPr="00CD43D5">
              <w:rPr>
                <w:i/>
              </w:rPr>
              <w:t>ansökningen</w:t>
            </w:r>
            <w:r w:rsidRPr="00CD43D5">
              <w:t xml:space="preserve"> skall också gälla rättens slutliga utslag i ärendet. </w:t>
            </w:r>
            <w:r w:rsidRPr="00CD43D5">
              <w:rPr>
                <w:i/>
              </w:rPr>
              <w:t>Har</w:t>
            </w:r>
            <w:r w:rsidRPr="00CD43D5">
              <w:t xml:space="preserve"> </w:t>
            </w:r>
            <w:r w:rsidRPr="00CD43D5">
              <w:rPr>
                <w:i/>
              </w:rPr>
              <w:t>ansökningen</w:t>
            </w:r>
            <w:r w:rsidRPr="00CD43D5">
              <w:t xml:space="preserve"> avslagits, får dock anteckning </w:t>
            </w:r>
            <w:r w:rsidRPr="00CD43D5">
              <w:rPr>
                <w:i/>
              </w:rPr>
              <w:t>ej</w:t>
            </w:r>
            <w:r w:rsidRPr="00CD43D5">
              <w:t xml:space="preserve"> verkställas förrän utslaget vunnit laga kraft.</w:t>
            </w:r>
          </w:p>
          <w:p w:rsidR="00441AFC" w:rsidRPr="00CD43D5" w:rsidRDefault="00441AFC">
            <w:pPr>
              <w:pStyle w:val="Normaltindrag"/>
            </w:pPr>
          </w:p>
          <w:p w:rsidR="00441AFC" w:rsidRPr="00CD43D5" w:rsidRDefault="00441AFC">
            <w:pPr>
              <w:pStyle w:val="Normaltindrag"/>
            </w:pPr>
            <w:r w:rsidRPr="00CD43D5">
              <w:t xml:space="preserve">Sedan utslag, </w:t>
            </w:r>
            <w:r w:rsidRPr="00CD43D5">
              <w:rPr>
                <w:i/>
              </w:rPr>
              <w:t xml:space="preserve">varigenom </w:t>
            </w:r>
            <w:r w:rsidRPr="00CD43D5">
              <w:t>pantbrev eller hypoteksbrev dödats, vunnit laga kraft, skall inskrivningsmy</w:t>
            </w:r>
            <w:r w:rsidRPr="00CD43D5">
              <w:t>n</w:t>
            </w:r>
            <w:r w:rsidRPr="00CD43D5">
              <w:t xml:space="preserve">digheten på ansökan utfärda nytt pantbrev eller hypoteksbrev som svarar mot det dödade samt göra anteckning i inskrivningsboken </w:t>
            </w:r>
            <w:r w:rsidRPr="00CD43D5">
              <w:rPr>
                <w:i/>
              </w:rPr>
              <w:t>eller inskrivningsregistret</w:t>
            </w:r>
            <w:r w:rsidRPr="00CD43D5">
              <w:t xml:space="preserve"> om detta.</w:t>
            </w:r>
          </w:p>
          <w:p w:rsidR="00441AFC" w:rsidRPr="00CD43D5" w:rsidRDefault="00441AFC">
            <w:pPr>
              <w:pStyle w:val="Normaltindrag"/>
            </w:pPr>
          </w:p>
          <w:p w:rsidR="00441AFC" w:rsidRPr="00CD43D5" w:rsidRDefault="00441AFC">
            <w:pPr>
              <w:pStyle w:val="Propmedindrag"/>
            </w:pPr>
          </w:p>
        </w:tc>
        <w:tc>
          <w:tcPr>
            <w:tcW w:w="3118" w:type="dxa"/>
          </w:tcPr>
          <w:p w:rsidR="00441AFC" w:rsidRPr="00CD43D5" w:rsidRDefault="00441AFC">
            <w:pPr>
              <w:pStyle w:val="Normaltindrag"/>
            </w:pPr>
            <w:r w:rsidRPr="00CD43D5">
              <w:t xml:space="preserve">Avser </w:t>
            </w:r>
            <w:r w:rsidRPr="00CD43D5">
              <w:rPr>
                <w:i/>
              </w:rPr>
              <w:t>en</w:t>
            </w:r>
            <w:r w:rsidRPr="00CD43D5">
              <w:t xml:space="preserve"> ansökan om dödning </w:t>
            </w:r>
            <w:r w:rsidRPr="00CD43D5">
              <w:rPr>
                <w:i/>
              </w:rPr>
              <w:t>ett</w:t>
            </w:r>
            <w:r w:rsidRPr="00CD43D5">
              <w:t xml:space="preserve"> pantbrev, </w:t>
            </w:r>
            <w:r w:rsidRPr="00CD43D5">
              <w:rPr>
                <w:i/>
              </w:rPr>
              <w:t>ett</w:t>
            </w:r>
            <w:r w:rsidRPr="00CD43D5">
              <w:t xml:space="preserve"> företagshypoteksbrev eller </w:t>
            </w:r>
            <w:r w:rsidRPr="00CD43D5">
              <w:rPr>
                <w:i/>
              </w:rPr>
              <w:t>en</w:t>
            </w:r>
            <w:r w:rsidRPr="00CD43D5">
              <w:t xml:space="preserve"> intecknad fordringshan</w:t>
            </w:r>
            <w:r w:rsidRPr="00CD43D5">
              <w:t>d</w:t>
            </w:r>
            <w:r w:rsidRPr="00CD43D5">
              <w:t>ling, skall rätten underrätta vederb</w:t>
            </w:r>
            <w:r w:rsidRPr="00CD43D5">
              <w:t>ö</w:t>
            </w:r>
            <w:r w:rsidRPr="00CD43D5">
              <w:t xml:space="preserve">rande inskrivningsmyndighet om </w:t>
            </w:r>
            <w:r w:rsidRPr="00CD43D5">
              <w:rPr>
                <w:i/>
              </w:rPr>
              <w:t>ansökan</w:t>
            </w:r>
            <w:r w:rsidRPr="00CD43D5">
              <w:t xml:space="preserve"> för anteckning i inskri</w:t>
            </w:r>
            <w:r w:rsidRPr="00CD43D5">
              <w:t>v</w:t>
            </w:r>
            <w:r w:rsidRPr="00CD43D5">
              <w:t xml:space="preserve">ningsboken, </w:t>
            </w:r>
            <w:r w:rsidRPr="00CD43D5">
              <w:rPr>
                <w:i/>
              </w:rPr>
              <w:t>företagsinteckningsr</w:t>
            </w:r>
            <w:r w:rsidRPr="00CD43D5">
              <w:rPr>
                <w:i/>
              </w:rPr>
              <w:t>e</w:t>
            </w:r>
            <w:r w:rsidRPr="00CD43D5">
              <w:rPr>
                <w:i/>
              </w:rPr>
              <w:t>gistret eller fastighetsregistrets inskrivningsdel.</w:t>
            </w:r>
            <w:r w:rsidRPr="00CD43D5">
              <w:t xml:space="preserve"> Vad </w:t>
            </w:r>
            <w:r w:rsidRPr="00CD43D5">
              <w:rPr>
                <w:i/>
              </w:rPr>
              <w:t>som</w:t>
            </w:r>
            <w:r w:rsidRPr="00CD43D5">
              <w:t xml:space="preserve"> nu </w:t>
            </w:r>
            <w:r w:rsidRPr="00CD43D5">
              <w:rPr>
                <w:i/>
              </w:rPr>
              <w:t xml:space="preserve">har </w:t>
            </w:r>
            <w:r w:rsidRPr="00CD43D5">
              <w:t xml:space="preserve">sagts om </w:t>
            </w:r>
            <w:r w:rsidRPr="00CD43D5">
              <w:rPr>
                <w:i/>
              </w:rPr>
              <w:t>ansökan</w:t>
            </w:r>
            <w:r w:rsidRPr="00CD43D5">
              <w:t xml:space="preserve"> skall också gälla rättens slutliga utslag i ärendet. </w:t>
            </w:r>
            <w:r w:rsidRPr="00CD43D5">
              <w:rPr>
                <w:i/>
              </w:rPr>
              <w:t>Om</w:t>
            </w:r>
            <w:r w:rsidRPr="00CD43D5">
              <w:t xml:space="preserve"> </w:t>
            </w:r>
            <w:r w:rsidRPr="00CD43D5">
              <w:rPr>
                <w:i/>
              </w:rPr>
              <w:t>ansökan har</w:t>
            </w:r>
            <w:r w:rsidRPr="00CD43D5">
              <w:t xml:space="preserve"> avslagits, får dock anteckning </w:t>
            </w:r>
            <w:r w:rsidRPr="00CD43D5">
              <w:rPr>
                <w:i/>
              </w:rPr>
              <w:t xml:space="preserve">inte </w:t>
            </w:r>
            <w:r w:rsidRPr="00CD43D5">
              <w:t>verkställas förrän</w:t>
            </w:r>
            <w:r w:rsidRPr="00CD43D5">
              <w:rPr>
                <w:i/>
              </w:rPr>
              <w:t xml:space="preserve"> </w:t>
            </w:r>
            <w:r w:rsidRPr="00CD43D5">
              <w:t xml:space="preserve">utslaget </w:t>
            </w:r>
            <w:r w:rsidRPr="00CD43D5">
              <w:rPr>
                <w:i/>
              </w:rPr>
              <w:t>har</w:t>
            </w:r>
            <w:r w:rsidRPr="00CD43D5">
              <w:t xml:space="preserve"> vunnit laga kraft.</w:t>
            </w:r>
          </w:p>
          <w:p w:rsidR="00441AFC" w:rsidRPr="00CD43D5" w:rsidRDefault="00441AFC">
            <w:pPr>
              <w:pStyle w:val="Normaltindrag"/>
            </w:pPr>
            <w:r w:rsidRPr="00CD43D5">
              <w:t xml:space="preserve">Sedan </w:t>
            </w:r>
            <w:r w:rsidRPr="00CD43D5">
              <w:rPr>
                <w:i/>
              </w:rPr>
              <w:t xml:space="preserve">ett </w:t>
            </w:r>
            <w:r w:rsidRPr="00CD43D5">
              <w:t xml:space="preserve">utslag </w:t>
            </w:r>
            <w:r w:rsidRPr="00CD43D5">
              <w:rPr>
                <w:i/>
              </w:rPr>
              <w:t>i vilket</w:t>
            </w:r>
            <w:r w:rsidRPr="00CD43D5">
              <w:t xml:space="preserve"> </w:t>
            </w:r>
            <w:r w:rsidRPr="00CD43D5">
              <w:rPr>
                <w:i/>
              </w:rPr>
              <w:t xml:space="preserve">ett </w:t>
            </w:r>
            <w:r w:rsidRPr="00CD43D5">
              <w:t>pan</w:t>
            </w:r>
            <w:r w:rsidRPr="00CD43D5">
              <w:t>t</w:t>
            </w:r>
            <w:r w:rsidRPr="00CD43D5">
              <w:t xml:space="preserve">brev eller </w:t>
            </w:r>
            <w:r w:rsidRPr="00CD43D5">
              <w:rPr>
                <w:i/>
              </w:rPr>
              <w:t xml:space="preserve">ett </w:t>
            </w:r>
            <w:r w:rsidRPr="00CD43D5">
              <w:t xml:space="preserve">hypoteksbrev dödats </w:t>
            </w:r>
            <w:r w:rsidRPr="00CD43D5">
              <w:rPr>
                <w:i/>
              </w:rPr>
              <w:t xml:space="preserve">har </w:t>
            </w:r>
            <w:r w:rsidRPr="00CD43D5">
              <w:t>vunnit laga kraft, skall inskri</w:t>
            </w:r>
            <w:r w:rsidRPr="00CD43D5">
              <w:t>v</w:t>
            </w:r>
            <w:r w:rsidRPr="00CD43D5">
              <w:t>ningsmyndigheten på ansökan u</w:t>
            </w:r>
            <w:r w:rsidRPr="00CD43D5">
              <w:t>t</w:t>
            </w:r>
            <w:r w:rsidRPr="00CD43D5">
              <w:t xml:space="preserve">färda </w:t>
            </w:r>
            <w:r w:rsidRPr="00CD43D5">
              <w:rPr>
                <w:i/>
              </w:rPr>
              <w:t>ett</w:t>
            </w:r>
            <w:r w:rsidRPr="00CD43D5">
              <w:t xml:space="preserve"> nytt pantbrev eller hyp</w:t>
            </w:r>
            <w:r w:rsidRPr="00CD43D5">
              <w:t>o</w:t>
            </w:r>
            <w:r w:rsidRPr="00CD43D5">
              <w:t>teksbrev som svarar mot det dödade samt göra anteckning i inskri</w:t>
            </w:r>
            <w:r w:rsidRPr="00CD43D5">
              <w:t>v</w:t>
            </w:r>
            <w:r w:rsidRPr="00CD43D5">
              <w:t xml:space="preserve">ningsboken, </w:t>
            </w:r>
            <w:r w:rsidRPr="00CD43D5">
              <w:rPr>
                <w:i/>
              </w:rPr>
              <w:t>företagsinteckningsr</w:t>
            </w:r>
            <w:r w:rsidRPr="00CD43D5">
              <w:rPr>
                <w:i/>
              </w:rPr>
              <w:t>e</w:t>
            </w:r>
            <w:r w:rsidRPr="00CD43D5">
              <w:rPr>
                <w:i/>
              </w:rPr>
              <w:t xml:space="preserve">gistret eller fastighetsregistrets inskrivningsdel </w:t>
            </w:r>
            <w:r w:rsidRPr="00CD43D5">
              <w:t>om detta.</w:t>
            </w:r>
          </w:p>
        </w:tc>
      </w:tr>
    </w:tbl>
    <w:p w:rsidR="00441AFC" w:rsidRPr="00CD43D5" w:rsidRDefault="00441AFC">
      <w:pPr>
        <w:pStyle w:val="Normaltindrag"/>
      </w:pPr>
      <w:r w:rsidRPr="00CD43D5">
        <w:t>Har intecknad fordringshandling dödats genom lagakraftvunnet utslag, skall inskrivningsmyndigheten, på ansökan, å inskrivningsdag göra antec</w:t>
      </w:r>
      <w:r w:rsidRPr="00CD43D5">
        <w:t>k</w:t>
      </w:r>
      <w:r w:rsidRPr="00CD43D5">
        <w:t>ning i vederbörande inskrivningsbok, att ny handling, som utfärdats jämlikt 9 §, medför den inteckningsrätt som tillkommit den dödade.</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72" w:name="_Toc412971129"/>
      <w:bookmarkStart w:id="73" w:name="_Toc414097181"/>
      <w:bookmarkStart w:id="74" w:name="_Toc465144156"/>
      <w:bookmarkStart w:id="75" w:name="_Toc465577133"/>
      <w:bookmarkStart w:id="76" w:name="_Toc469212231"/>
      <w:bookmarkStart w:id="77" w:name="_Toc479046914"/>
      <w:r w:rsidRPr="00CD43D5">
        <w:t xml:space="preserve">8. Förslag till lag om ändring i lagen (1952:166) om </w:t>
      </w:r>
      <w:bookmarkEnd w:id="72"/>
      <w:bookmarkEnd w:id="73"/>
      <w:r w:rsidRPr="00CD43D5">
        <w:t>häradsallmänningar</w:t>
      </w:r>
      <w:bookmarkEnd w:id="74"/>
      <w:bookmarkEnd w:id="75"/>
      <w:bookmarkEnd w:id="76"/>
      <w:bookmarkEnd w:id="77"/>
    </w:p>
    <w:p w:rsidR="00441AFC" w:rsidRPr="00CD43D5" w:rsidRDefault="00441AFC">
      <w:pPr>
        <w:pStyle w:val="Normaltindrag"/>
      </w:pPr>
    </w:p>
    <w:p w:rsidR="00441AFC" w:rsidRPr="00CD43D5" w:rsidRDefault="00441AFC">
      <w:pPr>
        <w:pStyle w:val="Normaltindrag"/>
      </w:pPr>
      <w:r w:rsidRPr="00CD43D5">
        <w:t>Härigenom föreskrivs i fråga om lagen (1952:166) om häradsallmännin</w:t>
      </w:r>
      <w:r w:rsidRPr="00CD43D5">
        <w:t>g</w:t>
      </w:r>
      <w:r w:rsidRPr="00CD43D5">
        <w:t>ar</w:t>
      </w:r>
      <w:r w:rsidRPr="00CD43D5">
        <w:rPr>
          <w:rStyle w:val="Fotnotsreferens"/>
        </w:rPr>
        <w:footnoteReference w:customMarkFollows="1" w:id="8"/>
        <w:t>1</w:t>
      </w:r>
      <w:r w:rsidRPr="00CD43D5">
        <w:t xml:space="preserve"> </w:t>
      </w:r>
    </w:p>
    <w:p w:rsidR="00441AFC" w:rsidRPr="00CD43D5" w:rsidRDefault="00441AFC">
      <w:pPr>
        <w:pStyle w:val="Normaltindrag"/>
      </w:pPr>
      <w:r w:rsidRPr="00CD43D5">
        <w:rPr>
          <w:i/>
        </w:rPr>
        <w:t xml:space="preserve">dels </w:t>
      </w:r>
      <w:r w:rsidRPr="00CD43D5">
        <w:t>att</w:t>
      </w:r>
      <w:r w:rsidRPr="00CD43D5">
        <w:rPr>
          <w:i/>
        </w:rPr>
        <w:t xml:space="preserve"> </w:t>
      </w:r>
      <w:r w:rsidRPr="00CD43D5">
        <w:t xml:space="preserve">11–17 §§ skall upphöra att gälla, </w:t>
      </w:r>
    </w:p>
    <w:p w:rsidR="00441AFC" w:rsidRPr="00CD43D5" w:rsidRDefault="00441AFC">
      <w:pPr>
        <w:pStyle w:val="Normaltindrag"/>
      </w:pPr>
      <w:r w:rsidRPr="00CD43D5">
        <w:rPr>
          <w:i/>
        </w:rPr>
        <w:t>dels</w:t>
      </w:r>
      <w:r w:rsidRPr="00CD43D5">
        <w:t xml:space="preserve"> att i 8 § ordet ”fastighetsregistret” skall bytas ut mot ”fastighets-registrets allmänna del”,</w:t>
      </w:r>
    </w:p>
    <w:p w:rsidR="00441AFC" w:rsidRPr="00CD43D5" w:rsidRDefault="00441AFC">
      <w:pPr>
        <w:pStyle w:val="Normaltindrag"/>
      </w:pPr>
      <w:r w:rsidRPr="00CD43D5">
        <w:rPr>
          <w:i/>
        </w:rPr>
        <w:t>dels</w:t>
      </w:r>
      <w:r w:rsidRPr="00CD43D5">
        <w:t xml:space="preserve"> att 1, 9, 10 och 22 §§ samt rubriken närmast före 9 §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r w:rsidRPr="00CD43D5">
        <w:t>1 §</w:t>
      </w:r>
    </w:p>
    <w:p w:rsidR="00441AFC" w:rsidRPr="00CD43D5" w:rsidRDefault="00441AFC">
      <w:pPr>
        <w:pStyle w:val="Normaltindrag"/>
      </w:pPr>
      <w:r w:rsidRPr="00CD43D5">
        <w:t>Med häradsallmänning förstås i denna lag av ålder bestående häradsal</w:t>
      </w:r>
      <w:r w:rsidRPr="00CD43D5">
        <w:t>l</w:t>
      </w:r>
      <w:r w:rsidRPr="00CD43D5">
        <w:t>männing.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p>
        </w:tc>
        <w:tc>
          <w:tcPr>
            <w:tcW w:w="3118" w:type="dxa"/>
          </w:tcPr>
          <w:p w:rsidR="00441AFC" w:rsidRPr="00CD43D5" w:rsidRDefault="00441AFC">
            <w:pPr>
              <w:pStyle w:val="Normaltindrag"/>
            </w:pPr>
            <w:r w:rsidRPr="00CD43D5">
              <w:rPr>
                <w:i/>
              </w:rPr>
              <w:t>Med länsstyrelse avses i denna lag länsstyrelsen i det län där al</w:t>
            </w:r>
            <w:r w:rsidRPr="00CD43D5">
              <w:rPr>
                <w:i/>
              </w:rPr>
              <w:t>l</w:t>
            </w:r>
            <w:r w:rsidRPr="00CD43D5">
              <w:rPr>
                <w:i/>
              </w:rPr>
              <w:t>männingens styrelse har sitt säte.</w:t>
            </w:r>
          </w:p>
        </w:tc>
      </w:tr>
    </w:tbl>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b/>
              </w:rPr>
              <w:t xml:space="preserve">Om avyttring och </w:t>
            </w:r>
            <w:r w:rsidRPr="00CD43D5">
              <w:rPr>
                <w:b/>
                <w:i/>
              </w:rPr>
              <w:t xml:space="preserve">införlivning </w:t>
            </w:r>
            <w:r w:rsidRPr="00CD43D5">
              <w:rPr>
                <w:b/>
              </w:rPr>
              <w:t>av mark</w:t>
            </w:r>
          </w:p>
        </w:tc>
        <w:tc>
          <w:tcPr>
            <w:tcW w:w="3118" w:type="dxa"/>
          </w:tcPr>
          <w:p w:rsidR="00441AFC" w:rsidRPr="00CD43D5" w:rsidRDefault="00441AFC">
            <w:pPr>
              <w:rPr>
                <w:b/>
              </w:rPr>
            </w:pPr>
            <w:r w:rsidRPr="00CD43D5">
              <w:rPr>
                <w:b/>
              </w:rPr>
              <w:t xml:space="preserve">Om avyttring och </w:t>
            </w:r>
            <w:r w:rsidRPr="00CD43D5">
              <w:rPr>
                <w:b/>
                <w:i/>
              </w:rPr>
              <w:t>förvärv</w:t>
            </w:r>
            <w:r w:rsidRPr="00CD43D5">
              <w:rPr>
                <w:b/>
              </w:rPr>
              <w:t xml:space="preserve"> av mark</w:t>
            </w:r>
          </w:p>
        </w:tc>
      </w:tr>
    </w:tbl>
    <w:p w:rsidR="00441AFC" w:rsidRPr="00CD43D5" w:rsidRDefault="00441AFC">
      <w:pPr>
        <w:pStyle w:val="Normaltindrag"/>
        <w:jc w:val="center"/>
      </w:pPr>
      <w:r w:rsidRPr="00CD43D5">
        <w:t>9 §</w:t>
      </w:r>
      <w:r w:rsidRPr="00CD43D5">
        <w:rPr>
          <w:rStyle w:val="Fotnotsreferens"/>
        </w:rPr>
        <w:footnoteReference w:customMarkFollows="1" w:id="9"/>
        <w:t>2</w:t>
      </w:r>
      <w:r w:rsidRPr="00CD43D5">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Till häradsallmänning hörande område må avyttras genom försäl</w:t>
            </w:r>
            <w:r w:rsidRPr="00CD43D5">
              <w:t>j</w:t>
            </w:r>
            <w:r w:rsidRPr="00CD43D5">
              <w:t>ning eller annorledes, om avsevärd förmån för delägarna därigenom vinnes samt avyttringen ej länder skogsskötseln å allmänningen till men eller om eljest synnerliga skäl föreligga till avyttringen. Rätt att besluta om dylik avyttring tillko</w:t>
            </w:r>
            <w:r w:rsidRPr="00CD43D5">
              <w:t>m</w:t>
            </w:r>
            <w:r w:rsidRPr="00CD43D5">
              <w:t xml:space="preserve">mer delägarna, </w:t>
            </w:r>
            <w:r w:rsidRPr="00CD43D5">
              <w:rPr>
                <w:i/>
              </w:rPr>
              <w:t>men avyttringen blir ej giltig med mindre den godkännes av regeringen eller myndighet som regeringen bestämmer</w:t>
            </w:r>
            <w:r w:rsidRPr="00CD43D5">
              <w:t>.</w:t>
            </w:r>
          </w:p>
        </w:tc>
        <w:tc>
          <w:tcPr>
            <w:tcW w:w="3118" w:type="dxa"/>
          </w:tcPr>
          <w:p w:rsidR="00441AFC" w:rsidRPr="00CD43D5" w:rsidRDefault="00441AFC">
            <w:pPr>
              <w:pStyle w:val="Normaltindrag"/>
            </w:pPr>
            <w:r w:rsidRPr="00CD43D5">
              <w:t>Till häradsallmänning hörande område må</w:t>
            </w:r>
            <w:r w:rsidRPr="00CD43D5">
              <w:rPr>
                <w:i/>
              </w:rPr>
              <w:t xml:space="preserve"> </w:t>
            </w:r>
            <w:r w:rsidRPr="00CD43D5">
              <w:t>avyttras genom försäl</w:t>
            </w:r>
            <w:r w:rsidRPr="00CD43D5">
              <w:t>j</w:t>
            </w:r>
            <w:r w:rsidRPr="00CD43D5">
              <w:t>ning eller annorledes, om avsevärd förmån för delägarna därigenom vinnes samt avyttringen ej länder skogsskötseln å allmänningen till men eller om eljest synnerliga skäl föreligga till avyttringen. Rätt att besluta om dylik avyttring tillko</w:t>
            </w:r>
            <w:r w:rsidRPr="00CD43D5">
              <w:t>m</w:t>
            </w:r>
            <w:r w:rsidRPr="00CD43D5">
              <w:t>mer delägarna.</w:t>
            </w:r>
          </w:p>
        </w:tc>
      </w:tr>
    </w:tbl>
    <w:p w:rsidR="00441AFC" w:rsidRPr="00CD43D5" w:rsidRDefault="00441AFC">
      <w:pPr>
        <w:jc w:val="center"/>
      </w:pPr>
    </w:p>
    <w:p w:rsidR="00441AFC" w:rsidRPr="00CD43D5" w:rsidRDefault="00441AFC">
      <w:pPr>
        <w:jc w:val="center"/>
      </w:pPr>
      <w:r w:rsidRPr="00CD43D5">
        <w:t>10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 xml:space="preserve">1 mom. Vilja </w:t>
            </w:r>
            <w:r w:rsidRPr="00CD43D5">
              <w:t xml:space="preserve">delägarna </w:t>
            </w:r>
            <w:r w:rsidRPr="00CD43D5">
              <w:rPr>
                <w:i/>
              </w:rPr>
              <w:t>inköpa</w:t>
            </w:r>
            <w:r w:rsidRPr="00CD43D5">
              <w:t xml:space="preserve"> mark för häradsallmännings utvid</w:t>
            </w:r>
            <w:r w:rsidRPr="00CD43D5">
              <w:t>g</w:t>
            </w:r>
            <w:r w:rsidRPr="00CD43D5">
              <w:t xml:space="preserve">ning, </w:t>
            </w:r>
            <w:r w:rsidRPr="00CD43D5">
              <w:rPr>
                <w:i/>
              </w:rPr>
              <w:t>äga</w:t>
            </w:r>
            <w:r w:rsidRPr="00CD43D5">
              <w:t xml:space="preserve"> de besluta därom. Besl</w:t>
            </w:r>
            <w:r w:rsidRPr="00CD43D5">
              <w:t>u</w:t>
            </w:r>
            <w:r w:rsidRPr="00CD43D5">
              <w:t>tanderätt i sådant avseende til</w:t>
            </w:r>
            <w:r w:rsidRPr="00CD43D5">
              <w:t>l</w:t>
            </w:r>
            <w:r w:rsidRPr="00CD43D5">
              <w:t>kommer även allmänningsstyrelsen, om reglementet medgiver det.</w:t>
            </w:r>
          </w:p>
          <w:p w:rsidR="00441AFC" w:rsidRPr="00CD43D5" w:rsidRDefault="00441AFC">
            <w:pPr>
              <w:pStyle w:val="Normaltindrag"/>
            </w:pPr>
            <w:r w:rsidRPr="00CD43D5">
              <w:rPr>
                <w:i/>
              </w:rPr>
              <w:t>2 mom. Mark som förvärvats av delägarna må av dem åter avyttras, där ej marken i den ordning nedan sägs blivit införlivad med allmä</w:t>
            </w:r>
            <w:r w:rsidRPr="00CD43D5">
              <w:rPr>
                <w:i/>
              </w:rPr>
              <w:t>n</w:t>
            </w:r>
            <w:r w:rsidRPr="00CD43D5">
              <w:rPr>
                <w:i/>
              </w:rPr>
              <w:t>ningen. Det ankommer på deläga</w:t>
            </w:r>
            <w:r w:rsidRPr="00CD43D5">
              <w:rPr>
                <w:i/>
              </w:rPr>
              <w:t>r</w:t>
            </w:r>
            <w:r w:rsidRPr="00CD43D5">
              <w:rPr>
                <w:i/>
              </w:rPr>
              <w:t>na att besluta om sådan avyttring, dock må beslutanderätt härutinnan i reglementet tillerkännas även al</w:t>
            </w:r>
            <w:r w:rsidRPr="00CD43D5">
              <w:rPr>
                <w:i/>
              </w:rPr>
              <w:t>l</w:t>
            </w:r>
            <w:r w:rsidRPr="00CD43D5">
              <w:rPr>
                <w:i/>
              </w:rPr>
              <w:t>männingsstyrelsen. Om avyttring av mark, vars införlivning med al</w:t>
            </w:r>
            <w:r w:rsidRPr="00CD43D5">
              <w:rPr>
                <w:i/>
              </w:rPr>
              <w:t>l</w:t>
            </w:r>
            <w:r w:rsidRPr="00CD43D5">
              <w:rPr>
                <w:i/>
              </w:rPr>
              <w:t>männingen vägrats, stadgas i 16 §.</w:t>
            </w:r>
          </w:p>
        </w:tc>
        <w:tc>
          <w:tcPr>
            <w:tcW w:w="3118" w:type="dxa"/>
          </w:tcPr>
          <w:p w:rsidR="00441AFC" w:rsidRPr="00CD43D5" w:rsidRDefault="00441AFC">
            <w:pPr>
              <w:pStyle w:val="Normaltindrag"/>
            </w:pPr>
            <w:r w:rsidRPr="00CD43D5">
              <w:rPr>
                <w:i/>
              </w:rPr>
              <w:t>Om</w:t>
            </w:r>
            <w:r w:rsidRPr="00CD43D5">
              <w:t xml:space="preserve"> delägarna </w:t>
            </w:r>
            <w:r w:rsidRPr="00CD43D5">
              <w:rPr>
                <w:i/>
              </w:rPr>
              <w:t>vill</w:t>
            </w:r>
            <w:r w:rsidRPr="00CD43D5">
              <w:t xml:space="preserve"> </w:t>
            </w:r>
            <w:r w:rsidRPr="00CD43D5">
              <w:rPr>
                <w:i/>
              </w:rPr>
              <w:t>förvärva</w:t>
            </w:r>
            <w:r w:rsidRPr="00CD43D5">
              <w:t xml:space="preserve"> mark för häradsallmännings utvidgning </w:t>
            </w:r>
            <w:r w:rsidRPr="00CD43D5">
              <w:rPr>
                <w:i/>
              </w:rPr>
              <w:t xml:space="preserve">eller för annat för allmänningen angeläget ändamål, får </w:t>
            </w:r>
            <w:r w:rsidRPr="00CD43D5">
              <w:t>de besluta därom. Beslutanderätt i sådant avseende tillkommer även allmä</w:t>
            </w:r>
            <w:r w:rsidRPr="00CD43D5">
              <w:t>n</w:t>
            </w:r>
            <w:r w:rsidRPr="00CD43D5">
              <w:t>ningsstyrelsen, om reglementet medgiver det.</w:t>
            </w:r>
          </w:p>
        </w:tc>
      </w:tr>
    </w:tbl>
    <w:p w:rsidR="00441AFC" w:rsidRPr="00CD43D5" w:rsidRDefault="00441AFC">
      <w:pPr>
        <w:pStyle w:val="Normaltindrag"/>
      </w:pPr>
    </w:p>
    <w:p w:rsidR="00441AFC" w:rsidRPr="00CD43D5" w:rsidRDefault="00441AFC">
      <w:pPr>
        <w:jc w:val="center"/>
      </w:pPr>
      <w:r w:rsidRPr="00CD43D5">
        <w:t>22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Kapitalinkomst skall användas eller fonderas för verkställande av grundförbättringar å allmänningen eller för inköp av mark för allmä</w:t>
            </w:r>
            <w:r w:rsidRPr="00CD43D5">
              <w:t>n</w:t>
            </w:r>
            <w:r w:rsidRPr="00CD43D5">
              <w:t>ningens utvidgning eller för annat dylikt ändamål. Det tillkommer länsstyrelsen att på framställning av allmänningsstyrelsen meddela nä</w:t>
            </w:r>
            <w:r w:rsidRPr="00CD43D5">
              <w:t>r</w:t>
            </w:r>
            <w:r w:rsidRPr="00CD43D5">
              <w:t xml:space="preserve">mare föreskrifter </w:t>
            </w:r>
            <w:r w:rsidRPr="00CD43D5">
              <w:rPr>
                <w:i/>
              </w:rPr>
              <w:t>i detta</w:t>
            </w:r>
            <w:r w:rsidRPr="00CD43D5">
              <w:t xml:space="preserve"> </w:t>
            </w:r>
            <w:r w:rsidRPr="00CD43D5">
              <w:rPr>
                <w:i/>
              </w:rPr>
              <w:t>hänseende.</w:t>
            </w:r>
            <w:r w:rsidRPr="00CD43D5">
              <w:t xml:space="preserve"> </w:t>
            </w:r>
          </w:p>
          <w:p w:rsidR="00441AFC" w:rsidRPr="00CD43D5" w:rsidRDefault="00441AFC">
            <w:pPr>
              <w:pStyle w:val="Normaltindrag"/>
            </w:pPr>
            <w:r w:rsidRPr="00CD43D5">
              <w:rPr>
                <w:i/>
              </w:rPr>
              <w:t xml:space="preserve">Har </w:t>
            </w:r>
            <w:r w:rsidRPr="00CD43D5">
              <w:t>mark som förvärvats för k</w:t>
            </w:r>
            <w:r w:rsidRPr="00CD43D5">
              <w:t>a</w:t>
            </w:r>
            <w:r w:rsidRPr="00CD43D5">
              <w:t xml:space="preserve">pitalinkomst </w:t>
            </w:r>
            <w:r w:rsidRPr="00CD43D5">
              <w:rPr>
                <w:i/>
              </w:rPr>
              <w:t>ej lagligen</w:t>
            </w:r>
            <w:r w:rsidRPr="00CD43D5">
              <w:t xml:space="preserve"> </w:t>
            </w:r>
            <w:r w:rsidRPr="00CD43D5">
              <w:rPr>
                <w:i/>
              </w:rPr>
              <w:t>införlivats med allmänningen</w:t>
            </w:r>
            <w:r w:rsidRPr="00CD43D5">
              <w:t xml:space="preserve">, skall, </w:t>
            </w:r>
            <w:r w:rsidRPr="00CD43D5">
              <w:rPr>
                <w:i/>
              </w:rPr>
              <w:t>där ma</w:t>
            </w:r>
            <w:r w:rsidRPr="00CD43D5">
              <w:rPr>
                <w:i/>
              </w:rPr>
              <w:t>r</w:t>
            </w:r>
            <w:r w:rsidRPr="00CD43D5">
              <w:rPr>
                <w:i/>
              </w:rPr>
              <w:t>ken försäljes</w:t>
            </w:r>
            <w:r w:rsidRPr="00CD43D5">
              <w:t xml:space="preserve">, köpeskillingen anses utgöra kapitalinkomst. </w:t>
            </w:r>
          </w:p>
          <w:p w:rsidR="00441AFC" w:rsidRPr="00CD43D5" w:rsidRDefault="00441AFC">
            <w:pPr>
              <w:pStyle w:val="Normaltindrag"/>
            </w:pPr>
            <w:r w:rsidRPr="00CD43D5">
              <w:t xml:space="preserve">I fråga om ränta </w:t>
            </w:r>
            <w:r w:rsidRPr="00CD43D5">
              <w:rPr>
                <w:i/>
              </w:rPr>
              <w:t>å</w:t>
            </w:r>
            <w:r w:rsidRPr="00CD43D5">
              <w:t xml:space="preserve"> kapitalinkomst och om avkastning av mark som avses i andra stycket skall </w:t>
            </w:r>
            <w:r w:rsidRPr="00CD43D5">
              <w:rPr>
                <w:i/>
              </w:rPr>
              <w:t>vad</w:t>
            </w:r>
            <w:r w:rsidRPr="00CD43D5">
              <w:t xml:space="preserve"> i 19–21 §§ </w:t>
            </w:r>
            <w:r w:rsidRPr="00CD43D5">
              <w:rPr>
                <w:i/>
              </w:rPr>
              <w:t>är stadgat</w:t>
            </w:r>
            <w:r w:rsidRPr="00CD43D5">
              <w:t xml:space="preserve"> </w:t>
            </w:r>
            <w:r w:rsidRPr="00CD43D5">
              <w:rPr>
                <w:i/>
              </w:rPr>
              <w:t>äga motsvarande tillämpning</w:t>
            </w:r>
            <w:r w:rsidRPr="00CD43D5">
              <w:t>.</w:t>
            </w:r>
          </w:p>
        </w:tc>
        <w:tc>
          <w:tcPr>
            <w:tcW w:w="3118" w:type="dxa"/>
          </w:tcPr>
          <w:p w:rsidR="00441AFC" w:rsidRPr="00CD43D5" w:rsidRDefault="00441AFC">
            <w:pPr>
              <w:pStyle w:val="Normaltindrag"/>
            </w:pPr>
            <w:r w:rsidRPr="00CD43D5">
              <w:t>Kapitalinkomst skall användas eller fonderas för verkställande av grundförbättringar å allmänningen eller för inköp av mark för allmä</w:t>
            </w:r>
            <w:r w:rsidRPr="00CD43D5">
              <w:t>n</w:t>
            </w:r>
            <w:r w:rsidRPr="00CD43D5">
              <w:t>ningens utvidgning eller för annat dylikt ändamål. Det tillkommer länsstyrelsen att på framställning av allmänningsstyrelsen meddela nä</w:t>
            </w:r>
            <w:r w:rsidRPr="00CD43D5">
              <w:t>r</w:t>
            </w:r>
            <w:r w:rsidRPr="00CD43D5">
              <w:t xml:space="preserve">mare föreskrifter </w:t>
            </w:r>
            <w:r w:rsidRPr="00CD43D5">
              <w:rPr>
                <w:i/>
              </w:rPr>
              <w:t>om detta</w:t>
            </w:r>
            <w:r w:rsidRPr="00CD43D5">
              <w:t>.</w:t>
            </w:r>
          </w:p>
          <w:p w:rsidR="00441AFC" w:rsidRPr="00CD43D5" w:rsidRDefault="00441AFC">
            <w:pPr>
              <w:pStyle w:val="Normaltindrag"/>
            </w:pPr>
            <w:r w:rsidRPr="00CD43D5">
              <w:rPr>
                <w:i/>
              </w:rPr>
              <w:t>Om</w:t>
            </w:r>
            <w:r w:rsidRPr="00CD43D5">
              <w:t xml:space="preserve"> mark som förvärvats för k</w:t>
            </w:r>
            <w:r w:rsidRPr="00CD43D5">
              <w:t>a</w:t>
            </w:r>
            <w:r w:rsidRPr="00CD43D5">
              <w:t xml:space="preserve">pitalinkomst </w:t>
            </w:r>
            <w:r w:rsidRPr="00CD43D5">
              <w:rPr>
                <w:i/>
              </w:rPr>
              <w:t>säljs,</w:t>
            </w:r>
            <w:r w:rsidRPr="00CD43D5">
              <w:t xml:space="preserve"> skall köpeski</w:t>
            </w:r>
            <w:r w:rsidRPr="00CD43D5">
              <w:t>l</w:t>
            </w:r>
            <w:r w:rsidRPr="00CD43D5">
              <w:t xml:space="preserve">lingen anses utgöra kapitalinkomst. </w:t>
            </w:r>
          </w:p>
          <w:p w:rsidR="00441AFC" w:rsidRPr="00CD43D5" w:rsidRDefault="00441AFC">
            <w:pPr>
              <w:pStyle w:val="Normaltindrag"/>
            </w:pPr>
            <w:r w:rsidRPr="00CD43D5">
              <w:t xml:space="preserve">I fråga om ränta </w:t>
            </w:r>
            <w:r w:rsidRPr="00CD43D5">
              <w:rPr>
                <w:i/>
              </w:rPr>
              <w:t>på</w:t>
            </w:r>
            <w:r w:rsidRPr="00CD43D5">
              <w:t xml:space="preserve"> kapitali</w:t>
            </w:r>
            <w:r w:rsidRPr="00CD43D5">
              <w:t>n</w:t>
            </w:r>
            <w:r w:rsidRPr="00CD43D5">
              <w:t xml:space="preserve">komst och om avkastning av mark som avses i andra stycket skall </w:t>
            </w:r>
            <w:r w:rsidRPr="00CD43D5">
              <w:rPr>
                <w:i/>
              </w:rPr>
              <w:t>bestämmelserna</w:t>
            </w:r>
            <w:r w:rsidRPr="00CD43D5">
              <w:t xml:space="preserve"> i 19–21 §§ </w:t>
            </w:r>
            <w:r w:rsidRPr="00CD43D5">
              <w:rPr>
                <w:i/>
              </w:rPr>
              <w:t>tillä</w:t>
            </w:r>
            <w:r w:rsidRPr="00CD43D5">
              <w:rPr>
                <w:i/>
              </w:rPr>
              <w:t>m</w:t>
            </w:r>
            <w:r w:rsidRPr="00CD43D5">
              <w:rPr>
                <w:i/>
              </w:rPr>
              <w:t>pas</w:t>
            </w:r>
            <w:r w:rsidRPr="00CD43D5">
              <w:t>.</w:t>
            </w: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1. Denna lag träder i kraft den 1 juli 2000.</w:t>
      </w:r>
    </w:p>
    <w:p w:rsidR="00441AFC" w:rsidRPr="00CD43D5" w:rsidRDefault="00441AFC">
      <w:pPr>
        <w:pStyle w:val="Normaltindrag"/>
      </w:pPr>
      <w:r w:rsidRPr="00CD43D5">
        <w:t>2. Bestämmelserna i 14 och 15 §§ skall dock fortfarande tillämpas i fråga om mark som införlivats med häradsallmänning, eller sådan sockenallmä</w:t>
      </w:r>
      <w:r w:rsidRPr="00CD43D5">
        <w:t>n</w:t>
      </w:r>
      <w:r w:rsidRPr="00CD43D5">
        <w:t xml:space="preserve">ning som avses i 45 §, genom förordnande som har meddelats före lagens ikraftträdande. </w:t>
      </w:r>
    </w:p>
    <w:p w:rsidR="00441AFC" w:rsidRPr="00CD43D5" w:rsidRDefault="00441AFC">
      <w:pPr>
        <w:pStyle w:val="Rubrik2"/>
      </w:pPr>
      <w:r w:rsidRPr="00CD43D5">
        <w:br w:type="page"/>
      </w:r>
      <w:bookmarkStart w:id="78" w:name="_Toc412971130"/>
      <w:bookmarkStart w:id="79" w:name="_Toc414097182"/>
      <w:bookmarkStart w:id="80" w:name="_Toc465144157"/>
      <w:bookmarkStart w:id="81" w:name="_Toc465577134"/>
      <w:bookmarkStart w:id="82" w:name="_Toc469212232"/>
      <w:bookmarkStart w:id="83" w:name="_Toc479046915"/>
      <w:r w:rsidRPr="00CD43D5">
        <w:t xml:space="preserve">9. Förslag till lag om ändring i </w:t>
      </w:r>
      <w:bookmarkEnd w:id="78"/>
      <w:bookmarkEnd w:id="79"/>
      <w:r w:rsidRPr="00CD43D5">
        <w:t>lagen (1952:167) om allmänningsskogar i Norrland och Dalarna</w:t>
      </w:r>
      <w:bookmarkEnd w:id="80"/>
      <w:bookmarkEnd w:id="81"/>
      <w:bookmarkEnd w:id="82"/>
      <w:bookmarkEnd w:id="83"/>
    </w:p>
    <w:p w:rsidR="00441AFC" w:rsidRPr="00CD43D5" w:rsidRDefault="00441AFC">
      <w:pPr>
        <w:pStyle w:val="Normaltindrag"/>
      </w:pPr>
    </w:p>
    <w:p w:rsidR="00441AFC" w:rsidRPr="00CD43D5" w:rsidRDefault="00441AFC">
      <w:pPr>
        <w:pStyle w:val="Normaltindrag"/>
      </w:pPr>
      <w:r w:rsidRPr="00CD43D5">
        <w:t>Härigenom föreskrivs i fråga om lagen (1952:167) om allmänningsskogar i Norrland och Dalarna</w:t>
      </w:r>
      <w:r w:rsidRPr="00CD43D5">
        <w:rPr>
          <w:rStyle w:val="Fotnotsreferens"/>
        </w:rPr>
        <w:footnoteReference w:customMarkFollows="1" w:id="10"/>
        <w:t>1</w:t>
      </w:r>
      <w:r w:rsidRPr="00CD43D5">
        <w:t xml:space="preserve"> </w:t>
      </w:r>
    </w:p>
    <w:p w:rsidR="00441AFC" w:rsidRPr="00CD43D5" w:rsidRDefault="00441AFC">
      <w:pPr>
        <w:pStyle w:val="Normaltindrag"/>
      </w:pPr>
      <w:r w:rsidRPr="00CD43D5">
        <w:rPr>
          <w:i/>
        </w:rPr>
        <w:t>dels</w:t>
      </w:r>
      <w:r w:rsidRPr="00CD43D5">
        <w:t xml:space="preserve"> att 10–16 §§ skall upphöra att gälla,</w:t>
      </w:r>
    </w:p>
    <w:p w:rsidR="00441AFC" w:rsidRPr="00CD43D5" w:rsidRDefault="00441AFC">
      <w:pPr>
        <w:pStyle w:val="Normaltindrag"/>
      </w:pPr>
      <w:r w:rsidRPr="00CD43D5">
        <w:rPr>
          <w:i/>
        </w:rPr>
        <w:t>dels</w:t>
      </w:r>
      <w:r w:rsidRPr="00CD43D5">
        <w:t xml:space="preserve"> att i 7 a § ordet ”fastighetsregistret” skall bytas ut mot ”fastighets-registrets allmänna del”,</w:t>
      </w:r>
    </w:p>
    <w:p w:rsidR="00441AFC" w:rsidRPr="00CD43D5" w:rsidRDefault="00441AFC">
      <w:pPr>
        <w:pStyle w:val="Normaltindrag"/>
      </w:pPr>
      <w:r w:rsidRPr="00CD43D5">
        <w:rPr>
          <w:i/>
        </w:rPr>
        <w:t>dels</w:t>
      </w:r>
      <w:r w:rsidRPr="00CD43D5">
        <w:t xml:space="preserve"> att 8, 9 och 21 §§ samt rubriken närmast före 8 § skall ha följande l</w:t>
      </w:r>
      <w:r w:rsidRPr="00CD43D5">
        <w:t>y</w:t>
      </w:r>
      <w:r w:rsidRPr="00CD43D5">
        <w:t>delse.</w:t>
      </w:r>
    </w:p>
    <w:p w:rsidR="00441AFC" w:rsidRPr="00CD43D5" w:rsidRDefault="00441AFC"/>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r w:rsidR="00000000" w:rsidRPr="00CD43D5">
        <w:tblPrEx>
          <w:tblCellMar>
            <w:top w:w="0" w:type="dxa"/>
            <w:bottom w:w="0" w:type="dxa"/>
          </w:tblCellMar>
        </w:tblPrEx>
        <w:tc>
          <w:tcPr>
            <w:tcW w:w="3118" w:type="dxa"/>
          </w:tcPr>
          <w:p w:rsidR="00441AFC" w:rsidRPr="00CD43D5" w:rsidRDefault="00441AFC">
            <w:r w:rsidRPr="00CD43D5">
              <w:rPr>
                <w:b/>
              </w:rPr>
              <w:t xml:space="preserve">Om avyttring och </w:t>
            </w:r>
            <w:r w:rsidRPr="00CD43D5">
              <w:rPr>
                <w:b/>
                <w:i/>
              </w:rPr>
              <w:t>införlivning</w:t>
            </w:r>
            <w:r w:rsidRPr="00CD43D5">
              <w:rPr>
                <w:b/>
              </w:rPr>
              <w:t xml:space="preserve"> av mark</w:t>
            </w:r>
          </w:p>
        </w:tc>
        <w:tc>
          <w:tcPr>
            <w:tcW w:w="3118" w:type="dxa"/>
          </w:tcPr>
          <w:p w:rsidR="00441AFC" w:rsidRPr="00CD43D5" w:rsidRDefault="00441AFC">
            <w:pPr>
              <w:rPr>
                <w:b/>
              </w:rPr>
            </w:pPr>
            <w:r w:rsidRPr="00CD43D5">
              <w:rPr>
                <w:b/>
              </w:rPr>
              <w:t xml:space="preserve">Om avyttring och </w:t>
            </w:r>
            <w:r w:rsidRPr="00CD43D5">
              <w:rPr>
                <w:b/>
                <w:i/>
              </w:rPr>
              <w:t>förvär</w:t>
            </w:r>
            <w:r w:rsidRPr="00CD43D5">
              <w:rPr>
                <w:b/>
              </w:rPr>
              <w:t>v av mark</w:t>
            </w:r>
          </w:p>
        </w:tc>
      </w:tr>
    </w:tbl>
    <w:p w:rsidR="00441AFC" w:rsidRPr="00CD43D5" w:rsidRDefault="00441AFC">
      <w:pPr>
        <w:jc w:val="center"/>
      </w:pPr>
      <w:r w:rsidRPr="00CD43D5">
        <w:t>8 §</w:t>
      </w:r>
      <w:r w:rsidRPr="00CD43D5">
        <w:rPr>
          <w:rStyle w:val="Fotnotsreferens"/>
        </w:rPr>
        <w:footnoteReference w:customMarkFollows="1" w:id="11"/>
        <w:t>2</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Till allmänningsskog hörande område må avyttras genom försäl</w:t>
            </w:r>
            <w:r w:rsidRPr="00CD43D5">
              <w:t>j</w:t>
            </w:r>
            <w:r w:rsidRPr="00CD43D5">
              <w:t>ning eller annorledes, om avsevärd förmån för delägarna därigenom vinnes samt avyttringen ej länder skogsskötseln å allmänningsskogen till men eller om eljest synnerliga skäl föreligga till avyttringen. Rätt att besluta om dylik avyttring til</w:t>
            </w:r>
            <w:r w:rsidRPr="00CD43D5">
              <w:t>l</w:t>
            </w:r>
            <w:r w:rsidRPr="00CD43D5">
              <w:t xml:space="preserve">kommer delägarna, </w:t>
            </w:r>
            <w:r w:rsidRPr="00CD43D5">
              <w:rPr>
                <w:i/>
              </w:rPr>
              <w:t>men avyttringen blir ej giltig med mindre den go</w:t>
            </w:r>
            <w:r w:rsidRPr="00CD43D5">
              <w:rPr>
                <w:i/>
              </w:rPr>
              <w:t>d</w:t>
            </w:r>
            <w:r w:rsidRPr="00CD43D5">
              <w:rPr>
                <w:i/>
              </w:rPr>
              <w:t>kännes av regeringen eller myndi</w:t>
            </w:r>
            <w:r w:rsidRPr="00CD43D5">
              <w:rPr>
                <w:i/>
              </w:rPr>
              <w:t>g</w:t>
            </w:r>
            <w:r w:rsidRPr="00CD43D5">
              <w:rPr>
                <w:i/>
              </w:rPr>
              <w:t>het som regeringen bestämmer</w:t>
            </w:r>
            <w:r w:rsidRPr="00CD43D5">
              <w:t>.</w:t>
            </w:r>
          </w:p>
        </w:tc>
        <w:tc>
          <w:tcPr>
            <w:tcW w:w="3118" w:type="dxa"/>
          </w:tcPr>
          <w:p w:rsidR="00441AFC" w:rsidRPr="00CD43D5" w:rsidRDefault="00441AFC">
            <w:pPr>
              <w:pStyle w:val="Normaltindrag"/>
            </w:pPr>
            <w:r w:rsidRPr="00CD43D5">
              <w:t>Till allmänningsskog hörande område må avyttras genom försäl</w:t>
            </w:r>
            <w:r w:rsidRPr="00CD43D5">
              <w:t>j</w:t>
            </w:r>
            <w:r w:rsidRPr="00CD43D5">
              <w:t>ning eller annorledes, om avsevärd förmån för delägarna därigenom vinnes samt avyttringen ej länder skogsskötseln å allmänningsskogen till men eller om eljest synnerliga skäl föreligga till avyttringen. Rätt att besluta om dylik avyttring til</w:t>
            </w:r>
            <w:r w:rsidRPr="00CD43D5">
              <w:t>l</w:t>
            </w:r>
            <w:r w:rsidRPr="00CD43D5">
              <w:t>kommer delägarna.</w:t>
            </w:r>
          </w:p>
        </w:tc>
      </w:tr>
    </w:tbl>
    <w:p w:rsidR="00441AFC" w:rsidRPr="00CD43D5" w:rsidRDefault="00441AFC">
      <w:pPr>
        <w:jc w:val="center"/>
      </w:pPr>
      <w:r w:rsidRPr="00CD43D5">
        <w:t>9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Vilja</w:t>
            </w:r>
            <w:r w:rsidRPr="00CD43D5">
              <w:t xml:space="preserve"> delägarna </w:t>
            </w:r>
            <w:r w:rsidRPr="00CD43D5">
              <w:rPr>
                <w:i/>
              </w:rPr>
              <w:t>inköpa</w:t>
            </w:r>
            <w:r w:rsidRPr="00CD43D5">
              <w:t xml:space="preserve"> mark för allmänningsskogs utvidgning, </w:t>
            </w:r>
            <w:r w:rsidRPr="00CD43D5">
              <w:rPr>
                <w:i/>
              </w:rPr>
              <w:t>äga</w:t>
            </w:r>
            <w:r w:rsidRPr="00CD43D5">
              <w:t xml:space="preserve"> de besluta därom. Beslutanderätt i sådant avseende tillkommer även allmänningsstyrelsen, om regl</w:t>
            </w:r>
            <w:r w:rsidRPr="00CD43D5">
              <w:t>e</w:t>
            </w:r>
            <w:r w:rsidRPr="00CD43D5">
              <w:t>mentet medgiver det.</w:t>
            </w:r>
          </w:p>
        </w:tc>
        <w:tc>
          <w:tcPr>
            <w:tcW w:w="3118" w:type="dxa"/>
          </w:tcPr>
          <w:p w:rsidR="00441AFC" w:rsidRPr="00CD43D5" w:rsidRDefault="00441AFC">
            <w:pPr>
              <w:pStyle w:val="Normaltindrag"/>
            </w:pPr>
            <w:r w:rsidRPr="00CD43D5">
              <w:rPr>
                <w:i/>
              </w:rPr>
              <w:t>Om</w:t>
            </w:r>
            <w:r w:rsidRPr="00CD43D5">
              <w:t xml:space="preserve"> delägarna </w:t>
            </w:r>
            <w:r w:rsidRPr="00CD43D5">
              <w:rPr>
                <w:i/>
              </w:rPr>
              <w:t>vill</w:t>
            </w:r>
            <w:r w:rsidRPr="00CD43D5">
              <w:t xml:space="preserve"> </w:t>
            </w:r>
            <w:r w:rsidRPr="00CD43D5">
              <w:rPr>
                <w:i/>
              </w:rPr>
              <w:t>förvärva</w:t>
            </w:r>
            <w:r w:rsidRPr="00CD43D5">
              <w:t xml:space="preserve"> mark för allmänningsskogs utvidgning </w:t>
            </w:r>
            <w:r w:rsidRPr="00CD43D5">
              <w:rPr>
                <w:i/>
              </w:rPr>
              <w:t>eller för annat för allmänningen angeläget ändamål</w:t>
            </w:r>
            <w:r w:rsidRPr="00CD43D5">
              <w:t xml:space="preserve">, </w:t>
            </w:r>
            <w:r w:rsidRPr="00CD43D5">
              <w:rPr>
                <w:i/>
              </w:rPr>
              <w:t>får</w:t>
            </w:r>
            <w:r w:rsidRPr="00CD43D5">
              <w:t xml:space="preserve"> de besluta därom. Beslutanderätt i sådant avseende tillkommer även allmä</w:t>
            </w:r>
            <w:r w:rsidRPr="00CD43D5">
              <w:t>n</w:t>
            </w:r>
            <w:r w:rsidRPr="00CD43D5">
              <w:t>ningsstyrelsen, om reglementet medgiver det.</w:t>
            </w:r>
          </w:p>
        </w:tc>
      </w:tr>
    </w:tbl>
    <w:p w:rsidR="00441AFC" w:rsidRPr="00CD43D5" w:rsidRDefault="00441AFC">
      <w:pPr>
        <w:pStyle w:val="Normaltindrag"/>
      </w:pPr>
    </w:p>
    <w:p w:rsidR="00441AFC" w:rsidRPr="00CD43D5" w:rsidRDefault="00441AFC">
      <w:pPr>
        <w:jc w:val="center"/>
      </w:pPr>
      <w:r w:rsidRPr="00CD43D5">
        <w:t>21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Kapitalinkomst skall användas eller fonderas för verkställande av grundförbättringar å allmänning</w:t>
            </w:r>
            <w:r w:rsidRPr="00CD43D5">
              <w:t>s</w:t>
            </w:r>
            <w:r w:rsidRPr="00CD43D5">
              <w:t>skogen eller för inköp av mark för skogens utvidgning eller för annat dylikt</w:t>
            </w:r>
            <w:r w:rsidRPr="00CD43D5">
              <w:rPr>
                <w:i/>
              </w:rPr>
              <w:t xml:space="preserve"> </w:t>
            </w:r>
            <w:r w:rsidRPr="00CD43D5">
              <w:t>ändamål. Det tillkommer länsstyrelsen att på</w:t>
            </w:r>
            <w:r w:rsidRPr="00CD43D5">
              <w:rPr>
                <w:i/>
              </w:rPr>
              <w:t xml:space="preserve"> </w:t>
            </w:r>
            <w:r w:rsidRPr="00CD43D5">
              <w:t>framställning av allmänningsstyrelsen meddela nä</w:t>
            </w:r>
            <w:r w:rsidRPr="00CD43D5">
              <w:t>r</w:t>
            </w:r>
            <w:r w:rsidRPr="00CD43D5">
              <w:t xml:space="preserve">mare föreskrifter </w:t>
            </w:r>
            <w:r w:rsidRPr="00CD43D5">
              <w:rPr>
                <w:i/>
              </w:rPr>
              <w:t>i detta hänseende.</w:t>
            </w:r>
            <w:r w:rsidRPr="00CD43D5">
              <w:t xml:space="preserve"> </w:t>
            </w:r>
          </w:p>
          <w:p w:rsidR="00441AFC" w:rsidRPr="00CD43D5" w:rsidRDefault="00441AFC">
            <w:pPr>
              <w:pStyle w:val="Normaltindrag"/>
            </w:pPr>
            <w:r w:rsidRPr="00CD43D5">
              <w:rPr>
                <w:i/>
              </w:rPr>
              <w:t>Har</w:t>
            </w:r>
            <w:r w:rsidRPr="00CD43D5">
              <w:t xml:space="preserve"> mark som förvärvats för k</w:t>
            </w:r>
            <w:r w:rsidRPr="00CD43D5">
              <w:t>a</w:t>
            </w:r>
            <w:r w:rsidRPr="00CD43D5">
              <w:t xml:space="preserve">pitalinkomst </w:t>
            </w:r>
            <w:r w:rsidRPr="00CD43D5">
              <w:rPr>
                <w:i/>
              </w:rPr>
              <w:t>ej lagligen</w:t>
            </w:r>
            <w:r w:rsidRPr="00CD43D5">
              <w:t xml:space="preserve"> </w:t>
            </w:r>
            <w:r w:rsidRPr="00CD43D5">
              <w:rPr>
                <w:i/>
              </w:rPr>
              <w:t xml:space="preserve">införlivats med allmänningsskogen, </w:t>
            </w:r>
            <w:r w:rsidRPr="00CD43D5">
              <w:t xml:space="preserve">skall, </w:t>
            </w:r>
            <w:r w:rsidRPr="00CD43D5">
              <w:rPr>
                <w:i/>
              </w:rPr>
              <w:t>där marken försäljes</w:t>
            </w:r>
            <w:r w:rsidRPr="00CD43D5">
              <w:t>, köpeskillingen anses utgöra kapitalinkomst.</w:t>
            </w:r>
          </w:p>
          <w:p w:rsidR="00441AFC" w:rsidRPr="00CD43D5" w:rsidRDefault="00441AFC">
            <w:pPr>
              <w:pStyle w:val="Normaltindrag"/>
            </w:pPr>
            <w:r w:rsidRPr="00CD43D5">
              <w:t xml:space="preserve">I fråga om ränta </w:t>
            </w:r>
            <w:r w:rsidRPr="00CD43D5">
              <w:rPr>
                <w:i/>
              </w:rPr>
              <w:t>å</w:t>
            </w:r>
            <w:r w:rsidRPr="00CD43D5">
              <w:t xml:space="preserve"> kapitalinkomst och om avkastning av mark som avses i andra stycket skall </w:t>
            </w:r>
            <w:r w:rsidRPr="00CD43D5">
              <w:rPr>
                <w:i/>
              </w:rPr>
              <w:t>vad</w:t>
            </w:r>
            <w:r w:rsidRPr="00CD43D5">
              <w:t xml:space="preserve"> i 18–20 §§ </w:t>
            </w:r>
            <w:r w:rsidRPr="00CD43D5">
              <w:rPr>
                <w:i/>
              </w:rPr>
              <w:t>är stadgat</w:t>
            </w:r>
            <w:r w:rsidRPr="00CD43D5">
              <w:t xml:space="preserve"> </w:t>
            </w:r>
            <w:r w:rsidRPr="00CD43D5">
              <w:rPr>
                <w:i/>
              </w:rPr>
              <w:t>äga motsvarande tillämpning</w:t>
            </w:r>
            <w:r w:rsidRPr="00CD43D5">
              <w:t>.</w:t>
            </w:r>
          </w:p>
        </w:tc>
        <w:tc>
          <w:tcPr>
            <w:tcW w:w="3118" w:type="dxa"/>
          </w:tcPr>
          <w:p w:rsidR="00441AFC" w:rsidRPr="00CD43D5" w:rsidRDefault="00441AFC">
            <w:pPr>
              <w:pStyle w:val="Normaltindrag"/>
            </w:pPr>
            <w:r w:rsidRPr="00CD43D5">
              <w:t>Kapitalinkomst skall användas eller fonderas för verkställande av grundförbättringar å allmänning</w:t>
            </w:r>
            <w:r w:rsidRPr="00CD43D5">
              <w:t>s</w:t>
            </w:r>
            <w:r w:rsidRPr="00CD43D5">
              <w:t>skogen eller för inköp av mark för skogens utvidgning eller för annat dylikt ändamål. Det tillkommer länsstyrelsen att på framställning av allmänningsstyrelsen meddela nä</w:t>
            </w:r>
            <w:r w:rsidRPr="00CD43D5">
              <w:t>r</w:t>
            </w:r>
            <w:r w:rsidRPr="00CD43D5">
              <w:t xml:space="preserve">mare föreskrifter </w:t>
            </w:r>
            <w:r w:rsidRPr="00CD43D5">
              <w:rPr>
                <w:i/>
              </w:rPr>
              <w:t>om detta</w:t>
            </w:r>
            <w:r w:rsidRPr="00CD43D5">
              <w:t>.</w:t>
            </w:r>
          </w:p>
          <w:p w:rsidR="00441AFC" w:rsidRPr="00CD43D5" w:rsidRDefault="00441AFC">
            <w:pPr>
              <w:pStyle w:val="Normaltindrag"/>
            </w:pPr>
            <w:r w:rsidRPr="00CD43D5">
              <w:rPr>
                <w:i/>
              </w:rPr>
              <w:t>Om</w:t>
            </w:r>
            <w:r w:rsidRPr="00CD43D5">
              <w:t xml:space="preserve"> mark som förvärvats för k</w:t>
            </w:r>
            <w:r w:rsidRPr="00CD43D5">
              <w:t>a</w:t>
            </w:r>
            <w:r w:rsidRPr="00CD43D5">
              <w:t xml:space="preserve">pitalinkomst </w:t>
            </w:r>
            <w:r w:rsidRPr="00CD43D5">
              <w:rPr>
                <w:i/>
              </w:rPr>
              <w:t>säljs,</w:t>
            </w:r>
            <w:r w:rsidRPr="00CD43D5">
              <w:t xml:space="preserve"> skall köpeski</w:t>
            </w:r>
            <w:r w:rsidRPr="00CD43D5">
              <w:t>l</w:t>
            </w:r>
            <w:r w:rsidRPr="00CD43D5">
              <w:t xml:space="preserve">lingen anses utgöra kapitalinkomst. </w:t>
            </w:r>
          </w:p>
          <w:p w:rsidR="00441AFC" w:rsidRPr="00CD43D5" w:rsidRDefault="00441AFC">
            <w:pPr>
              <w:pStyle w:val="Normaltindrag"/>
            </w:pPr>
            <w:r w:rsidRPr="00CD43D5">
              <w:t xml:space="preserve">I fråga om ränta </w:t>
            </w:r>
            <w:r w:rsidRPr="00CD43D5">
              <w:rPr>
                <w:i/>
              </w:rPr>
              <w:t>på</w:t>
            </w:r>
            <w:r w:rsidRPr="00CD43D5">
              <w:t xml:space="preserve"> kapitali</w:t>
            </w:r>
            <w:r w:rsidRPr="00CD43D5">
              <w:t>n</w:t>
            </w:r>
            <w:r w:rsidRPr="00CD43D5">
              <w:t xml:space="preserve">komst och om avkastning av mark som avses i andra stycket skall </w:t>
            </w:r>
            <w:r w:rsidRPr="00CD43D5">
              <w:rPr>
                <w:i/>
              </w:rPr>
              <w:t>bestämmelserna</w:t>
            </w:r>
            <w:r w:rsidRPr="00CD43D5">
              <w:t xml:space="preserve"> i 18–20 §§ </w:t>
            </w:r>
            <w:r w:rsidRPr="00CD43D5">
              <w:rPr>
                <w:i/>
              </w:rPr>
              <w:t>tillä</w:t>
            </w:r>
            <w:r w:rsidRPr="00CD43D5">
              <w:rPr>
                <w:i/>
              </w:rPr>
              <w:t>m</w:t>
            </w:r>
            <w:r w:rsidRPr="00CD43D5">
              <w:rPr>
                <w:i/>
              </w:rPr>
              <w:t>pas.</w:t>
            </w: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1. Denna lag träder i kraft den 1 juli 2000.</w:t>
      </w:r>
    </w:p>
    <w:p w:rsidR="00441AFC" w:rsidRPr="00CD43D5" w:rsidRDefault="00441AFC">
      <w:pPr>
        <w:pStyle w:val="Normaltindrag"/>
      </w:pPr>
      <w:r w:rsidRPr="00CD43D5">
        <w:t>2. Bestämmelserna i 13 och 14 §§ skall dock fortfarande tillämpas i fråga om mark som införlivats med allmänningsskog genom förordnande som har meddelats före lagens ikraftträdande.</w:t>
      </w:r>
    </w:p>
    <w:p w:rsidR="00441AFC" w:rsidRPr="00CD43D5" w:rsidRDefault="00441AFC">
      <w:pPr>
        <w:pStyle w:val="Normaltindrag"/>
      </w:pPr>
    </w:p>
    <w:p w:rsidR="00441AFC" w:rsidRPr="00CD43D5" w:rsidRDefault="00441AFC">
      <w:pPr>
        <w:pStyle w:val="Rubrik2"/>
      </w:pPr>
      <w:r w:rsidRPr="00CD43D5">
        <w:br w:type="page"/>
      </w:r>
      <w:bookmarkStart w:id="84" w:name="_Toc412971131"/>
      <w:bookmarkStart w:id="85" w:name="_Toc414097183"/>
      <w:bookmarkStart w:id="86" w:name="_Toc419259854"/>
      <w:bookmarkStart w:id="87" w:name="_Toc465144158"/>
      <w:bookmarkStart w:id="88" w:name="_Toc465577135"/>
      <w:bookmarkStart w:id="89" w:name="_Toc469212233"/>
      <w:bookmarkStart w:id="90" w:name="_Toc479046916"/>
      <w:r w:rsidRPr="00CD43D5">
        <w:t>10. Förslag till lag om ändring i förköpslagen (1967:868)</w:t>
      </w:r>
      <w:bookmarkEnd w:id="86"/>
      <w:bookmarkEnd w:id="87"/>
      <w:bookmarkEnd w:id="88"/>
      <w:bookmarkEnd w:id="89"/>
      <w:bookmarkEnd w:id="90"/>
    </w:p>
    <w:p w:rsidR="00441AFC" w:rsidRPr="00CD43D5" w:rsidRDefault="00441AFC">
      <w:pPr>
        <w:pStyle w:val="Normaltindrag"/>
      </w:pPr>
    </w:p>
    <w:p w:rsidR="00441AFC" w:rsidRPr="00CD43D5" w:rsidRDefault="00441AFC">
      <w:pPr>
        <w:pStyle w:val="Normaltindrag"/>
      </w:pPr>
      <w:r w:rsidRPr="00CD43D5">
        <w:t>Härigenom föreskrivs i fråga om förköpslagen (1967:868)</w:t>
      </w:r>
      <w:r w:rsidRPr="00CD43D5">
        <w:rPr>
          <w:rStyle w:val="Fotnotsreferens"/>
        </w:rPr>
        <w:footnoteReference w:customMarkFollows="1" w:id="12"/>
        <w:t>1</w:t>
      </w:r>
      <w:r w:rsidRPr="00CD43D5">
        <w:t xml:space="preserve"> </w:t>
      </w:r>
    </w:p>
    <w:p w:rsidR="00441AFC" w:rsidRPr="00CD43D5" w:rsidRDefault="00441AFC">
      <w:pPr>
        <w:pStyle w:val="Normaltindrag"/>
      </w:pPr>
      <w:r w:rsidRPr="00CD43D5">
        <w:rPr>
          <w:i/>
        </w:rPr>
        <w:t>dels</w:t>
      </w:r>
      <w:r w:rsidRPr="00CD43D5">
        <w:t xml:space="preserve"> att i 7 § ordet ”fastighetsboken” skall bytas ut mot ”fastighetsregistrets inskrivningsdel”,</w:t>
      </w:r>
    </w:p>
    <w:p w:rsidR="00441AFC" w:rsidRPr="00CD43D5" w:rsidRDefault="00441AFC">
      <w:pPr>
        <w:pStyle w:val="Normaltindrag"/>
      </w:pPr>
      <w:r w:rsidRPr="00CD43D5">
        <w:rPr>
          <w:i/>
        </w:rPr>
        <w:t>dels</w:t>
      </w:r>
      <w:r w:rsidRPr="00CD43D5">
        <w:t xml:space="preserve"> att 9 §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r w:rsidRPr="00CD43D5">
        <w:t>9 §</w:t>
      </w:r>
      <w:r w:rsidRPr="00CD43D5">
        <w:rPr>
          <w:rStyle w:val="Fotnotsreferens"/>
        </w:rPr>
        <w:footnoteReference w:customMarkFollows="1" w:id="13"/>
        <w:t>2</w:t>
      </w:r>
      <w:r w:rsidRPr="00CD43D5">
        <w:t xml:space="preserve"> </w:t>
      </w:r>
    </w:p>
    <w:p w:rsidR="00441AFC" w:rsidRPr="00CD43D5" w:rsidRDefault="00441AFC">
      <w:pPr>
        <w:pStyle w:val="Normaltindrag"/>
      </w:pPr>
      <w:r w:rsidRPr="00CD43D5">
        <w:t xml:space="preserve">Kommun som utövat förköpsrätt är skyldig att söka tillstånd till förköpet, om säljaren eller köparen bestrider förköpsrätten på sätt och inom tid som anges i andra stycket. Frågan om tillstånd till förköp prövas av regeringen. Tillstånd skall vägras, om </w:t>
      </w:r>
    </w:p>
    <w:p w:rsidR="00441AFC" w:rsidRPr="00CD43D5" w:rsidRDefault="00441AFC">
      <w:pPr>
        <w:pStyle w:val="Normaltindrag"/>
      </w:pPr>
      <w:r w:rsidRPr="00CD43D5">
        <w:t xml:space="preserve">1. egendom som avses i 1 § ej ingår i försäljningen eller ingår däri men ej är belägen inom kommunens eget område, </w:t>
      </w:r>
    </w:p>
    <w:p w:rsidR="00441AFC" w:rsidRPr="00CD43D5" w:rsidRDefault="00441AFC">
      <w:pPr>
        <w:pStyle w:val="Normaltindrag"/>
      </w:pPr>
      <w:r w:rsidRPr="00CD43D5">
        <w:t xml:space="preserve">2. förköpsrätten har utövats enligt 1 § första stycket 1–4 samt försäljningen endast avser egendom som anges i 3 § första stycket 1, </w:t>
      </w:r>
    </w:p>
    <w:p w:rsidR="00441AFC" w:rsidRPr="00CD43D5" w:rsidRDefault="00441AFC">
      <w:pPr>
        <w:pStyle w:val="Normaltindrag"/>
      </w:pPr>
      <w:r w:rsidRPr="00CD43D5">
        <w:t xml:space="preserve">3. förköpsrätten har utövats enligt 1 § första stycket 5 samt förvärvaren gör sannolikt att egendomen kommer att användas som permanentbostad, </w:t>
      </w:r>
    </w:p>
    <w:p w:rsidR="00441AFC" w:rsidRPr="00CD43D5" w:rsidRDefault="00441AFC">
      <w:pPr>
        <w:pStyle w:val="Normaltindrag"/>
      </w:pPr>
      <w:r w:rsidRPr="00CD43D5">
        <w:t>4. det är oskäligt att förköp sker med hänsyn till förhållandet mellan säljare och köpare eller villkoren för eller omständigheterna vid försäljningen.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Bestridande enligt första stycket </w:t>
            </w:r>
            <w:r w:rsidRPr="00CD43D5">
              <w:rPr>
                <w:i/>
              </w:rPr>
              <w:t xml:space="preserve">anmäles hos </w:t>
            </w:r>
            <w:r w:rsidRPr="00CD43D5">
              <w:t>inskrivningsmyndi</w:t>
            </w:r>
            <w:r w:rsidRPr="00CD43D5">
              <w:t>g</w:t>
            </w:r>
            <w:r w:rsidRPr="00CD43D5">
              <w:t xml:space="preserve">heten för anteckning i </w:t>
            </w:r>
            <w:r w:rsidRPr="00CD43D5">
              <w:rPr>
                <w:i/>
              </w:rPr>
              <w:t>fastighetsb</w:t>
            </w:r>
            <w:r w:rsidRPr="00CD43D5">
              <w:rPr>
                <w:i/>
              </w:rPr>
              <w:t>o</w:t>
            </w:r>
            <w:r w:rsidRPr="00CD43D5">
              <w:rPr>
                <w:i/>
              </w:rPr>
              <w:t>ken</w:t>
            </w:r>
            <w:r w:rsidRPr="00CD43D5">
              <w:t xml:space="preserve"> </w:t>
            </w:r>
            <w:r w:rsidRPr="00CD43D5">
              <w:rPr>
                <w:i/>
              </w:rPr>
              <w:t>sist</w:t>
            </w:r>
            <w:r w:rsidRPr="00CD43D5">
              <w:t xml:space="preserve"> på den inskrivningsdag </w:t>
            </w:r>
            <w:r w:rsidRPr="00CD43D5">
              <w:rPr>
                <w:i/>
              </w:rPr>
              <w:t>som infaller närmast efter en månad från det förköpsrätten utövades</w:t>
            </w:r>
            <w:r w:rsidRPr="00CD43D5">
              <w:t xml:space="preserve">. Inskrivningsmyndigheten skall </w:t>
            </w:r>
            <w:r w:rsidRPr="00CD43D5">
              <w:rPr>
                <w:i/>
              </w:rPr>
              <w:t>oför-dröjligen</w:t>
            </w:r>
            <w:r w:rsidRPr="00CD43D5">
              <w:t xml:space="preserve"> underrätta kommunen om bestridandet. Kommunens ansökan om tillstånd till förköpet skall ha inkommit till regeringen inom en månad från det bestridandet antec</w:t>
            </w:r>
            <w:r w:rsidRPr="00CD43D5">
              <w:t>k</w:t>
            </w:r>
            <w:r w:rsidRPr="00CD43D5">
              <w:t xml:space="preserve">nades. </w:t>
            </w:r>
            <w:r w:rsidRPr="00CD43D5">
              <w:rPr>
                <w:i/>
              </w:rPr>
              <w:t>Sökes tillstånd ej</w:t>
            </w:r>
            <w:r w:rsidRPr="00CD43D5">
              <w:t xml:space="preserve"> i rätt tid, är förköpet utan verkan.</w:t>
            </w:r>
          </w:p>
        </w:tc>
        <w:tc>
          <w:tcPr>
            <w:tcW w:w="3118" w:type="dxa"/>
          </w:tcPr>
          <w:p w:rsidR="00441AFC" w:rsidRPr="00CD43D5" w:rsidRDefault="00441AFC">
            <w:pPr>
              <w:pStyle w:val="Normaltindrag"/>
            </w:pPr>
            <w:r w:rsidRPr="00CD43D5">
              <w:rPr>
                <w:i/>
              </w:rPr>
              <w:t xml:space="preserve">Ett </w:t>
            </w:r>
            <w:r w:rsidRPr="00CD43D5">
              <w:t xml:space="preserve">bestridande enligt första stycket </w:t>
            </w:r>
            <w:r w:rsidRPr="00CD43D5">
              <w:rPr>
                <w:i/>
              </w:rPr>
              <w:t>skall inom en månad från det att förköpsrätten utövades a</w:t>
            </w:r>
            <w:r w:rsidRPr="00CD43D5">
              <w:rPr>
                <w:i/>
              </w:rPr>
              <w:t>n</w:t>
            </w:r>
            <w:r w:rsidRPr="00CD43D5">
              <w:rPr>
                <w:i/>
              </w:rPr>
              <w:t>mälas</w:t>
            </w:r>
            <w:r w:rsidRPr="00CD43D5">
              <w:t xml:space="preserve"> </w:t>
            </w:r>
            <w:r w:rsidRPr="00CD43D5">
              <w:rPr>
                <w:i/>
              </w:rPr>
              <w:t xml:space="preserve">till </w:t>
            </w:r>
            <w:r w:rsidRPr="00CD43D5">
              <w:t xml:space="preserve">inskrivningsmyndigheten för anteckning i </w:t>
            </w:r>
            <w:r w:rsidRPr="00CD43D5">
              <w:rPr>
                <w:i/>
              </w:rPr>
              <w:t xml:space="preserve">fastighetsregistrets inskrivningsdel. </w:t>
            </w:r>
            <w:r w:rsidRPr="00CD43D5">
              <w:t>Inskrivningsmy</w:t>
            </w:r>
            <w:r w:rsidRPr="00CD43D5">
              <w:t>n</w:t>
            </w:r>
            <w:r w:rsidRPr="00CD43D5">
              <w:t>digheten skall</w:t>
            </w:r>
            <w:r w:rsidRPr="00CD43D5">
              <w:rPr>
                <w:i/>
              </w:rPr>
              <w:t xml:space="preserve"> genast</w:t>
            </w:r>
            <w:r w:rsidRPr="00CD43D5">
              <w:t xml:space="preserve"> underrätta kommunen om bestridandet. Ko</w:t>
            </w:r>
            <w:r w:rsidRPr="00CD43D5">
              <w:t>m</w:t>
            </w:r>
            <w:r w:rsidRPr="00CD43D5">
              <w:t>munens ansökan om tillstånd till förköpet skall ha inkommit till regeringen inom en månad från det</w:t>
            </w:r>
            <w:r w:rsidRPr="00CD43D5">
              <w:rPr>
                <w:i/>
              </w:rPr>
              <w:t xml:space="preserve"> att</w:t>
            </w:r>
            <w:r w:rsidRPr="00CD43D5">
              <w:t xml:space="preserve"> bestridandet antecknades. </w:t>
            </w:r>
            <w:r w:rsidRPr="00CD43D5">
              <w:rPr>
                <w:i/>
              </w:rPr>
              <w:t xml:space="preserve">Om tillstånd inte söks </w:t>
            </w:r>
            <w:r w:rsidRPr="00CD43D5">
              <w:t>i rätt tid, är förk</w:t>
            </w:r>
            <w:r w:rsidRPr="00CD43D5">
              <w:t>ö</w:t>
            </w:r>
            <w:r w:rsidRPr="00CD43D5">
              <w:t>pet utan verkan.</w:t>
            </w:r>
          </w:p>
        </w:tc>
      </w:tr>
    </w:tbl>
    <w:p w:rsidR="00441AFC" w:rsidRPr="00CD43D5" w:rsidRDefault="00441AFC">
      <w:pPr>
        <w:pStyle w:val="Normaltindrag"/>
      </w:pPr>
      <w:r w:rsidRPr="00CD43D5">
        <w:t>När en kommun utövar förköpsrätt i fråga om egendom i annan kommun, äger den kommun där egendomen är belägen påkalla att regeringen prövar frågan om tillstånd till förköpet. Ansökan om sådan prövning skall ha i</w:t>
      </w:r>
      <w:r w:rsidRPr="00CD43D5">
        <w:t>n</w:t>
      </w:r>
      <w:r w:rsidRPr="00CD43D5">
        <w:t>kommit till regeringen inom en månad från det förköpsrätten utövades. Til</w:t>
      </w:r>
      <w:r w:rsidRPr="00CD43D5">
        <w:t>l</w:t>
      </w:r>
      <w:r w:rsidRPr="00CD43D5">
        <w:t>stånd till förköpet skall vägras, om förköpsrätt ej får utövas enligt 2 §.</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ind w:firstLine="0"/>
      </w:pPr>
      <w:r w:rsidRPr="00CD43D5">
        <w:t>Denna lag träder i kraft den 1 juli 2000.</w:t>
      </w:r>
    </w:p>
    <w:p w:rsidR="00441AFC" w:rsidRPr="00CD43D5" w:rsidRDefault="00441AFC">
      <w:pPr>
        <w:pStyle w:val="Rubrik2"/>
      </w:pPr>
      <w:r w:rsidRPr="00CD43D5">
        <w:br w:type="page"/>
      </w:r>
      <w:bookmarkStart w:id="91" w:name="_Toc465144159"/>
      <w:bookmarkStart w:id="92" w:name="_Toc465577136"/>
      <w:bookmarkStart w:id="93" w:name="_Toc469212234"/>
      <w:bookmarkStart w:id="94" w:name="_Toc479046917"/>
      <w:r w:rsidRPr="00CD43D5">
        <w:t>11. Förslag till lag om ändring i fastighetsbildningslagen (1970:988)</w:t>
      </w:r>
      <w:bookmarkEnd w:id="84"/>
      <w:bookmarkEnd w:id="85"/>
      <w:bookmarkEnd w:id="91"/>
      <w:bookmarkEnd w:id="92"/>
      <w:bookmarkEnd w:id="93"/>
      <w:bookmarkEnd w:id="94"/>
    </w:p>
    <w:p w:rsidR="00441AFC" w:rsidRPr="00CD43D5" w:rsidRDefault="00441AFC">
      <w:pPr>
        <w:pStyle w:val="Normaltindrag"/>
      </w:pPr>
    </w:p>
    <w:p w:rsidR="00441AFC" w:rsidRPr="00CD43D5" w:rsidRDefault="00441AFC">
      <w:pPr>
        <w:pStyle w:val="Normaltindrag"/>
      </w:pPr>
      <w:r w:rsidRPr="00CD43D5">
        <w:t>Härigenom föreskrivs i fråga om fastighetsbildningslagen (1970:988)</w:t>
      </w:r>
      <w:r w:rsidRPr="00CD43D5">
        <w:rPr>
          <w:rStyle w:val="Fotnotsreferens"/>
        </w:rPr>
        <w:footnoteReference w:customMarkFollows="1" w:id="14"/>
        <w:t>1</w:t>
      </w:r>
    </w:p>
    <w:p w:rsidR="00441AFC" w:rsidRPr="00CD43D5" w:rsidRDefault="00441AFC">
      <w:pPr>
        <w:pStyle w:val="Normaltindrag"/>
      </w:pPr>
      <w:r w:rsidRPr="00CD43D5">
        <w:rPr>
          <w:i/>
        </w:rPr>
        <w:t>dels</w:t>
      </w:r>
      <w:r w:rsidRPr="00CD43D5">
        <w:t xml:space="preserve"> att i 5 kap. 18 och 33 a §§, 8 kap. 7 § samt 12 kap. 10 § ordet ”fastig-hetsboken” skall bytas ut mot ”fastighetsregistrets inskrivningsdel”,</w:t>
      </w:r>
    </w:p>
    <w:p w:rsidR="00441AFC" w:rsidRPr="00CD43D5" w:rsidRDefault="00441AFC">
      <w:pPr>
        <w:pStyle w:val="Normaltindrag"/>
      </w:pPr>
      <w:r w:rsidRPr="00CD43D5">
        <w:rPr>
          <w:i/>
        </w:rPr>
        <w:t>dels</w:t>
      </w:r>
      <w:r w:rsidRPr="00CD43D5">
        <w:t xml:space="preserve"> att 1 kap. 2 § och 19 kap. samt rubriken närmast före 19 kap. skall ha följande lydelse. </w:t>
      </w:r>
    </w:p>
    <w:p w:rsidR="00441AFC" w:rsidRPr="00CD43D5" w:rsidRDefault="00441AFC">
      <w:pPr>
        <w:pStyle w:val="Normaltindrag"/>
        <w:spacing w:line="200" w:lineRule="exact"/>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rPr>
          <w:b/>
        </w:rPr>
      </w:pPr>
      <w:r w:rsidRPr="00CD43D5">
        <w:rPr>
          <w:b/>
        </w:rPr>
        <w:t>1 kap.</w:t>
      </w:r>
    </w:p>
    <w:p w:rsidR="00441AFC" w:rsidRPr="00CD43D5" w:rsidRDefault="00441AFC">
      <w:pPr>
        <w:spacing w:before="0"/>
        <w:jc w:val="center"/>
      </w:pPr>
      <w:r w:rsidRPr="00CD43D5">
        <w:t>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Över fastigheterna</w:t>
            </w:r>
            <w:r w:rsidRPr="00CD43D5">
              <w:t xml:space="preserve"> </w:t>
            </w:r>
            <w:r w:rsidRPr="00CD43D5">
              <w:rPr>
                <w:i/>
              </w:rPr>
              <w:t>föres fasti</w:t>
            </w:r>
            <w:r w:rsidRPr="00CD43D5">
              <w:rPr>
                <w:i/>
              </w:rPr>
              <w:t>g</w:t>
            </w:r>
            <w:r w:rsidRPr="00CD43D5">
              <w:rPr>
                <w:i/>
              </w:rPr>
              <w:t>hetsregister.</w:t>
            </w: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r w:rsidRPr="00CD43D5">
              <w:t>Fastighetsbildning och fastighet</w:t>
            </w:r>
            <w:r w:rsidRPr="00CD43D5">
              <w:t>s</w:t>
            </w:r>
            <w:r w:rsidRPr="00CD43D5">
              <w:t xml:space="preserve">bestämning är fullbordade, när uppgift om åtgärden införts i </w:t>
            </w:r>
            <w:r w:rsidRPr="00CD43D5">
              <w:rPr>
                <w:i/>
              </w:rPr>
              <w:t>fasti</w:t>
            </w:r>
            <w:r w:rsidRPr="00CD43D5">
              <w:rPr>
                <w:i/>
              </w:rPr>
              <w:t>g</w:t>
            </w:r>
            <w:r w:rsidRPr="00CD43D5">
              <w:rPr>
                <w:i/>
              </w:rPr>
              <w:t>hetsregistret.</w:t>
            </w:r>
          </w:p>
        </w:tc>
        <w:tc>
          <w:tcPr>
            <w:tcW w:w="3118" w:type="dxa"/>
          </w:tcPr>
          <w:p w:rsidR="00441AFC" w:rsidRPr="00CD43D5" w:rsidRDefault="00441AFC">
            <w:pPr>
              <w:pStyle w:val="Normaltindrag"/>
            </w:pPr>
            <w:r w:rsidRPr="00CD43D5">
              <w:rPr>
                <w:i/>
              </w:rPr>
              <w:t>Fastigheterna skall redovisas i fastighetsregistrets allmänna del. Bestämmelser om fastighetsregistret finns i lagen (2000:000) om fasti</w:t>
            </w:r>
            <w:r w:rsidRPr="00CD43D5">
              <w:rPr>
                <w:i/>
              </w:rPr>
              <w:t>g</w:t>
            </w:r>
            <w:r w:rsidRPr="00CD43D5">
              <w:rPr>
                <w:i/>
              </w:rPr>
              <w:t>hetsregister.</w:t>
            </w:r>
          </w:p>
          <w:p w:rsidR="00441AFC" w:rsidRPr="00CD43D5" w:rsidRDefault="00441AFC">
            <w:pPr>
              <w:pStyle w:val="Normaltindrag"/>
            </w:pPr>
            <w:r w:rsidRPr="00CD43D5">
              <w:t>Fastighetsbildning och fastighet</w:t>
            </w:r>
            <w:r w:rsidRPr="00CD43D5">
              <w:t>s</w:t>
            </w:r>
            <w:r w:rsidRPr="00CD43D5">
              <w:t xml:space="preserve">bestämning är fullbordade, när uppgift om åtgärden </w:t>
            </w:r>
            <w:r w:rsidRPr="00CD43D5">
              <w:rPr>
                <w:i/>
              </w:rPr>
              <w:t>har</w:t>
            </w:r>
            <w:r w:rsidRPr="00CD43D5">
              <w:t xml:space="preserve"> införts i </w:t>
            </w:r>
            <w:r w:rsidRPr="00CD43D5">
              <w:rPr>
                <w:i/>
              </w:rPr>
              <w:t>fastighetsregistrets allmänna del.</w:t>
            </w:r>
          </w:p>
        </w:tc>
      </w:tr>
    </w:tbl>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b/>
                <w:i/>
              </w:rPr>
              <w:t>Fastighetsregister</w:t>
            </w:r>
          </w:p>
        </w:tc>
        <w:tc>
          <w:tcPr>
            <w:tcW w:w="3118" w:type="dxa"/>
          </w:tcPr>
          <w:p w:rsidR="00441AFC" w:rsidRPr="00CD43D5" w:rsidRDefault="00441AFC">
            <w:r w:rsidRPr="00CD43D5">
              <w:rPr>
                <w:b/>
                <w:i/>
              </w:rPr>
              <w:t>Fastighetsregistrets allmänna del</w:t>
            </w:r>
          </w:p>
        </w:tc>
      </w:tr>
    </w:tbl>
    <w:p w:rsidR="00441AFC" w:rsidRPr="00CD43D5" w:rsidRDefault="00441AFC">
      <w:pPr>
        <w:pStyle w:val="Normaltindrag"/>
        <w:spacing w:line="200" w:lineRule="exact"/>
      </w:pPr>
    </w:p>
    <w:p w:rsidR="00441AFC" w:rsidRPr="00CD43D5" w:rsidRDefault="00441AFC">
      <w:pPr>
        <w:spacing w:before="0"/>
        <w:jc w:val="center"/>
      </w:pPr>
      <w:r w:rsidRPr="00CD43D5">
        <w:rPr>
          <w:b/>
        </w:rPr>
        <w:t>19 kap.</w:t>
      </w:r>
    </w:p>
    <w:p w:rsidR="00441AFC" w:rsidRPr="00CD43D5" w:rsidRDefault="00441AFC">
      <w:pPr>
        <w:spacing w:before="0"/>
        <w:jc w:val="center"/>
      </w:pPr>
      <w:r w:rsidRPr="00CD43D5">
        <w:t>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I </w:t>
            </w:r>
            <w:r w:rsidRPr="00CD43D5">
              <w:rPr>
                <w:i/>
              </w:rPr>
              <w:t>fastighetsregistret</w:t>
            </w:r>
            <w:r w:rsidRPr="00CD43D5">
              <w:t xml:space="preserve"> redovisas s</w:t>
            </w:r>
            <w:r w:rsidRPr="00CD43D5">
              <w:t>å</w:t>
            </w:r>
            <w:r w:rsidRPr="00CD43D5">
              <w:t>som fastighet</w:t>
            </w:r>
          </w:p>
          <w:p w:rsidR="00441AFC" w:rsidRPr="00CD43D5" w:rsidRDefault="00441AFC">
            <w:pPr>
              <w:pStyle w:val="Normaltindrag"/>
            </w:pPr>
            <w:r w:rsidRPr="00CD43D5">
              <w:t xml:space="preserve">1. enhet som </w:t>
            </w:r>
            <w:r w:rsidRPr="00CD43D5">
              <w:rPr>
                <w:i/>
              </w:rPr>
              <w:t xml:space="preserve">är </w:t>
            </w:r>
            <w:r w:rsidRPr="00CD43D5">
              <w:t xml:space="preserve">redovisad såsom fastighet i fastighetsregister </w:t>
            </w:r>
            <w:r w:rsidRPr="00CD43D5">
              <w:rPr>
                <w:i/>
              </w:rPr>
              <w:t>när denna lag träder i kraft,</w:t>
            </w:r>
          </w:p>
        </w:tc>
        <w:tc>
          <w:tcPr>
            <w:tcW w:w="3118" w:type="dxa"/>
          </w:tcPr>
          <w:p w:rsidR="00441AFC" w:rsidRPr="00CD43D5" w:rsidRDefault="00441AFC">
            <w:pPr>
              <w:pStyle w:val="Normaltindrag"/>
            </w:pPr>
            <w:r w:rsidRPr="00CD43D5">
              <w:t xml:space="preserve">I </w:t>
            </w:r>
            <w:r w:rsidRPr="00CD43D5">
              <w:rPr>
                <w:i/>
              </w:rPr>
              <w:t>fastighetsregistrets allmänna del</w:t>
            </w:r>
            <w:r w:rsidRPr="00CD43D5">
              <w:t xml:space="preserve"> redovisas såsom fastighet</w:t>
            </w:r>
          </w:p>
          <w:p w:rsidR="00441AFC" w:rsidRPr="00CD43D5" w:rsidRDefault="00441AFC">
            <w:pPr>
              <w:pStyle w:val="Normaltindrag"/>
            </w:pPr>
            <w:r w:rsidRPr="00CD43D5">
              <w:t xml:space="preserve">1. enhet som </w:t>
            </w:r>
            <w:r w:rsidRPr="00CD43D5">
              <w:rPr>
                <w:i/>
              </w:rPr>
              <w:t>var</w:t>
            </w:r>
            <w:r w:rsidRPr="00CD43D5">
              <w:t xml:space="preserve"> redovisad såsom fastighet i fastighetsregister </w:t>
            </w:r>
            <w:r w:rsidRPr="00CD43D5">
              <w:rPr>
                <w:i/>
              </w:rPr>
              <w:t>den 1 januari 1972,</w:t>
            </w:r>
          </w:p>
        </w:tc>
      </w:tr>
    </w:tbl>
    <w:p w:rsidR="00441AFC" w:rsidRPr="00CD43D5" w:rsidRDefault="00441AFC">
      <w:pPr>
        <w:pStyle w:val="Normaltindrag"/>
      </w:pPr>
      <w:r w:rsidRPr="00CD43D5">
        <w:t>2. fastighet som nybildas enligt denna lag,</w:t>
      </w:r>
    </w:p>
    <w:p w:rsidR="00441AFC" w:rsidRPr="00CD43D5" w:rsidRDefault="00441AFC">
      <w:pPr>
        <w:pStyle w:val="Normaltindrag"/>
      </w:pPr>
      <w:r w:rsidRPr="00CD43D5">
        <w:t>3. enhet som skall registreras såsom fastighet enligt bestämmelse i annan författning.</w:t>
      </w:r>
    </w:p>
    <w:p w:rsidR="00441AFC" w:rsidRPr="00CD43D5" w:rsidRDefault="00441AFC">
      <w:pPr>
        <w:pStyle w:val="Normaltindrag"/>
      </w:pPr>
      <w:r w:rsidRPr="00CD43D5">
        <w:t>Varje fastighet skall ha särskild beteckning.</w:t>
      </w:r>
    </w:p>
    <w:p w:rsidR="00441AFC" w:rsidRPr="00CD43D5" w:rsidRDefault="00441AFC">
      <w:pPr>
        <w:spacing w:before="160"/>
        <w:jc w:val="center"/>
      </w:pPr>
      <w:r w:rsidRPr="00CD43D5">
        <w:t>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Om</w:t>
            </w:r>
            <w:r w:rsidRPr="00CD43D5">
              <w:t xml:space="preserve"> fastighetsbildning och fasti</w:t>
            </w:r>
            <w:r w:rsidRPr="00CD43D5">
              <w:t>g</w:t>
            </w:r>
            <w:r w:rsidRPr="00CD43D5">
              <w:t xml:space="preserve">hetsbestämning </w:t>
            </w:r>
            <w:r w:rsidRPr="00CD43D5">
              <w:rPr>
                <w:i/>
              </w:rPr>
              <w:t>införes uppgift</w:t>
            </w:r>
            <w:r w:rsidRPr="00CD43D5">
              <w:t xml:space="preserve"> i </w:t>
            </w:r>
            <w:r w:rsidRPr="00CD43D5">
              <w:rPr>
                <w:i/>
              </w:rPr>
              <w:t>fastighetsregistret.</w:t>
            </w:r>
            <w:r w:rsidRPr="00CD43D5">
              <w:t xml:space="preserve"> Därvid </w:t>
            </w:r>
            <w:r w:rsidRPr="00CD43D5">
              <w:rPr>
                <w:i/>
              </w:rPr>
              <w:t>registr</w:t>
            </w:r>
            <w:r w:rsidRPr="00CD43D5">
              <w:rPr>
                <w:i/>
              </w:rPr>
              <w:t>e</w:t>
            </w:r>
            <w:r w:rsidRPr="00CD43D5">
              <w:rPr>
                <w:i/>
              </w:rPr>
              <w:t>ras</w:t>
            </w:r>
            <w:r w:rsidRPr="00CD43D5">
              <w:t xml:space="preserve"> nybildad fastighet och </w:t>
            </w:r>
            <w:r w:rsidRPr="00CD43D5">
              <w:rPr>
                <w:i/>
              </w:rPr>
              <w:t>göres</w:t>
            </w:r>
            <w:r w:rsidRPr="00CD43D5">
              <w:t xml:space="preserve"> de övriga ändringar i </w:t>
            </w:r>
            <w:r w:rsidRPr="00CD43D5">
              <w:rPr>
                <w:i/>
              </w:rPr>
              <w:t>fastighetsregis</w:t>
            </w:r>
            <w:r w:rsidRPr="00CD43D5">
              <w:rPr>
                <w:i/>
              </w:rPr>
              <w:t>t</w:t>
            </w:r>
            <w:r w:rsidRPr="00CD43D5">
              <w:rPr>
                <w:i/>
              </w:rPr>
              <w:t xml:space="preserve">ret </w:t>
            </w:r>
            <w:r w:rsidRPr="00CD43D5">
              <w:t>som åtgärden ger anledning till.</w:t>
            </w:r>
          </w:p>
        </w:tc>
        <w:tc>
          <w:tcPr>
            <w:tcW w:w="3118" w:type="dxa"/>
          </w:tcPr>
          <w:p w:rsidR="00441AFC" w:rsidRPr="00CD43D5" w:rsidRDefault="00441AFC">
            <w:pPr>
              <w:pStyle w:val="Normaltindrag"/>
            </w:pPr>
            <w:r w:rsidRPr="00CD43D5">
              <w:rPr>
                <w:i/>
              </w:rPr>
              <w:t>Uppgift om</w:t>
            </w:r>
            <w:r w:rsidRPr="00CD43D5">
              <w:t xml:space="preserve"> fastighetsbildning och fastighetsbestämning skall </w:t>
            </w:r>
            <w:r w:rsidRPr="00CD43D5">
              <w:rPr>
                <w:i/>
              </w:rPr>
              <w:t>föras in</w:t>
            </w:r>
            <w:r w:rsidRPr="00CD43D5">
              <w:t xml:space="preserve"> i </w:t>
            </w:r>
            <w:r w:rsidRPr="00CD43D5">
              <w:rPr>
                <w:i/>
              </w:rPr>
              <w:t>fastighetsregistrets allmänna del.</w:t>
            </w:r>
            <w:r w:rsidRPr="00CD43D5">
              <w:t xml:space="preserve"> Därvid </w:t>
            </w:r>
            <w:r w:rsidRPr="00CD43D5">
              <w:rPr>
                <w:i/>
              </w:rPr>
              <w:t xml:space="preserve">skall uppgift om </w:t>
            </w:r>
            <w:r w:rsidRPr="00CD43D5">
              <w:t xml:space="preserve">nybildad fastighet </w:t>
            </w:r>
            <w:r w:rsidRPr="00CD43D5">
              <w:rPr>
                <w:i/>
              </w:rPr>
              <w:t>föras in i registret</w:t>
            </w:r>
            <w:r w:rsidRPr="00CD43D5">
              <w:t xml:space="preserve"> och de övriga ändringar </w:t>
            </w:r>
            <w:r w:rsidRPr="00CD43D5">
              <w:rPr>
                <w:i/>
              </w:rPr>
              <w:t>göras</w:t>
            </w:r>
            <w:r w:rsidRPr="00CD43D5">
              <w:t xml:space="preserve"> som åtgä</w:t>
            </w:r>
            <w:r w:rsidRPr="00CD43D5">
              <w:t>r</w:t>
            </w:r>
            <w:r w:rsidRPr="00CD43D5">
              <w:t>den ger anledning till.</w:t>
            </w:r>
          </w:p>
        </w:tc>
      </w:tr>
    </w:tbl>
    <w:p w:rsidR="00441AFC" w:rsidRPr="00CD43D5" w:rsidRDefault="00441AFC">
      <w:pPr>
        <w:pStyle w:val="Normaltindrag"/>
      </w:pPr>
      <w:r w:rsidRPr="00CD43D5">
        <w:t>Första stycket äger motsvarande tillämpning när fastighetsindelningen än</w:t>
      </w:r>
      <w:r w:rsidRPr="00CD43D5">
        <w:t>d</w:t>
      </w:r>
      <w:r w:rsidRPr="00CD43D5">
        <w:t>ras eller dess beskaffenhet fastställes i annan ordning än som anges i denna lag.</w:t>
      </w:r>
    </w:p>
    <w:p w:rsidR="00441AFC" w:rsidRPr="00CD43D5" w:rsidRDefault="00441AFC">
      <w:pPr>
        <w:pStyle w:val="Normaltindrag"/>
      </w:pPr>
    </w:p>
    <w:p w:rsidR="00441AFC" w:rsidRPr="00CD43D5" w:rsidRDefault="00441AFC">
      <w:pPr>
        <w:jc w:val="center"/>
      </w:pPr>
      <w:r w:rsidRPr="00CD43D5">
        <w:t>3 §</w:t>
      </w:r>
      <w:r w:rsidRPr="00CD43D5">
        <w:rPr>
          <w:rStyle w:val="Fotnotsreferens"/>
        </w:rPr>
        <w:footnoteReference w:customMarkFollows="1" w:id="15"/>
        <w:t>2</w:t>
      </w:r>
      <w:r w:rsidRPr="00CD43D5">
        <w:t xml:space="preserve"> </w:t>
      </w:r>
    </w:p>
    <w:p w:rsidR="00441AFC" w:rsidRPr="00CD43D5" w:rsidRDefault="00441AFC">
      <w:pPr>
        <w:pStyle w:val="Normaltindrag"/>
      </w:pPr>
      <w:r w:rsidRPr="00CD43D5">
        <w:t>Uppgift om fastighetsbildning eller fastighetsbestämning införs snarast möjligt sedan förrättningen avslutats och denna eller, om den har överkl</w:t>
      </w:r>
      <w:r w:rsidRPr="00CD43D5">
        <w:t>a</w:t>
      </w:r>
      <w:r w:rsidRPr="00CD43D5">
        <w:t>gats, domstolens avgörande vunnit laga kraft.</w:t>
      </w:r>
    </w:p>
    <w:p w:rsidR="00441AFC" w:rsidRPr="00CD43D5" w:rsidRDefault="00441AFC">
      <w:pPr>
        <w:pStyle w:val="Normaltindrag"/>
      </w:pPr>
      <w:r w:rsidRPr="00CD43D5">
        <w:t>Även om förrättningen inte har avslutats får uppgift om ett sådant fasti</w:t>
      </w:r>
      <w:r w:rsidRPr="00CD43D5">
        <w:t>g</w:t>
      </w:r>
      <w:r w:rsidRPr="00CD43D5">
        <w:t>hetsbildnings- eller fastighetsbestämningsbeslut som skulle ha överklagats särskilt införas så snart beslutet vunnit laga kraft.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Överklagas beslut eller åtgärd vid avslutad förrättning eller överkl</w:t>
            </w:r>
            <w:r w:rsidRPr="00CD43D5">
              <w:rPr>
                <w:i/>
              </w:rPr>
              <w:t>a</w:t>
            </w:r>
            <w:r w:rsidRPr="00CD43D5">
              <w:rPr>
                <w:i/>
              </w:rPr>
              <w:t>gas fastighetsbildnings- eller fasti</w:t>
            </w:r>
            <w:r w:rsidRPr="00CD43D5">
              <w:rPr>
                <w:i/>
              </w:rPr>
              <w:t>g</w:t>
            </w:r>
            <w:r w:rsidRPr="00CD43D5">
              <w:rPr>
                <w:i/>
              </w:rPr>
              <w:t>hetsbestämningsbeslut särskilt, får uppgift med anledning av förrät</w:t>
            </w:r>
            <w:r w:rsidRPr="00CD43D5">
              <w:rPr>
                <w:i/>
              </w:rPr>
              <w:t>t</w:t>
            </w:r>
            <w:r w:rsidRPr="00CD43D5">
              <w:rPr>
                <w:i/>
              </w:rPr>
              <w:t>ningen eller beslutet införas i fa</w:t>
            </w:r>
            <w:r w:rsidRPr="00CD43D5">
              <w:rPr>
                <w:i/>
              </w:rPr>
              <w:t>s</w:t>
            </w:r>
            <w:r w:rsidRPr="00CD43D5">
              <w:rPr>
                <w:i/>
              </w:rPr>
              <w:t>tighetsregistret i fråga om sådan del som uppenbarligen inte berörs av överklagandet. Motsvarande gäller när domstols avgörande i ett fasti</w:t>
            </w:r>
            <w:r w:rsidRPr="00CD43D5">
              <w:rPr>
                <w:i/>
              </w:rPr>
              <w:t>g</w:t>
            </w:r>
            <w:r w:rsidRPr="00CD43D5">
              <w:rPr>
                <w:i/>
              </w:rPr>
              <w:t>hetsbildningsmål överklagas.</w:t>
            </w:r>
          </w:p>
        </w:tc>
        <w:tc>
          <w:tcPr>
            <w:tcW w:w="3118" w:type="dxa"/>
          </w:tcPr>
          <w:p w:rsidR="00441AFC" w:rsidRPr="00CD43D5" w:rsidRDefault="00441AFC">
            <w:pPr>
              <w:pStyle w:val="Normaltindrag"/>
              <w:rPr>
                <w:i/>
              </w:rPr>
            </w:pPr>
            <w:r w:rsidRPr="00CD43D5">
              <w:rPr>
                <w:i/>
              </w:rPr>
              <w:t>Om ett beslut eller en åtgärd som avser en avslutad förrättning öve</w:t>
            </w:r>
            <w:r w:rsidRPr="00CD43D5">
              <w:rPr>
                <w:i/>
              </w:rPr>
              <w:t>r</w:t>
            </w:r>
            <w:r w:rsidRPr="00CD43D5">
              <w:rPr>
                <w:i/>
              </w:rPr>
              <w:t>klagas, får uppgift med anledning av förrättningen föras in i fasti</w:t>
            </w:r>
            <w:r w:rsidRPr="00CD43D5">
              <w:rPr>
                <w:i/>
              </w:rPr>
              <w:t>g</w:t>
            </w:r>
            <w:r w:rsidRPr="00CD43D5">
              <w:rPr>
                <w:i/>
              </w:rPr>
              <w:t>hetsregistrets allmänna del till den del uppgiften uppenbarligen inte berörs av överklagandet. Detsamma gäller om ett fastighetsbildningsb</w:t>
            </w:r>
            <w:r w:rsidRPr="00CD43D5">
              <w:rPr>
                <w:i/>
              </w:rPr>
              <w:t>e</w:t>
            </w:r>
            <w:r w:rsidRPr="00CD43D5">
              <w:rPr>
                <w:i/>
              </w:rPr>
              <w:t>slut eller ett fastighetsbestämning</w:t>
            </w:r>
            <w:r w:rsidRPr="00CD43D5">
              <w:rPr>
                <w:i/>
              </w:rPr>
              <w:t>s</w:t>
            </w:r>
            <w:r w:rsidRPr="00CD43D5">
              <w:rPr>
                <w:i/>
              </w:rPr>
              <w:t>beslut överklagas särskilt.</w:t>
            </w:r>
          </w:p>
          <w:p w:rsidR="00441AFC" w:rsidRPr="00CD43D5" w:rsidRDefault="00441AFC">
            <w:pPr>
              <w:pStyle w:val="Normaltindrag"/>
            </w:pPr>
            <w:r w:rsidRPr="00CD43D5">
              <w:rPr>
                <w:i/>
              </w:rPr>
              <w:t>Vad som sägs i tredje stycket gäller också om en domstols avg</w:t>
            </w:r>
            <w:r w:rsidRPr="00CD43D5">
              <w:rPr>
                <w:i/>
              </w:rPr>
              <w:t>ö</w:t>
            </w:r>
            <w:r w:rsidRPr="00CD43D5">
              <w:rPr>
                <w:i/>
              </w:rPr>
              <w:t>rande i ett fastighetsbildningsmål överklagas.</w:t>
            </w:r>
          </w:p>
        </w:tc>
      </w:tr>
    </w:tbl>
    <w:p w:rsidR="00441AFC" w:rsidRPr="00CD43D5" w:rsidRDefault="00441AFC">
      <w:pPr>
        <w:pStyle w:val="Normaltindrag"/>
      </w:pPr>
    </w:p>
    <w:p w:rsidR="00441AFC" w:rsidRPr="00CD43D5" w:rsidRDefault="00441AFC">
      <w:pPr>
        <w:jc w:val="center"/>
      </w:pPr>
      <w:r w:rsidRPr="00CD43D5">
        <w:t>4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Finnes</w:t>
            </w:r>
            <w:r w:rsidRPr="00CD43D5">
              <w:t xml:space="preserve"> uppgift i </w:t>
            </w:r>
            <w:r w:rsidRPr="00CD43D5">
              <w:rPr>
                <w:i/>
              </w:rPr>
              <w:t>fastighetsregister vara</w:t>
            </w:r>
            <w:r w:rsidRPr="00CD43D5">
              <w:t xml:space="preserve"> uppenbart oriktig, skall </w:t>
            </w:r>
            <w:r w:rsidRPr="00CD43D5">
              <w:rPr>
                <w:i/>
              </w:rPr>
              <w:t>felet</w:t>
            </w:r>
            <w:r w:rsidRPr="00CD43D5">
              <w:t xml:space="preserve"> rättas, om det kan ske utan </w:t>
            </w:r>
            <w:r w:rsidRPr="00CD43D5">
              <w:rPr>
                <w:i/>
              </w:rPr>
              <w:t xml:space="preserve">förfång </w:t>
            </w:r>
            <w:r w:rsidRPr="00CD43D5">
              <w:t>för fastighetsägare eller rättighet</w:t>
            </w:r>
            <w:r w:rsidRPr="00CD43D5">
              <w:t>s</w:t>
            </w:r>
            <w:r w:rsidRPr="00CD43D5">
              <w:t xml:space="preserve">havare. Är det uppenbart att </w:t>
            </w:r>
            <w:r w:rsidRPr="00CD43D5">
              <w:rPr>
                <w:i/>
              </w:rPr>
              <w:t>förfång icke</w:t>
            </w:r>
            <w:r w:rsidRPr="00CD43D5">
              <w:t xml:space="preserve"> kan uppkomma, skall rättelse ske omedelbart. I annat fall skall fastighetsägare eller rättighetshav</w:t>
            </w:r>
            <w:r w:rsidRPr="00CD43D5">
              <w:t>a</w:t>
            </w:r>
            <w:r w:rsidRPr="00CD43D5">
              <w:t>re få tillfälle att yttra sig om han är känd.</w:t>
            </w:r>
          </w:p>
          <w:p w:rsidR="00441AFC" w:rsidRPr="00CD43D5" w:rsidRDefault="00441AFC">
            <w:pPr>
              <w:pStyle w:val="Normaltindrag"/>
            </w:pPr>
          </w:p>
          <w:p w:rsidR="00441AFC" w:rsidRPr="00CD43D5" w:rsidRDefault="00441AFC">
            <w:pPr>
              <w:pStyle w:val="Normaltindrag"/>
            </w:pPr>
            <w:r w:rsidRPr="00CD43D5">
              <w:t xml:space="preserve">Om det </w:t>
            </w:r>
            <w:r w:rsidRPr="00CD43D5">
              <w:rPr>
                <w:i/>
              </w:rPr>
              <w:t>finnes vara</w:t>
            </w:r>
            <w:r w:rsidRPr="00CD43D5">
              <w:t xml:space="preserve"> uppenbart att en i registret redovisad fastighet </w:t>
            </w:r>
            <w:r w:rsidRPr="00CD43D5">
              <w:rPr>
                <w:i/>
              </w:rPr>
              <w:t>är obefintlig</w:t>
            </w:r>
            <w:r w:rsidRPr="00CD43D5">
              <w:t>, får fastigheten uteslutas ur registret med tillämpning av första stycket, även om redovi</w:t>
            </w:r>
            <w:r w:rsidRPr="00CD43D5">
              <w:t>s</w:t>
            </w:r>
            <w:r w:rsidRPr="00CD43D5">
              <w:t xml:space="preserve">ningen </w:t>
            </w:r>
            <w:r w:rsidRPr="00CD43D5">
              <w:rPr>
                <w:i/>
              </w:rPr>
              <w:t>ej</w:t>
            </w:r>
            <w:r w:rsidRPr="00CD43D5">
              <w:t xml:space="preserve"> är oriktig enligt </w:t>
            </w:r>
            <w:r w:rsidRPr="00CD43D5">
              <w:rPr>
                <w:i/>
              </w:rPr>
              <w:t>gällande</w:t>
            </w:r>
            <w:r w:rsidRPr="00CD43D5">
              <w:t xml:space="preserve"> föreskrifter </w:t>
            </w:r>
            <w:r w:rsidRPr="00CD43D5">
              <w:rPr>
                <w:i/>
              </w:rPr>
              <w:t>om</w:t>
            </w:r>
            <w:r w:rsidRPr="00CD43D5">
              <w:t xml:space="preserve"> </w:t>
            </w:r>
            <w:r w:rsidRPr="00CD43D5">
              <w:rPr>
                <w:i/>
              </w:rPr>
              <w:t>fastighetsregister.</w:t>
            </w:r>
          </w:p>
          <w:p w:rsidR="00441AFC" w:rsidRPr="00CD43D5" w:rsidRDefault="00441AFC">
            <w:pPr>
              <w:pStyle w:val="Normaltindrag"/>
            </w:pPr>
            <w:r w:rsidRPr="00CD43D5">
              <w:t>(Jfr 19 kap. 5 § andra stycket)</w:t>
            </w:r>
          </w:p>
        </w:tc>
        <w:tc>
          <w:tcPr>
            <w:tcW w:w="3118" w:type="dxa"/>
          </w:tcPr>
          <w:p w:rsidR="00441AFC" w:rsidRPr="00CD43D5" w:rsidRDefault="00441AFC">
            <w:pPr>
              <w:pStyle w:val="Normaltindrag"/>
            </w:pPr>
            <w:r w:rsidRPr="00CD43D5">
              <w:rPr>
                <w:i/>
              </w:rPr>
              <w:t>Om en</w:t>
            </w:r>
            <w:r w:rsidRPr="00CD43D5">
              <w:t xml:space="preserve"> uppgift i </w:t>
            </w:r>
            <w:r w:rsidRPr="00CD43D5">
              <w:rPr>
                <w:i/>
              </w:rPr>
              <w:t>fastighetsregis</w:t>
            </w:r>
            <w:r w:rsidRPr="00CD43D5">
              <w:rPr>
                <w:i/>
              </w:rPr>
              <w:t>t</w:t>
            </w:r>
            <w:r w:rsidRPr="00CD43D5">
              <w:rPr>
                <w:i/>
              </w:rPr>
              <w:t>rets allmänna del är</w:t>
            </w:r>
            <w:r w:rsidRPr="00CD43D5">
              <w:t xml:space="preserve"> uppenbart oriktig, skall </w:t>
            </w:r>
            <w:r w:rsidRPr="00CD43D5">
              <w:rPr>
                <w:i/>
              </w:rPr>
              <w:t>uppgiften</w:t>
            </w:r>
            <w:r w:rsidRPr="00CD43D5">
              <w:t xml:space="preserve"> rättas, om det kan ske utan </w:t>
            </w:r>
            <w:r w:rsidRPr="00CD43D5">
              <w:rPr>
                <w:i/>
              </w:rPr>
              <w:t>någon skada</w:t>
            </w:r>
            <w:r w:rsidRPr="00CD43D5">
              <w:t xml:space="preserve"> för fastighetsägare eller rättighetshav</w:t>
            </w:r>
            <w:r w:rsidRPr="00CD43D5">
              <w:t>a</w:t>
            </w:r>
            <w:r w:rsidRPr="00CD43D5">
              <w:t>re. Är det uppenbart att</w:t>
            </w:r>
            <w:r w:rsidRPr="00CD43D5">
              <w:rPr>
                <w:i/>
              </w:rPr>
              <w:t xml:space="preserve"> någon s</w:t>
            </w:r>
            <w:r w:rsidRPr="00CD43D5">
              <w:rPr>
                <w:i/>
              </w:rPr>
              <w:t>å</w:t>
            </w:r>
            <w:r w:rsidRPr="00CD43D5">
              <w:rPr>
                <w:i/>
              </w:rPr>
              <w:t>dan skada</w:t>
            </w:r>
            <w:r w:rsidRPr="00CD43D5">
              <w:t xml:space="preserve"> </w:t>
            </w:r>
            <w:r w:rsidRPr="00CD43D5">
              <w:rPr>
                <w:i/>
              </w:rPr>
              <w:t>inte</w:t>
            </w:r>
            <w:r w:rsidRPr="00CD43D5">
              <w:t xml:space="preserve"> kan uppkomma, skall rättelse ske omedelbart. I annat fall skall fastighetsägare eller rätti</w:t>
            </w:r>
            <w:r w:rsidRPr="00CD43D5">
              <w:t>g</w:t>
            </w:r>
            <w:r w:rsidRPr="00CD43D5">
              <w:t>hetshavare få tillfälle att yttra sig om han är känd.</w:t>
            </w:r>
          </w:p>
          <w:p w:rsidR="00441AFC" w:rsidRPr="00CD43D5" w:rsidRDefault="00441AFC">
            <w:pPr>
              <w:pStyle w:val="Normaltindrag"/>
            </w:pPr>
            <w:r w:rsidRPr="00CD43D5">
              <w:t>Om det</w:t>
            </w:r>
            <w:r w:rsidRPr="00CD43D5">
              <w:rPr>
                <w:i/>
              </w:rPr>
              <w:t xml:space="preserve"> är</w:t>
            </w:r>
            <w:r w:rsidRPr="00CD43D5">
              <w:t xml:space="preserve"> uppenbart att en i r</w:t>
            </w:r>
            <w:r w:rsidRPr="00CD43D5">
              <w:t>e</w:t>
            </w:r>
            <w:r w:rsidRPr="00CD43D5">
              <w:t xml:space="preserve">gistret redovisad fastighet </w:t>
            </w:r>
            <w:r w:rsidRPr="00CD43D5">
              <w:rPr>
                <w:i/>
              </w:rPr>
              <w:t>inte finns</w:t>
            </w:r>
            <w:r w:rsidRPr="00CD43D5">
              <w:t>, får fastigheten uteslutas ur registret med tillämpning av första stycket, även om redovisningen</w:t>
            </w:r>
            <w:r w:rsidRPr="00CD43D5">
              <w:rPr>
                <w:i/>
              </w:rPr>
              <w:t xml:space="preserve"> inte</w:t>
            </w:r>
            <w:r w:rsidRPr="00CD43D5">
              <w:t xml:space="preserve"> är ori</w:t>
            </w:r>
            <w:r w:rsidRPr="00CD43D5">
              <w:t>k</w:t>
            </w:r>
            <w:r w:rsidRPr="00CD43D5">
              <w:t xml:space="preserve">tig enligt </w:t>
            </w:r>
            <w:r w:rsidRPr="00CD43D5">
              <w:rPr>
                <w:i/>
              </w:rPr>
              <w:t>de</w:t>
            </w:r>
            <w:r w:rsidRPr="00CD43D5">
              <w:t xml:space="preserve"> föreskrifter </w:t>
            </w:r>
            <w:r w:rsidRPr="00CD43D5">
              <w:rPr>
                <w:i/>
              </w:rPr>
              <w:t>som gäller för</w:t>
            </w:r>
            <w:r w:rsidRPr="00CD43D5">
              <w:t xml:space="preserve"> </w:t>
            </w:r>
            <w:r w:rsidRPr="00CD43D5">
              <w:rPr>
                <w:i/>
              </w:rPr>
              <w:t>fastighetsregistrets allmänna del.</w:t>
            </w:r>
          </w:p>
          <w:p w:rsidR="00441AFC" w:rsidRPr="00CD43D5" w:rsidRDefault="00441AFC">
            <w:pPr>
              <w:pStyle w:val="Normaltindrag"/>
            </w:pPr>
            <w:r w:rsidRPr="00CD43D5">
              <w:rPr>
                <w:i/>
              </w:rPr>
              <w:t>En uppenbar oriktighet som beror på ett tekniskt fel i fastighetsregis</w:t>
            </w:r>
            <w:r w:rsidRPr="00CD43D5">
              <w:rPr>
                <w:i/>
              </w:rPr>
              <w:t>t</w:t>
            </w:r>
            <w:r w:rsidRPr="00CD43D5">
              <w:rPr>
                <w:i/>
              </w:rPr>
              <w:t>rets allmänna del får rättas även om rättelsen kan medföra skada för fastighetsägare eller rättighetsh</w:t>
            </w:r>
            <w:r w:rsidRPr="00CD43D5">
              <w:rPr>
                <w:i/>
              </w:rPr>
              <w:t>a</w:t>
            </w:r>
            <w:r w:rsidRPr="00CD43D5">
              <w:rPr>
                <w:i/>
              </w:rPr>
              <w:t>vare. Tillfälle att yttra sig skall lämnas, förutom fastighetsägare och rättighetshavare, en myndighet som avses i 18 kap. 5 § första styc</w:t>
            </w:r>
            <w:r w:rsidRPr="00CD43D5">
              <w:rPr>
                <w:i/>
              </w:rPr>
              <w:t>k</w:t>
            </w:r>
            <w:r w:rsidRPr="00CD43D5">
              <w:rPr>
                <w:i/>
              </w:rPr>
              <w:t>et jordabalken.</w:t>
            </w:r>
          </w:p>
        </w:tc>
      </w:tr>
    </w:tbl>
    <w:p w:rsidR="00441AFC" w:rsidRPr="00CD43D5" w:rsidRDefault="00441AFC">
      <w:pPr>
        <w:pStyle w:val="Normaltindrag"/>
      </w:pPr>
    </w:p>
    <w:p w:rsidR="00441AFC" w:rsidRPr="00CD43D5" w:rsidRDefault="00441AFC">
      <w:pPr>
        <w:jc w:val="center"/>
      </w:pPr>
      <w:r w:rsidRPr="00CD43D5">
        <w:t>5 §</w:t>
      </w:r>
      <w:r w:rsidRPr="00CD43D5">
        <w:rPr>
          <w:rStyle w:val="Fotnotsreferens"/>
        </w:rPr>
        <w:footnoteReference w:customMarkFollows="1" w:id="16"/>
        <w:t>3</w:t>
      </w:r>
      <w:r w:rsidRPr="00CD43D5">
        <w:rPr>
          <w:sz w:val="16"/>
        </w:rPr>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 xml:space="preserve">Lider någon förlust till följd av </w:t>
            </w:r>
            <w:r w:rsidRPr="00CD43D5">
              <w:t>tekniskt fel</w:t>
            </w:r>
            <w:r w:rsidRPr="00CD43D5">
              <w:rPr>
                <w:i/>
              </w:rPr>
              <w:t xml:space="preserve"> i fastighetsregister</w:t>
            </w:r>
            <w:r w:rsidRPr="00CD43D5">
              <w:t xml:space="preserve"> </w:t>
            </w:r>
            <w:r w:rsidRPr="00CD43D5">
              <w:rPr>
                <w:i/>
              </w:rPr>
              <w:t>som föres med användande av autom</w:t>
            </w:r>
            <w:r w:rsidRPr="00CD43D5">
              <w:rPr>
                <w:i/>
              </w:rPr>
              <w:t>a</w:t>
            </w:r>
            <w:r w:rsidRPr="00CD43D5">
              <w:rPr>
                <w:i/>
              </w:rPr>
              <w:t>tisk databehandling</w:t>
            </w:r>
            <w:r w:rsidRPr="00CD43D5">
              <w:t xml:space="preserve"> eller i anor</w:t>
            </w:r>
            <w:r w:rsidRPr="00CD43D5">
              <w:t>d</w:t>
            </w:r>
            <w:r w:rsidRPr="00CD43D5">
              <w:t>ning som hos inskrivningsmyndi</w:t>
            </w:r>
            <w:r w:rsidRPr="00CD43D5">
              <w:t>g</w:t>
            </w:r>
            <w:r w:rsidRPr="00CD43D5">
              <w:t>het, lantmäterimyndighet eller my</w:t>
            </w:r>
            <w:r w:rsidRPr="00CD43D5">
              <w:t>n</w:t>
            </w:r>
            <w:r w:rsidRPr="00CD43D5">
              <w:t xml:space="preserve">dighet som avses i 4 kap. 34 a § </w:t>
            </w:r>
            <w:r w:rsidRPr="00CD43D5">
              <w:rPr>
                <w:i/>
              </w:rPr>
              <w:t>är ansluten till registret,</w:t>
            </w:r>
            <w:r w:rsidRPr="00CD43D5">
              <w:t xml:space="preserve"> </w:t>
            </w:r>
            <w:r w:rsidRPr="00CD43D5">
              <w:rPr>
                <w:i/>
              </w:rPr>
              <w:t>har han rätt till ersättning av staten</w:t>
            </w:r>
            <w:r w:rsidRPr="00CD43D5">
              <w:t xml:space="preserve">. </w:t>
            </w:r>
            <w:r w:rsidRPr="00CD43D5">
              <w:rPr>
                <w:i/>
              </w:rPr>
              <w:t>Har</w:t>
            </w:r>
            <w:r w:rsidRPr="00CD43D5">
              <w:t xml:space="preserve"> </w:t>
            </w:r>
            <w:r w:rsidRPr="00CD43D5">
              <w:rPr>
                <w:i/>
              </w:rPr>
              <w:t>den skadelidande medverkat till förlu</w:t>
            </w:r>
            <w:r w:rsidRPr="00CD43D5">
              <w:rPr>
                <w:i/>
              </w:rPr>
              <w:t>s</w:t>
            </w:r>
            <w:r w:rsidRPr="00CD43D5">
              <w:rPr>
                <w:i/>
              </w:rPr>
              <w:t>ten genom att utan skälig anledning underlåta att vidtaga åtgärd för bevarande av sin rätt eller har han på annat sätt medverkat till förlu</w:t>
            </w:r>
            <w:r w:rsidRPr="00CD43D5">
              <w:rPr>
                <w:i/>
              </w:rPr>
              <w:t>s</w:t>
            </w:r>
            <w:r w:rsidRPr="00CD43D5">
              <w:rPr>
                <w:i/>
              </w:rPr>
              <w:t>ten genom eget vållande, skall ersättningen efter vad som finne</w:t>
            </w:r>
            <w:r w:rsidRPr="00CD43D5">
              <w:rPr>
                <w:i/>
              </w:rPr>
              <w:t>s skäligt nedsättas eller helt bortfalla.</w:t>
            </w:r>
          </w:p>
          <w:p w:rsidR="00441AFC" w:rsidRPr="00CD43D5" w:rsidRDefault="00441AFC">
            <w:pPr>
              <w:pStyle w:val="Normaltindrag"/>
            </w:pPr>
            <w:r w:rsidRPr="00CD43D5">
              <w:rPr>
                <w:i/>
              </w:rPr>
              <w:t>Rättelse av uppenbar oriktighet till följd av tekniskt fel i fastighet</w:t>
            </w:r>
            <w:r w:rsidRPr="00CD43D5">
              <w:rPr>
                <w:i/>
              </w:rPr>
              <w:t>s</w:t>
            </w:r>
            <w:r w:rsidRPr="00CD43D5">
              <w:rPr>
                <w:i/>
              </w:rPr>
              <w:t>register som avses i första stycket får utan hinder av 4 § första stycket första punkten ske även om det kan medföra förfång för fastighetsägare eller rättighetshavare. Tillfälle att yttra sig skall lämnas, förutom fastighetsägare och rättighetshav</w:t>
            </w:r>
            <w:r w:rsidRPr="00CD43D5">
              <w:rPr>
                <w:i/>
              </w:rPr>
              <w:t>a</w:t>
            </w:r>
            <w:r w:rsidRPr="00CD43D5">
              <w:rPr>
                <w:i/>
              </w:rPr>
              <w:t>re, myndighet som avses i 18 kap. 5 § första stycket jordabalken.</w:t>
            </w:r>
          </w:p>
          <w:p w:rsidR="00441AFC" w:rsidRPr="00CD43D5" w:rsidRDefault="00441AFC">
            <w:pPr>
              <w:pStyle w:val="Normaltindrag"/>
            </w:pPr>
            <w:r w:rsidRPr="00CD43D5">
              <w:rPr>
                <w:i/>
              </w:rPr>
              <w:t xml:space="preserve">Kommer </w:t>
            </w:r>
            <w:r w:rsidRPr="00CD43D5">
              <w:t xml:space="preserve">till följd av beslut i ärende om rättelse enligt </w:t>
            </w:r>
            <w:r w:rsidRPr="00CD43D5">
              <w:rPr>
                <w:i/>
              </w:rPr>
              <w:t>andra</w:t>
            </w:r>
            <w:r w:rsidRPr="00CD43D5">
              <w:t xml:space="preserve"> stycket </w:t>
            </w:r>
            <w:r w:rsidRPr="00CD43D5">
              <w:rPr>
                <w:i/>
              </w:rPr>
              <w:t>förlust att tillskyndas ägare eller rättighetshavare</w:t>
            </w:r>
            <w:r w:rsidRPr="00CD43D5">
              <w:t xml:space="preserve"> har han</w:t>
            </w:r>
            <w:r w:rsidRPr="00CD43D5">
              <w:rPr>
                <w:i/>
              </w:rPr>
              <w:t xml:space="preserve"> </w:t>
            </w:r>
            <w:r w:rsidRPr="00CD43D5">
              <w:t xml:space="preserve">rätt till ersättning av staten. Ersättning </w:t>
            </w:r>
            <w:r w:rsidRPr="00CD43D5">
              <w:rPr>
                <w:i/>
              </w:rPr>
              <w:t>utgår</w:t>
            </w:r>
            <w:r w:rsidRPr="00CD43D5">
              <w:t xml:space="preserve"> dock </w:t>
            </w:r>
            <w:r w:rsidRPr="00CD43D5">
              <w:rPr>
                <w:i/>
              </w:rPr>
              <w:t>icke</w:t>
            </w:r>
            <w:r w:rsidRPr="00CD43D5">
              <w:t xml:space="preserve">, om </w:t>
            </w:r>
            <w:r w:rsidRPr="00CD43D5">
              <w:rPr>
                <w:i/>
              </w:rPr>
              <w:t>han</w:t>
            </w:r>
            <w:r w:rsidRPr="00CD43D5">
              <w:t xml:space="preserve"> med hä</w:t>
            </w:r>
            <w:r w:rsidRPr="00CD43D5">
              <w:t>n</w:t>
            </w:r>
            <w:r w:rsidRPr="00CD43D5">
              <w:t xml:space="preserve">syn till felets </w:t>
            </w:r>
            <w:r w:rsidRPr="00CD43D5">
              <w:rPr>
                <w:i/>
              </w:rPr>
              <w:t>beskaffenhet</w:t>
            </w:r>
            <w:r w:rsidRPr="00CD43D5">
              <w:t xml:space="preserve"> eller andra omständigheter bort inse att fel förekommit.</w:t>
            </w:r>
          </w:p>
        </w:tc>
        <w:tc>
          <w:tcPr>
            <w:tcW w:w="3118" w:type="dxa"/>
          </w:tcPr>
          <w:p w:rsidR="00441AFC" w:rsidRPr="00CD43D5" w:rsidRDefault="00441AFC">
            <w:pPr>
              <w:pStyle w:val="Normaltindrag"/>
            </w:pPr>
            <w:r w:rsidRPr="00CD43D5">
              <w:rPr>
                <w:i/>
              </w:rPr>
              <w:t>Rätt till ersättning av staten har den som lider skada</w:t>
            </w:r>
            <w:r w:rsidRPr="00CD43D5">
              <w:t xml:space="preserve"> </w:t>
            </w:r>
            <w:r w:rsidRPr="00CD43D5">
              <w:rPr>
                <w:i/>
              </w:rPr>
              <w:t>på grund av</w:t>
            </w:r>
            <w:r w:rsidRPr="00CD43D5">
              <w:t xml:space="preserve"> </w:t>
            </w:r>
            <w:r w:rsidRPr="00CD43D5">
              <w:rPr>
                <w:i/>
              </w:rPr>
              <w:t xml:space="preserve">ett </w:t>
            </w:r>
            <w:r w:rsidRPr="00CD43D5">
              <w:t xml:space="preserve">tekniskt fel i </w:t>
            </w:r>
            <w:r w:rsidRPr="00CD43D5">
              <w:rPr>
                <w:i/>
              </w:rPr>
              <w:t>fastighetsregistrets allmänna del</w:t>
            </w:r>
            <w:r w:rsidRPr="00CD43D5">
              <w:t xml:space="preserve"> eller i </w:t>
            </w:r>
            <w:r w:rsidRPr="00CD43D5">
              <w:rPr>
                <w:i/>
              </w:rPr>
              <w:t xml:space="preserve">en </w:t>
            </w:r>
            <w:r w:rsidRPr="00CD43D5">
              <w:t xml:space="preserve">anordning som </w:t>
            </w:r>
            <w:r w:rsidRPr="00CD43D5">
              <w:rPr>
                <w:i/>
              </w:rPr>
              <w:t>är ansluten till</w:t>
            </w:r>
            <w:r w:rsidRPr="00CD43D5">
              <w:t xml:space="preserve"> </w:t>
            </w:r>
            <w:r w:rsidRPr="00CD43D5">
              <w:rPr>
                <w:i/>
              </w:rPr>
              <w:t xml:space="preserve">registret </w:t>
            </w:r>
            <w:r w:rsidRPr="00CD43D5">
              <w:t xml:space="preserve">hos </w:t>
            </w:r>
            <w:r w:rsidRPr="00CD43D5">
              <w:rPr>
                <w:i/>
              </w:rPr>
              <w:t>Lantmäteriverket</w:t>
            </w:r>
            <w:r w:rsidRPr="00CD43D5">
              <w:t xml:space="preserve">, </w:t>
            </w:r>
            <w:r w:rsidRPr="00CD43D5">
              <w:rPr>
                <w:i/>
              </w:rPr>
              <w:t>en</w:t>
            </w:r>
            <w:r w:rsidRPr="00CD43D5">
              <w:t xml:space="preserve"> inskrivnin</w:t>
            </w:r>
            <w:r w:rsidRPr="00CD43D5">
              <w:t>g</w:t>
            </w:r>
            <w:r w:rsidRPr="00CD43D5">
              <w:t xml:space="preserve">s-myndighet, </w:t>
            </w:r>
            <w:r w:rsidRPr="00CD43D5">
              <w:rPr>
                <w:i/>
              </w:rPr>
              <w:t>en</w:t>
            </w:r>
            <w:r w:rsidRPr="00CD43D5">
              <w:t xml:space="preserve"> lantmäterimyndighet eller </w:t>
            </w:r>
            <w:r w:rsidRPr="00CD43D5">
              <w:rPr>
                <w:i/>
              </w:rPr>
              <w:t>en</w:t>
            </w:r>
            <w:r w:rsidRPr="00CD43D5">
              <w:t xml:space="preserve"> myndighet som avses i 4 kap. 34 a §. </w:t>
            </w:r>
          </w:p>
          <w:p w:rsidR="00441AFC" w:rsidRPr="00CD43D5" w:rsidRDefault="00441AFC">
            <w:pPr>
              <w:pStyle w:val="Normaltindrag"/>
            </w:pPr>
            <w:r w:rsidRPr="00CD43D5">
              <w:rPr>
                <w:i/>
              </w:rPr>
              <w:t>Ersättningen skall efter skälighet sättas ned eller helt falla bort, om den skadelidande har medverkat till skadan genom att utan skälig a</w:t>
            </w:r>
            <w:r w:rsidRPr="00CD43D5">
              <w:rPr>
                <w:i/>
              </w:rPr>
              <w:t>n</w:t>
            </w:r>
            <w:r w:rsidRPr="00CD43D5">
              <w:rPr>
                <w:i/>
              </w:rPr>
              <w:t>ledning låta bli att vidta åtgärder för att bevara sin rätt eller om den skadelidande på något annat sätt har medverkat till skadan genom eget vållande.</w:t>
            </w: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r w:rsidRPr="00CD43D5">
              <w:rPr>
                <w:i/>
              </w:rPr>
              <w:t>En ägare eller rättighetshavare som drabbas av skada</w:t>
            </w:r>
            <w:r w:rsidRPr="00CD43D5">
              <w:t xml:space="preserve"> till följd av </w:t>
            </w:r>
            <w:r w:rsidRPr="00CD43D5">
              <w:rPr>
                <w:i/>
              </w:rPr>
              <w:t>ett</w:t>
            </w:r>
            <w:r w:rsidRPr="00CD43D5">
              <w:t xml:space="preserve"> beslut om rättelse </w:t>
            </w:r>
            <w:r w:rsidRPr="00CD43D5">
              <w:rPr>
                <w:i/>
              </w:rPr>
              <w:t>enligt 4 § tredje stycket,</w:t>
            </w:r>
            <w:r w:rsidRPr="00CD43D5">
              <w:t xml:space="preserve"> har rätt till ersättning av staten. Ersättning </w:t>
            </w:r>
            <w:r w:rsidRPr="00CD43D5">
              <w:rPr>
                <w:i/>
              </w:rPr>
              <w:t>lämnas</w:t>
            </w:r>
            <w:r w:rsidRPr="00CD43D5">
              <w:t xml:space="preserve"> dock </w:t>
            </w:r>
            <w:r w:rsidRPr="00CD43D5">
              <w:rPr>
                <w:i/>
              </w:rPr>
              <w:t>inte</w:t>
            </w:r>
            <w:r w:rsidRPr="00CD43D5">
              <w:t xml:space="preserve">, </w:t>
            </w:r>
            <w:r w:rsidRPr="00CD43D5">
              <w:rPr>
                <w:i/>
              </w:rPr>
              <w:t>om den skadelidande</w:t>
            </w:r>
            <w:r w:rsidRPr="00CD43D5">
              <w:t xml:space="preserve"> med hänsyn till felets art eller andra omständigheter </w:t>
            </w:r>
            <w:r w:rsidRPr="00CD43D5">
              <w:rPr>
                <w:i/>
              </w:rPr>
              <w:t>hade</w:t>
            </w:r>
            <w:r w:rsidRPr="00CD43D5">
              <w:t xml:space="preserve"> bort inse att fel förekommit.</w:t>
            </w:r>
          </w:p>
        </w:tc>
      </w:tr>
    </w:tbl>
    <w:p w:rsidR="00441AFC" w:rsidRPr="00CD43D5" w:rsidRDefault="00441AFC">
      <w:pPr>
        <w:pStyle w:val="Normaltindrag"/>
      </w:pPr>
      <w:r w:rsidRPr="00CD43D5">
        <w:t>I fråga om ersättning som avses i denna paragraf äger 18 kap. 5 och 7 §§ jordabalken motsvarande tillämpning.</w:t>
      </w:r>
    </w:p>
    <w:p w:rsidR="00441AFC" w:rsidRPr="00CD43D5" w:rsidRDefault="00441AFC">
      <w:pPr>
        <w:pStyle w:val="Normaltindrag"/>
      </w:pPr>
    </w:p>
    <w:p w:rsidR="00441AFC" w:rsidRPr="00CD43D5" w:rsidRDefault="00441AFC">
      <w:pPr>
        <w:jc w:val="center"/>
      </w:pPr>
      <w:r w:rsidRPr="00CD43D5">
        <w:t>6 §</w:t>
      </w:r>
      <w:r w:rsidRPr="00CD43D5">
        <w:rPr>
          <w:rStyle w:val="Fotnotsreferens"/>
        </w:rPr>
        <w:footnoteReference w:customMarkFollows="1" w:id="17"/>
        <w:t>4</w:t>
      </w:r>
      <w:r w:rsidRPr="00CD43D5">
        <w:rPr>
          <w:sz w:val="16"/>
        </w:rPr>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Lantmäterimyndigheten svarar för fastighetsregistret.</w:t>
            </w:r>
          </w:p>
          <w:p w:rsidR="00441AFC" w:rsidRPr="00CD43D5" w:rsidRDefault="00441AFC">
            <w:pPr>
              <w:pStyle w:val="Propmedindrag"/>
            </w:pPr>
          </w:p>
        </w:tc>
        <w:tc>
          <w:tcPr>
            <w:tcW w:w="3118" w:type="dxa"/>
          </w:tcPr>
          <w:p w:rsidR="00441AFC" w:rsidRPr="00CD43D5" w:rsidRDefault="00441AFC">
            <w:pPr>
              <w:pStyle w:val="Normaltindrag"/>
            </w:pPr>
            <w:r w:rsidRPr="00CD43D5">
              <w:rPr>
                <w:i/>
              </w:rPr>
              <w:t>Ärenden om att föra in eller ta bort uppgifter i fastighetsregistrets allmänna del handläggs av lantm</w:t>
            </w:r>
            <w:r w:rsidRPr="00CD43D5">
              <w:rPr>
                <w:i/>
              </w:rPr>
              <w:t>ä</w:t>
            </w:r>
            <w:r w:rsidRPr="00CD43D5">
              <w:rPr>
                <w:i/>
              </w:rPr>
              <w:t>terimyndigheten.</w:t>
            </w:r>
          </w:p>
          <w:p w:rsidR="00441AFC" w:rsidRPr="00CD43D5" w:rsidRDefault="00441AFC">
            <w:pPr>
              <w:pStyle w:val="Propmedindrag"/>
            </w:pP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95" w:name="_Toc412971132"/>
      <w:bookmarkStart w:id="96" w:name="_Toc414097184"/>
      <w:bookmarkStart w:id="97" w:name="_Toc465144160"/>
      <w:bookmarkStart w:id="98" w:name="_Toc465577137"/>
      <w:bookmarkStart w:id="99" w:name="_Toc469212235"/>
      <w:bookmarkStart w:id="100" w:name="_Toc479046918"/>
      <w:r w:rsidRPr="00CD43D5">
        <w:t>12. Förslag till lag om ändring i lagen (1970:989) om införande av fastighet</w:t>
      </w:r>
      <w:r w:rsidRPr="00CD43D5">
        <w:t>s</w:t>
      </w:r>
      <w:r w:rsidRPr="00CD43D5">
        <w:t>bildningslagen</w:t>
      </w:r>
      <w:bookmarkEnd w:id="97"/>
      <w:bookmarkEnd w:id="98"/>
      <w:bookmarkEnd w:id="99"/>
      <w:bookmarkEnd w:id="100"/>
      <w:r w:rsidRPr="00CD43D5">
        <w:t xml:space="preserve"> </w:t>
      </w:r>
      <w:bookmarkEnd w:id="95"/>
      <w:bookmarkEnd w:id="96"/>
    </w:p>
    <w:p w:rsidR="00441AFC" w:rsidRPr="00CD43D5" w:rsidRDefault="00441AFC">
      <w:pPr>
        <w:pStyle w:val="Normaltindrag"/>
      </w:pPr>
    </w:p>
    <w:p w:rsidR="00441AFC" w:rsidRPr="00CD43D5" w:rsidRDefault="00441AFC">
      <w:pPr>
        <w:pStyle w:val="Normaltindrag"/>
      </w:pPr>
      <w:r w:rsidRPr="00CD43D5">
        <w:t>Härigenom föreskrivs i fråga om lagen (1970:989) om införande av fasti</w:t>
      </w:r>
      <w:r w:rsidRPr="00CD43D5">
        <w:t>g</w:t>
      </w:r>
      <w:r w:rsidRPr="00CD43D5">
        <w:t>hetsbildningslagen</w:t>
      </w:r>
      <w:r w:rsidRPr="00CD43D5">
        <w:rPr>
          <w:rStyle w:val="Fotnotsreferens"/>
        </w:rPr>
        <w:footnoteReference w:customMarkFollows="1" w:id="18"/>
        <w:t>1</w:t>
      </w:r>
      <w:r w:rsidRPr="00CD43D5">
        <w:t xml:space="preserve"> </w:t>
      </w:r>
    </w:p>
    <w:p w:rsidR="00441AFC" w:rsidRPr="00CD43D5" w:rsidRDefault="00441AFC">
      <w:pPr>
        <w:pStyle w:val="Normaltindrag"/>
      </w:pPr>
      <w:r w:rsidRPr="00CD43D5">
        <w:rPr>
          <w:i/>
        </w:rPr>
        <w:t xml:space="preserve">dels </w:t>
      </w:r>
      <w:r w:rsidRPr="00CD43D5">
        <w:t>att 20 § skall upphöra att gälla vid utgången av juni 2000,</w:t>
      </w:r>
    </w:p>
    <w:p w:rsidR="00441AFC" w:rsidRPr="00CD43D5" w:rsidRDefault="00441AFC">
      <w:pPr>
        <w:pStyle w:val="Normaltindrag"/>
      </w:pPr>
      <w:r w:rsidRPr="00CD43D5">
        <w:rPr>
          <w:i/>
        </w:rPr>
        <w:t>dels</w:t>
      </w:r>
      <w:r w:rsidRPr="00CD43D5">
        <w:t xml:space="preserve"> att rubriken närmast före 20 § skall utgå vid utgången av juni 2000.</w:t>
      </w:r>
    </w:p>
    <w:p w:rsidR="00441AFC" w:rsidRPr="00CD43D5" w:rsidRDefault="00441AFC">
      <w:pPr>
        <w:pStyle w:val="Rubrik2"/>
      </w:pPr>
      <w:r w:rsidRPr="00CD43D5">
        <w:br w:type="page"/>
      </w:r>
      <w:bookmarkStart w:id="101" w:name="_Toc412971133"/>
      <w:bookmarkStart w:id="102" w:name="_Toc414097185"/>
      <w:bookmarkStart w:id="103" w:name="_Toc465144161"/>
      <w:bookmarkStart w:id="104" w:name="_Toc465577138"/>
      <w:bookmarkStart w:id="105" w:name="_Toc469212236"/>
      <w:bookmarkStart w:id="106" w:name="_Toc479046919"/>
      <w:r w:rsidRPr="00CD43D5">
        <w:t>13. Förslag till lag om ändring i lagen (1970:990) om förmånsrätt för fordran på grund av fastighetsbildning</w:t>
      </w:r>
      <w:bookmarkEnd w:id="101"/>
      <w:bookmarkEnd w:id="102"/>
      <w:bookmarkEnd w:id="103"/>
      <w:bookmarkEnd w:id="104"/>
      <w:bookmarkEnd w:id="105"/>
      <w:bookmarkEnd w:id="106"/>
    </w:p>
    <w:p w:rsidR="00441AFC" w:rsidRPr="00CD43D5" w:rsidRDefault="00441AFC">
      <w:pPr>
        <w:pStyle w:val="Normaltindrag"/>
      </w:pPr>
    </w:p>
    <w:p w:rsidR="00441AFC" w:rsidRPr="00CD43D5" w:rsidRDefault="00441AFC">
      <w:pPr>
        <w:pStyle w:val="Normaltindrag"/>
      </w:pPr>
      <w:r w:rsidRPr="00CD43D5">
        <w:t>Härigenom föreskrivs att 2 § lagen (1970:990) om förmånsrätt för fordran på grund av fastighetsbildning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p>
    <w:p w:rsidR="00441AFC" w:rsidRPr="00CD43D5" w:rsidRDefault="00441AFC">
      <w:pPr>
        <w:jc w:val="center"/>
      </w:pPr>
      <w:r w:rsidRPr="00CD43D5">
        <w:t>2 §</w:t>
      </w:r>
      <w:r w:rsidRPr="00CD43D5">
        <w:rPr>
          <w:rStyle w:val="Fotnotsreferens"/>
        </w:rPr>
        <w:footnoteReference w:customMarkFollows="1" w:id="19"/>
        <w:t>1</w:t>
      </w:r>
      <w:r w:rsidRPr="00CD43D5">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Angående skyldighet för ägare eller tidigare ägare av fastighet att utge ersättning som avses i 1 § första stycket samt angående rätt enligt 5 kap. 31 § tredje stycket fastighetsbildningslagen (1970:988) att uttaga skog skall anteckning göras i fastighetsboken när beslutet vunnit laga kraft.</w:t>
            </w: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r w:rsidRPr="00CD43D5">
              <w:rPr>
                <w:i/>
              </w:rPr>
              <w:t>Uppgår</w:t>
            </w:r>
            <w:r w:rsidRPr="00CD43D5">
              <w:t xml:space="preserve"> det sammanlagda kap</w:t>
            </w:r>
            <w:r w:rsidRPr="00CD43D5">
              <w:t>i</w:t>
            </w:r>
            <w:r w:rsidRPr="00CD43D5">
              <w:t xml:space="preserve">talbeloppet av de ersättningar för vilka fastighet </w:t>
            </w:r>
            <w:r w:rsidRPr="00CD43D5">
              <w:rPr>
                <w:i/>
              </w:rPr>
              <w:t xml:space="preserve">svarar </w:t>
            </w:r>
            <w:r w:rsidRPr="00CD43D5">
              <w:t xml:space="preserve">enligt 1 § första stycket </w:t>
            </w:r>
            <w:r w:rsidRPr="00CD43D5">
              <w:rPr>
                <w:i/>
              </w:rPr>
              <w:t xml:space="preserve">icke </w:t>
            </w:r>
            <w:r w:rsidRPr="00CD43D5">
              <w:t>till ettusen kr</w:t>
            </w:r>
            <w:r w:rsidRPr="00CD43D5">
              <w:t>o</w:t>
            </w:r>
            <w:r w:rsidRPr="00CD43D5">
              <w:t xml:space="preserve">nor, </w:t>
            </w:r>
            <w:r w:rsidRPr="00CD43D5">
              <w:rPr>
                <w:i/>
              </w:rPr>
              <w:t>skall anteckning dock ej ske.</w:t>
            </w:r>
          </w:p>
          <w:p w:rsidR="00441AFC" w:rsidRPr="00CD43D5" w:rsidRDefault="00441AFC">
            <w:pPr>
              <w:pStyle w:val="Normaltindrag"/>
            </w:pPr>
          </w:p>
          <w:p w:rsidR="00441AFC" w:rsidRPr="00CD43D5" w:rsidRDefault="00441AFC">
            <w:pPr>
              <w:pStyle w:val="Normaltindrag"/>
            </w:pPr>
            <w:r w:rsidRPr="00CD43D5">
              <w:rPr>
                <w:i/>
              </w:rPr>
              <w:t>Bestämmelsen i första stycket ti</w:t>
            </w:r>
            <w:r w:rsidRPr="00CD43D5">
              <w:rPr>
                <w:i/>
              </w:rPr>
              <w:t>l</w:t>
            </w:r>
            <w:r w:rsidRPr="00CD43D5">
              <w:rPr>
                <w:i/>
              </w:rPr>
              <w:t>lämpas även på beslut enligt 5 kap. 12 a § första stycket fastighetsbil</w:t>
            </w:r>
            <w:r w:rsidRPr="00CD43D5">
              <w:rPr>
                <w:i/>
              </w:rPr>
              <w:t>d</w:t>
            </w:r>
            <w:r w:rsidRPr="00CD43D5">
              <w:rPr>
                <w:i/>
              </w:rPr>
              <w:t>ningslagen (1970:988).</w:t>
            </w:r>
          </w:p>
        </w:tc>
        <w:tc>
          <w:tcPr>
            <w:tcW w:w="3118" w:type="dxa"/>
          </w:tcPr>
          <w:p w:rsidR="00441AFC" w:rsidRPr="00CD43D5" w:rsidRDefault="00441AFC">
            <w:pPr>
              <w:pStyle w:val="Normaltindrag"/>
            </w:pPr>
            <w:r w:rsidRPr="00CD43D5">
              <w:rPr>
                <w:i/>
              </w:rPr>
              <w:t>Följande beslut skall antecknas i fastighetsregistrets inskrivningsdel när de har vunnit laga kraft:</w:t>
            </w:r>
          </w:p>
          <w:p w:rsidR="00441AFC" w:rsidRPr="00CD43D5" w:rsidRDefault="00441AFC">
            <w:pPr>
              <w:pStyle w:val="Normaltindrag"/>
            </w:pPr>
            <w:r w:rsidRPr="00CD43D5">
              <w:rPr>
                <w:i/>
              </w:rPr>
              <w:t>1. beslut om att en ägare eller en tidigare ägare skall betala ersät</w:t>
            </w:r>
            <w:r w:rsidRPr="00CD43D5">
              <w:rPr>
                <w:i/>
              </w:rPr>
              <w:t>t</w:t>
            </w:r>
            <w:r w:rsidRPr="00CD43D5">
              <w:rPr>
                <w:i/>
              </w:rPr>
              <w:t>ning enligt 1 § första stycket,</w:t>
            </w:r>
          </w:p>
          <w:p w:rsidR="00441AFC" w:rsidRPr="00CD43D5" w:rsidRDefault="00441AFC">
            <w:pPr>
              <w:pStyle w:val="Normaltindrag"/>
            </w:pPr>
            <w:r w:rsidRPr="00CD43D5">
              <w:rPr>
                <w:i/>
              </w:rPr>
              <w:t>2. beslut om rätt enligt 5 kap. 31 § tredje stycket fastighetsbil</w:t>
            </w:r>
            <w:r w:rsidRPr="00CD43D5">
              <w:rPr>
                <w:i/>
              </w:rPr>
              <w:t>d</w:t>
            </w:r>
            <w:r w:rsidRPr="00CD43D5">
              <w:rPr>
                <w:i/>
              </w:rPr>
              <w:t>ningslagen (1970:988) att ta ut skog, samt</w:t>
            </w:r>
          </w:p>
          <w:p w:rsidR="00441AFC" w:rsidRPr="00CD43D5" w:rsidRDefault="00441AFC">
            <w:pPr>
              <w:pStyle w:val="Normaltindrag"/>
            </w:pPr>
            <w:r w:rsidRPr="00CD43D5">
              <w:rPr>
                <w:i/>
              </w:rPr>
              <w:t>3. beslut enligt 5 kap. 12 a § första stycket fastighetsbildningsl</w:t>
            </w:r>
            <w:r w:rsidRPr="00CD43D5">
              <w:rPr>
                <w:i/>
              </w:rPr>
              <w:t>a</w:t>
            </w:r>
            <w:r w:rsidRPr="00CD43D5">
              <w:rPr>
                <w:i/>
              </w:rPr>
              <w:t>gen.</w:t>
            </w:r>
          </w:p>
          <w:p w:rsidR="00441AFC" w:rsidRPr="00CD43D5" w:rsidRDefault="00441AFC">
            <w:pPr>
              <w:pStyle w:val="Normaltindrag"/>
            </w:pPr>
            <w:r w:rsidRPr="00CD43D5">
              <w:rPr>
                <w:i/>
              </w:rPr>
              <w:t>Beslut som anges i första stycket 1 och 2 skall dock inte antecknas, om</w:t>
            </w:r>
            <w:r w:rsidRPr="00CD43D5">
              <w:t xml:space="preserve"> det sammanlagda kapitalbelo</w:t>
            </w:r>
            <w:r w:rsidRPr="00CD43D5">
              <w:t>p</w:t>
            </w:r>
            <w:r w:rsidRPr="00CD43D5">
              <w:t xml:space="preserve">pet av de ersättningar för vilka </w:t>
            </w:r>
            <w:r w:rsidRPr="00CD43D5">
              <w:rPr>
                <w:i/>
              </w:rPr>
              <w:t xml:space="preserve">en </w:t>
            </w:r>
            <w:r w:rsidRPr="00CD43D5">
              <w:t xml:space="preserve">fastighet enligt 1 § första stycket </w:t>
            </w:r>
            <w:r w:rsidRPr="00CD43D5">
              <w:rPr>
                <w:i/>
              </w:rPr>
              <w:t>svarar</w:t>
            </w:r>
            <w:r w:rsidRPr="00CD43D5">
              <w:t xml:space="preserve"> </w:t>
            </w:r>
            <w:r w:rsidRPr="00CD43D5">
              <w:rPr>
                <w:i/>
              </w:rPr>
              <w:t>inte uppgår</w:t>
            </w:r>
            <w:r w:rsidRPr="00CD43D5">
              <w:t xml:space="preserve"> till ettusen kr</w:t>
            </w:r>
            <w:r w:rsidRPr="00CD43D5">
              <w:t>o</w:t>
            </w:r>
            <w:r w:rsidRPr="00CD43D5">
              <w:t>nor.</w:t>
            </w: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07" w:name="_Toc412971134"/>
      <w:bookmarkStart w:id="108" w:name="_Toc414097186"/>
      <w:bookmarkStart w:id="109" w:name="_Toc465144162"/>
      <w:bookmarkStart w:id="110" w:name="_Toc465577139"/>
      <w:bookmarkStart w:id="111" w:name="_Toc469212237"/>
      <w:bookmarkStart w:id="112" w:name="_Toc479046920"/>
      <w:r w:rsidRPr="00CD43D5">
        <w:t>14. Förslag till lag om ändring i lagen (1971:1037) om äganderättsutredning och legalisering</w:t>
      </w:r>
      <w:bookmarkEnd w:id="107"/>
      <w:bookmarkEnd w:id="108"/>
      <w:bookmarkEnd w:id="109"/>
      <w:bookmarkEnd w:id="110"/>
      <w:bookmarkEnd w:id="111"/>
      <w:bookmarkEnd w:id="112"/>
      <w:r w:rsidRPr="00CD43D5">
        <w:t xml:space="preserve"> </w:t>
      </w:r>
    </w:p>
    <w:p w:rsidR="00441AFC" w:rsidRPr="00CD43D5" w:rsidRDefault="00441AFC">
      <w:pPr>
        <w:pStyle w:val="Normaltindrag"/>
      </w:pPr>
    </w:p>
    <w:p w:rsidR="00441AFC" w:rsidRPr="00CD43D5" w:rsidRDefault="00441AFC">
      <w:pPr>
        <w:pStyle w:val="Normaltindrag"/>
      </w:pPr>
      <w:r w:rsidRPr="00CD43D5">
        <w:t>Härigenom föreskrivs att i 11 § lagen (1971:1037) om äganderättsutre</w:t>
      </w:r>
      <w:r w:rsidRPr="00CD43D5">
        <w:t>d</w:t>
      </w:r>
      <w:r w:rsidRPr="00CD43D5">
        <w:t>ning och legalisering</w:t>
      </w:r>
      <w:r w:rsidRPr="00CD43D5">
        <w:rPr>
          <w:rStyle w:val="Fotnotsreferens"/>
        </w:rPr>
        <w:footnoteReference w:customMarkFollows="1" w:id="20"/>
        <w:t>1</w:t>
      </w:r>
      <w:r w:rsidRPr="00CD43D5">
        <w:t xml:space="preserve"> ordet ”fastighetsboken” skall bytas ut mot ”fastighetsregistrets inskrivningsdel”.</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13" w:name="_Toc412971135"/>
      <w:bookmarkStart w:id="114" w:name="_Toc414097187"/>
      <w:bookmarkStart w:id="115" w:name="_Toc465144163"/>
      <w:bookmarkStart w:id="116" w:name="_Toc465577140"/>
      <w:bookmarkStart w:id="117" w:name="_Toc469212238"/>
      <w:bookmarkStart w:id="118" w:name="_Toc479046921"/>
      <w:r w:rsidRPr="00CD43D5">
        <w:t>15. Förslag till lag om ändring i expropriationslagen (1972:719)</w:t>
      </w:r>
      <w:bookmarkEnd w:id="113"/>
      <w:bookmarkEnd w:id="114"/>
      <w:bookmarkEnd w:id="115"/>
      <w:bookmarkEnd w:id="116"/>
      <w:bookmarkEnd w:id="117"/>
      <w:bookmarkEnd w:id="118"/>
    </w:p>
    <w:p w:rsidR="00441AFC" w:rsidRPr="00CD43D5" w:rsidRDefault="00441AFC">
      <w:pPr>
        <w:pStyle w:val="Normaltindrag"/>
      </w:pPr>
    </w:p>
    <w:p w:rsidR="00441AFC" w:rsidRPr="00CD43D5" w:rsidRDefault="00441AFC">
      <w:pPr>
        <w:pStyle w:val="Normaltindrag"/>
      </w:pPr>
      <w:r w:rsidRPr="00CD43D5">
        <w:t>Härigenom föreskrivs i fråga om expropriationslagen (1972:719)</w:t>
      </w:r>
    </w:p>
    <w:p w:rsidR="00441AFC" w:rsidRPr="00CD43D5" w:rsidRDefault="00441AFC">
      <w:pPr>
        <w:pStyle w:val="Normaltindrag"/>
      </w:pPr>
      <w:r w:rsidRPr="00CD43D5">
        <w:rPr>
          <w:i/>
        </w:rPr>
        <w:t>dels</w:t>
      </w:r>
      <w:r w:rsidRPr="00CD43D5">
        <w:t xml:space="preserve"> att i 5 kap. 11 § ordet ”fastighetsboken” skall bytas ut mot ”fastighetsregistrets inskrivningsdel”,</w:t>
      </w:r>
    </w:p>
    <w:p w:rsidR="00441AFC" w:rsidRPr="00CD43D5" w:rsidRDefault="00441AFC">
      <w:pPr>
        <w:pStyle w:val="Normaltindrag"/>
      </w:pPr>
      <w:r w:rsidRPr="00CD43D5">
        <w:rPr>
          <w:i/>
        </w:rPr>
        <w:t xml:space="preserve">dels </w:t>
      </w:r>
      <w:r w:rsidRPr="00CD43D5">
        <w:t>att 6 kap. 11 §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p>
    <w:p w:rsidR="00441AFC" w:rsidRPr="00CD43D5" w:rsidRDefault="00441AFC">
      <w:pPr>
        <w:spacing w:before="0"/>
        <w:jc w:val="center"/>
      </w:pPr>
      <w:r w:rsidRPr="00CD43D5">
        <w:rPr>
          <w:b/>
        </w:rPr>
        <w:t>6 kap.</w:t>
      </w:r>
    </w:p>
    <w:p w:rsidR="00441AFC" w:rsidRPr="00CD43D5" w:rsidRDefault="00441AFC">
      <w:pPr>
        <w:spacing w:before="0"/>
        <w:jc w:val="center"/>
      </w:pPr>
      <w:r w:rsidRPr="00CD43D5">
        <w:t>11 §</w:t>
      </w:r>
    </w:p>
    <w:p w:rsidR="00441AFC" w:rsidRPr="00CD43D5" w:rsidRDefault="00441AFC">
      <w:pPr>
        <w:pStyle w:val="Normaltindrag"/>
      </w:pPr>
      <w:r w:rsidRPr="00CD43D5">
        <w:t>Försummar den exproprierande att inom föreskriven tid iakttaga vad som åligger honom enligt 1 § första stycket och 4 § och har ej fastigheten helt eller delvis tillträtts eller övergått på den exproprierande enligt 10 §, är e</w:t>
      </w:r>
      <w:r w:rsidRPr="00CD43D5">
        <w:t>x</w:t>
      </w:r>
      <w:r w:rsidRPr="00CD43D5">
        <w:t>propriationsrätten förverkad.</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spacing w:val="-2"/>
              </w:rPr>
              <w:t xml:space="preserve">Vill </w:t>
            </w:r>
            <w:r w:rsidRPr="00CD43D5">
              <w:rPr>
                <w:spacing w:val="-2"/>
              </w:rPr>
              <w:t>fastighetsägaren att expropri</w:t>
            </w:r>
            <w:r w:rsidRPr="00CD43D5">
              <w:rPr>
                <w:spacing w:val="-2"/>
              </w:rPr>
              <w:t>a</w:t>
            </w:r>
            <w:r w:rsidRPr="00CD43D5">
              <w:rPr>
                <w:spacing w:val="-2"/>
              </w:rPr>
              <w:t xml:space="preserve">tionen ändå skall fullbordas, </w:t>
            </w:r>
            <w:r w:rsidRPr="00CD43D5">
              <w:rPr>
                <w:i/>
                <w:spacing w:val="-2"/>
              </w:rPr>
              <w:t xml:space="preserve">har </w:t>
            </w:r>
            <w:r w:rsidRPr="00CD43D5">
              <w:rPr>
                <w:spacing w:val="-2"/>
              </w:rPr>
              <w:t xml:space="preserve">han </w:t>
            </w:r>
            <w:r w:rsidRPr="00CD43D5">
              <w:rPr>
                <w:i/>
                <w:spacing w:val="-2"/>
              </w:rPr>
              <w:t xml:space="preserve">att </w:t>
            </w:r>
            <w:r w:rsidRPr="00CD43D5">
              <w:rPr>
                <w:spacing w:val="-2"/>
              </w:rPr>
              <w:t>inom tre månader efter förve</w:t>
            </w:r>
            <w:r w:rsidRPr="00CD43D5">
              <w:rPr>
                <w:spacing w:val="-2"/>
              </w:rPr>
              <w:t>r</w:t>
            </w:r>
            <w:r w:rsidRPr="00CD43D5">
              <w:rPr>
                <w:spacing w:val="-2"/>
              </w:rPr>
              <w:t xml:space="preserve">kandet begära det hos länsstyrelsen. </w:t>
            </w:r>
            <w:r w:rsidRPr="00CD43D5">
              <w:rPr>
                <w:i/>
                <w:spacing w:val="-2"/>
              </w:rPr>
              <w:t>Vill han det ej</w:t>
            </w:r>
            <w:r w:rsidRPr="00CD43D5">
              <w:rPr>
                <w:spacing w:val="-2"/>
              </w:rPr>
              <w:t>, får han hos fasti</w:t>
            </w:r>
            <w:r w:rsidRPr="00CD43D5">
              <w:rPr>
                <w:spacing w:val="-2"/>
              </w:rPr>
              <w:t>g</w:t>
            </w:r>
            <w:r w:rsidRPr="00CD43D5">
              <w:rPr>
                <w:spacing w:val="-2"/>
              </w:rPr>
              <w:t>hetsdomstolen visa att expropri</w:t>
            </w:r>
            <w:r w:rsidRPr="00CD43D5">
              <w:rPr>
                <w:spacing w:val="-2"/>
              </w:rPr>
              <w:t>a</w:t>
            </w:r>
            <w:r w:rsidRPr="00CD43D5">
              <w:rPr>
                <w:spacing w:val="-2"/>
              </w:rPr>
              <w:t xml:space="preserve">tionsrätten är förverkad. Gör han det, skall domstolen anmäla förverkandet till inskrivningsmyndigheten för anteckning </w:t>
            </w:r>
            <w:r w:rsidRPr="00CD43D5">
              <w:rPr>
                <w:i/>
                <w:spacing w:val="-2"/>
              </w:rPr>
              <w:t>i fastighetsboken. Vad som sagts nu om anteckning i fasti</w:t>
            </w:r>
            <w:r w:rsidRPr="00CD43D5">
              <w:rPr>
                <w:i/>
                <w:spacing w:val="-2"/>
              </w:rPr>
              <w:t>g</w:t>
            </w:r>
            <w:r w:rsidRPr="00CD43D5">
              <w:rPr>
                <w:i/>
                <w:spacing w:val="-2"/>
              </w:rPr>
              <w:t>hetsboken äger, när fråga är om tomträtt, motsvarande tillämpning beträffande tomträttsboken.</w:t>
            </w:r>
          </w:p>
        </w:tc>
        <w:tc>
          <w:tcPr>
            <w:tcW w:w="3118" w:type="dxa"/>
          </w:tcPr>
          <w:p w:rsidR="00441AFC" w:rsidRPr="00CD43D5" w:rsidRDefault="00441AFC">
            <w:pPr>
              <w:pStyle w:val="Normaltindrag"/>
            </w:pPr>
            <w:r w:rsidRPr="00CD43D5">
              <w:rPr>
                <w:i/>
              </w:rPr>
              <w:t xml:space="preserve">Om </w:t>
            </w:r>
            <w:r w:rsidRPr="00CD43D5">
              <w:t xml:space="preserve">fastighetsägaren </w:t>
            </w:r>
            <w:r w:rsidRPr="00CD43D5">
              <w:rPr>
                <w:i/>
              </w:rPr>
              <w:t xml:space="preserve">vill </w:t>
            </w:r>
            <w:r w:rsidRPr="00CD43D5">
              <w:t>att e</w:t>
            </w:r>
            <w:r w:rsidRPr="00CD43D5">
              <w:t>x</w:t>
            </w:r>
            <w:r w:rsidRPr="00CD43D5">
              <w:t xml:space="preserve">propriationen ändå skall fullbordas, </w:t>
            </w:r>
            <w:r w:rsidRPr="00CD43D5">
              <w:rPr>
                <w:i/>
              </w:rPr>
              <w:t xml:space="preserve">skall </w:t>
            </w:r>
            <w:r w:rsidRPr="00CD43D5">
              <w:t>han inom tre månader efter förverkandet begära det hos länsst</w:t>
            </w:r>
            <w:r w:rsidRPr="00CD43D5">
              <w:t>y</w:t>
            </w:r>
            <w:r w:rsidRPr="00CD43D5">
              <w:t xml:space="preserve">relsen. </w:t>
            </w:r>
            <w:r w:rsidRPr="00CD43D5">
              <w:rPr>
                <w:i/>
              </w:rPr>
              <w:t>Om han inte vill att expr</w:t>
            </w:r>
            <w:r w:rsidRPr="00CD43D5">
              <w:rPr>
                <w:i/>
              </w:rPr>
              <w:t>o</w:t>
            </w:r>
            <w:r w:rsidRPr="00CD43D5">
              <w:rPr>
                <w:i/>
              </w:rPr>
              <w:t>priationen skall fullbordas</w:t>
            </w:r>
            <w:r w:rsidRPr="00CD43D5">
              <w:t>, får han hos fastighetsdomstolen visa att expropriationsrätten är förverkad. Gör han det, skall domstolen a</w:t>
            </w:r>
            <w:r w:rsidRPr="00CD43D5">
              <w:t>n</w:t>
            </w:r>
            <w:r w:rsidRPr="00CD43D5">
              <w:t>mäla förverkandet till inskrivnin</w:t>
            </w:r>
            <w:r w:rsidRPr="00CD43D5">
              <w:t>g</w:t>
            </w:r>
            <w:r w:rsidRPr="00CD43D5">
              <w:t xml:space="preserve">s-myndigheten för anteckning i </w:t>
            </w:r>
            <w:r w:rsidRPr="00CD43D5">
              <w:rPr>
                <w:i/>
              </w:rPr>
              <w:t>fa</w:t>
            </w:r>
            <w:r w:rsidRPr="00CD43D5">
              <w:rPr>
                <w:i/>
              </w:rPr>
              <w:t>s</w:t>
            </w:r>
            <w:r w:rsidRPr="00CD43D5">
              <w:rPr>
                <w:i/>
              </w:rPr>
              <w:t>tighetsregistrets inskrivningsdel</w:t>
            </w:r>
            <w:r w:rsidRPr="00CD43D5">
              <w:t>.</w:t>
            </w:r>
          </w:p>
          <w:p w:rsidR="00441AFC" w:rsidRPr="00CD43D5" w:rsidRDefault="00441AFC">
            <w:pPr>
              <w:pStyle w:val="Normaltindrag"/>
            </w:pPr>
          </w:p>
        </w:tc>
      </w:tr>
    </w:tbl>
    <w:p w:rsidR="00441AFC" w:rsidRPr="00CD43D5" w:rsidRDefault="00441AFC">
      <w:r w:rsidRPr="00CD43D5">
        <w:rPr>
          <w:u w:val="single"/>
        </w:rPr>
        <w:t>                                     </w:t>
      </w:r>
    </w:p>
    <w:p w:rsidR="00441AFC" w:rsidRPr="00CD43D5" w:rsidRDefault="00441AFC"/>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19" w:name="_Toc412971136"/>
      <w:bookmarkStart w:id="120" w:name="_Toc414097188"/>
      <w:bookmarkStart w:id="121" w:name="_Toc465144164"/>
      <w:bookmarkStart w:id="122" w:name="_Toc465577141"/>
      <w:bookmarkStart w:id="123" w:name="_Toc469212239"/>
      <w:bookmarkStart w:id="124" w:name="_Toc479046922"/>
      <w:r w:rsidRPr="00CD43D5">
        <w:t>16. Förslag till lag om ändring i ledningsrättslagen (1973:1144)</w:t>
      </w:r>
      <w:bookmarkEnd w:id="119"/>
      <w:bookmarkEnd w:id="120"/>
      <w:bookmarkEnd w:id="121"/>
      <w:bookmarkEnd w:id="122"/>
      <w:bookmarkEnd w:id="123"/>
      <w:bookmarkEnd w:id="124"/>
    </w:p>
    <w:p w:rsidR="00441AFC" w:rsidRPr="00CD43D5" w:rsidRDefault="00441AFC">
      <w:pPr>
        <w:pStyle w:val="Normaltindrag"/>
      </w:pPr>
    </w:p>
    <w:p w:rsidR="00441AFC" w:rsidRPr="00CD43D5" w:rsidRDefault="00441AFC">
      <w:pPr>
        <w:pStyle w:val="Normaltindrag"/>
      </w:pPr>
      <w:r w:rsidRPr="00CD43D5">
        <w:t>Härigenom föreskrivs att 32 § ledningsrättslagen (1973:1144) skall ha fö</w:t>
      </w:r>
      <w:r w:rsidRPr="00CD43D5">
        <w:t>l</w:t>
      </w:r>
      <w:r w:rsidRPr="00CD43D5">
        <w:t>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p>
    <w:p w:rsidR="00441AFC" w:rsidRPr="00CD43D5" w:rsidRDefault="00441AFC">
      <w:pPr>
        <w:jc w:val="center"/>
      </w:pPr>
      <w:r w:rsidRPr="00CD43D5">
        <w:t>32 §</w:t>
      </w:r>
      <w:r w:rsidRPr="00CD43D5">
        <w:rPr>
          <w:rStyle w:val="Fotnotsreferens"/>
        </w:rPr>
        <w:footnoteReference w:customMarkFollows="1" w:id="21"/>
        <w:t>1</w:t>
      </w:r>
      <w:r w:rsidRPr="00CD43D5">
        <w:rPr>
          <w:sz w:val="16"/>
        </w:rPr>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Sedan en förrättning enligt denna lag har avslutats och vunnit laga kraft skall uppgift om den snarast möjligt föras in i </w:t>
            </w:r>
            <w:r w:rsidRPr="00CD43D5">
              <w:rPr>
                <w:i/>
              </w:rPr>
              <w:t>fastighetsregistret</w:t>
            </w:r>
            <w:r w:rsidRPr="00CD43D5">
              <w:t xml:space="preserve">. Har förrättningen överklagats, skall uppgiften föras in i </w:t>
            </w:r>
            <w:r w:rsidRPr="00CD43D5">
              <w:rPr>
                <w:i/>
              </w:rPr>
              <w:t xml:space="preserve">registret </w:t>
            </w:r>
            <w:r w:rsidRPr="00CD43D5">
              <w:t>snarast möjligt sedan domstolens avgöra</w:t>
            </w:r>
            <w:r w:rsidRPr="00CD43D5">
              <w:t>n</w:t>
            </w:r>
            <w:r w:rsidRPr="00CD43D5">
              <w:t>de vunnit laga kraft.</w:t>
            </w:r>
          </w:p>
          <w:p w:rsidR="00441AFC" w:rsidRPr="00CD43D5" w:rsidRDefault="00441AFC">
            <w:pPr>
              <w:pStyle w:val="Normaltindrag"/>
            </w:pPr>
          </w:p>
          <w:p w:rsidR="00441AFC" w:rsidRPr="00CD43D5" w:rsidRDefault="00441AFC">
            <w:pPr>
              <w:pStyle w:val="Normaltindrag"/>
            </w:pPr>
            <w:r w:rsidRPr="00CD43D5">
              <w:t xml:space="preserve">Uppgift om ledningsbeslut som har kunnat överklagas särskilt får föras in i </w:t>
            </w:r>
            <w:r w:rsidRPr="00CD43D5">
              <w:rPr>
                <w:i/>
              </w:rPr>
              <w:t xml:space="preserve">registret </w:t>
            </w:r>
            <w:r w:rsidRPr="00CD43D5">
              <w:t>även om förrät</w:t>
            </w:r>
            <w:r w:rsidRPr="00CD43D5">
              <w:t>t</w:t>
            </w:r>
            <w:r w:rsidRPr="00CD43D5">
              <w:t>ningen inte har avslutats. Uppgiften får dock inte föras in innan beslutet har vunnit laga kraft.</w:t>
            </w:r>
          </w:p>
          <w:p w:rsidR="00441AFC" w:rsidRPr="00CD43D5" w:rsidRDefault="00441AFC">
            <w:pPr>
              <w:pStyle w:val="Normaltindrag"/>
            </w:pPr>
          </w:p>
          <w:p w:rsidR="00441AFC" w:rsidRPr="00CD43D5" w:rsidRDefault="00441AFC">
            <w:pPr>
              <w:pStyle w:val="Normaltindrag"/>
            </w:pPr>
            <w:r w:rsidRPr="00CD43D5">
              <w:t>När ett beslut eller en åtgärd vid en avslutad förrättning har överkl</w:t>
            </w:r>
            <w:r w:rsidRPr="00CD43D5">
              <w:t>a</w:t>
            </w:r>
            <w:r w:rsidRPr="00CD43D5">
              <w:t>gats eller när ett ledningsbeslut har överklagats särskilt, får trots detta uppgift med anledning av förrät</w:t>
            </w:r>
            <w:r w:rsidRPr="00CD43D5">
              <w:t>t</w:t>
            </w:r>
            <w:r w:rsidRPr="00CD43D5">
              <w:t xml:space="preserve">ningen eller beslutet föras in i </w:t>
            </w:r>
            <w:r w:rsidRPr="00CD43D5">
              <w:rPr>
                <w:i/>
              </w:rPr>
              <w:t>r</w:t>
            </w:r>
            <w:r w:rsidRPr="00CD43D5">
              <w:rPr>
                <w:i/>
              </w:rPr>
              <w:t>e</w:t>
            </w:r>
            <w:r w:rsidRPr="00CD43D5">
              <w:rPr>
                <w:i/>
              </w:rPr>
              <w:t>gistret</w:t>
            </w:r>
            <w:r w:rsidRPr="00CD43D5">
              <w:t xml:space="preserve"> i fråga om sådan del som uppenbart inte berörs av överkl</w:t>
            </w:r>
            <w:r w:rsidRPr="00CD43D5">
              <w:t>a</w:t>
            </w:r>
            <w:r w:rsidRPr="00CD43D5">
              <w:t>gandet. Detsamma gäller när ett domstolsavgörande i mål enligt denna lag har överklagats.</w:t>
            </w:r>
          </w:p>
          <w:p w:rsidR="00441AFC" w:rsidRPr="00CD43D5" w:rsidRDefault="00441AFC">
            <w:pPr>
              <w:pStyle w:val="Normaltindrag"/>
            </w:pPr>
            <w:r w:rsidRPr="00CD43D5">
              <w:rPr>
                <w:i/>
              </w:rPr>
              <w:t>Anteckning skall även göras när ett förrättningsbeslut har upphört att gälla.</w:t>
            </w:r>
          </w:p>
        </w:tc>
        <w:tc>
          <w:tcPr>
            <w:tcW w:w="3118" w:type="dxa"/>
          </w:tcPr>
          <w:p w:rsidR="00441AFC" w:rsidRPr="00CD43D5" w:rsidRDefault="00441AFC">
            <w:pPr>
              <w:pStyle w:val="Normaltindrag"/>
            </w:pPr>
            <w:r w:rsidRPr="00CD43D5">
              <w:t xml:space="preserve">Sedan en förrättning enligt denna lag har avslutats och vunnit laga kraft skall uppgift om den snarast möjligt föras in i </w:t>
            </w:r>
            <w:r w:rsidRPr="00CD43D5">
              <w:rPr>
                <w:i/>
              </w:rPr>
              <w:t>fastighetsregistrets allmänna del.</w:t>
            </w:r>
            <w:r w:rsidRPr="00CD43D5">
              <w:t xml:space="preserve"> Har förrättningen överklagats, skall uppgiften föras in </w:t>
            </w:r>
            <w:r w:rsidRPr="00CD43D5">
              <w:rPr>
                <w:i/>
              </w:rPr>
              <w:t>där</w:t>
            </w:r>
            <w:r w:rsidRPr="00CD43D5">
              <w:t xml:space="preserve"> snarast möjligt sedan domst</w:t>
            </w:r>
            <w:r w:rsidRPr="00CD43D5">
              <w:t>o</w:t>
            </w:r>
            <w:r w:rsidRPr="00CD43D5">
              <w:t xml:space="preserve">lens avgörande </w:t>
            </w:r>
            <w:r w:rsidRPr="00CD43D5">
              <w:rPr>
                <w:i/>
              </w:rPr>
              <w:t xml:space="preserve">har </w:t>
            </w:r>
            <w:r w:rsidRPr="00CD43D5">
              <w:t>vunnit laga kraft.</w:t>
            </w:r>
          </w:p>
          <w:p w:rsidR="00441AFC" w:rsidRPr="00CD43D5" w:rsidRDefault="00441AFC">
            <w:pPr>
              <w:pStyle w:val="Normaltindrag"/>
            </w:pPr>
            <w:r w:rsidRPr="00CD43D5">
              <w:t xml:space="preserve">Uppgift om ledningsbeslut som har kunnat överklagas särskilt får föras in i </w:t>
            </w:r>
            <w:r w:rsidRPr="00CD43D5">
              <w:rPr>
                <w:i/>
              </w:rPr>
              <w:t xml:space="preserve">registrets allmänna del </w:t>
            </w:r>
            <w:r w:rsidRPr="00CD43D5">
              <w:t>även om förrättningen inte har avslutats. Uppgiften får dock inte föras in innan beslutet har vunnit laga kraft.</w:t>
            </w:r>
          </w:p>
          <w:p w:rsidR="00441AFC" w:rsidRPr="00CD43D5" w:rsidRDefault="00441AFC">
            <w:pPr>
              <w:pStyle w:val="Normaltindrag"/>
            </w:pPr>
            <w:r w:rsidRPr="00CD43D5">
              <w:t>När ett beslut eller en åtgärd vid en avslutad förrättning har överkl</w:t>
            </w:r>
            <w:r w:rsidRPr="00CD43D5">
              <w:t>a</w:t>
            </w:r>
            <w:r w:rsidRPr="00CD43D5">
              <w:t>gats eller när ett ledningsbeslut har överklagats särskilt, får trots detta uppgift med anledning av förrät</w:t>
            </w:r>
            <w:r w:rsidRPr="00CD43D5">
              <w:t>t</w:t>
            </w:r>
            <w:r w:rsidRPr="00CD43D5">
              <w:t xml:space="preserve">ningen eller beslutet föras in i </w:t>
            </w:r>
            <w:r w:rsidRPr="00CD43D5">
              <w:rPr>
                <w:i/>
              </w:rPr>
              <w:t>r</w:t>
            </w:r>
            <w:r w:rsidRPr="00CD43D5">
              <w:rPr>
                <w:i/>
              </w:rPr>
              <w:t>e</w:t>
            </w:r>
            <w:r w:rsidRPr="00CD43D5">
              <w:rPr>
                <w:i/>
              </w:rPr>
              <w:t>gistret</w:t>
            </w:r>
            <w:r w:rsidRPr="00CD43D5">
              <w:t xml:space="preserve">s </w:t>
            </w:r>
            <w:r w:rsidRPr="00CD43D5">
              <w:rPr>
                <w:i/>
              </w:rPr>
              <w:t>allmänna del</w:t>
            </w:r>
            <w:r w:rsidRPr="00CD43D5">
              <w:t xml:space="preserve"> i fråga om sådan del som uppenbart inte berörs av överklagandet. Detsamma gäller när ett domstolsavgörande i mål enligt denna lag har överklagats.</w:t>
            </w:r>
          </w:p>
          <w:p w:rsidR="00441AFC" w:rsidRPr="00CD43D5" w:rsidRDefault="00441AFC">
            <w:pPr>
              <w:pStyle w:val="Normaltindrag"/>
              <w:rPr>
                <w:i/>
              </w:rPr>
            </w:pPr>
            <w:r w:rsidRPr="00CD43D5">
              <w:rPr>
                <w:i/>
              </w:rPr>
              <w:t>Om ett förrättningsbeslut har upphört att gälla, skall anteckning enligt första–tredje styckena tas bort.</w:t>
            </w: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25" w:name="_Toc412971137"/>
      <w:bookmarkStart w:id="126" w:name="_Toc414097189"/>
      <w:bookmarkStart w:id="127" w:name="_Toc465144165"/>
      <w:bookmarkStart w:id="128" w:name="_Toc465577142"/>
      <w:bookmarkStart w:id="129" w:name="_Toc469212240"/>
      <w:bookmarkStart w:id="130" w:name="_Toc479046923"/>
      <w:r w:rsidRPr="00CD43D5">
        <w:t>17. Förslag till lag om ändring i anläggningslagen (1973:1149)</w:t>
      </w:r>
      <w:bookmarkEnd w:id="125"/>
      <w:bookmarkEnd w:id="126"/>
      <w:bookmarkEnd w:id="127"/>
      <w:bookmarkEnd w:id="128"/>
      <w:bookmarkEnd w:id="129"/>
      <w:bookmarkEnd w:id="130"/>
    </w:p>
    <w:p w:rsidR="00441AFC" w:rsidRPr="00CD43D5" w:rsidRDefault="00441AFC">
      <w:pPr>
        <w:pStyle w:val="Normaltindrag"/>
      </w:pPr>
    </w:p>
    <w:p w:rsidR="00441AFC" w:rsidRPr="00CD43D5" w:rsidRDefault="00441AFC">
      <w:pPr>
        <w:pStyle w:val="Normaltindrag"/>
      </w:pPr>
      <w:r w:rsidRPr="00CD43D5">
        <w:t>Härigenom föreskrivs att 34 § anläggningslagen (1973:1149) skall ha fö</w:t>
      </w:r>
      <w:r w:rsidRPr="00CD43D5">
        <w:t>l</w:t>
      </w:r>
      <w:r w:rsidRPr="00CD43D5">
        <w:t>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pStyle w:val="Normaltindrag"/>
      </w:pPr>
    </w:p>
    <w:p w:rsidR="00441AFC" w:rsidRPr="00CD43D5" w:rsidRDefault="00441AFC">
      <w:pPr>
        <w:jc w:val="center"/>
      </w:pPr>
      <w:r w:rsidRPr="00CD43D5">
        <w:t>34 §</w:t>
      </w:r>
      <w:r w:rsidRPr="00CD43D5">
        <w:rPr>
          <w:rStyle w:val="Fotnotsreferens"/>
        </w:rPr>
        <w:footnoteReference w:customMarkFollows="1" w:id="22"/>
        <w:t>1</w:t>
      </w:r>
      <w:r w:rsidRPr="00CD43D5">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Sedan en förrättning enligt denna lag har avslutats och vunnit laga kraft skall uppgift om den snarast möjligt föras in i </w:t>
            </w:r>
            <w:r w:rsidRPr="00CD43D5">
              <w:rPr>
                <w:i/>
              </w:rPr>
              <w:t>fastighetsregistret.</w:t>
            </w:r>
            <w:r w:rsidRPr="00CD43D5">
              <w:t xml:space="preserve"> Har förrättningen överklagats, skall uppgiften föras in i </w:t>
            </w:r>
            <w:r w:rsidRPr="00CD43D5">
              <w:rPr>
                <w:i/>
              </w:rPr>
              <w:t>registret</w:t>
            </w:r>
            <w:r w:rsidRPr="00CD43D5">
              <w:t xml:space="preserve"> snarast möjligt sedan domstolens avgöra</w:t>
            </w:r>
            <w:r w:rsidRPr="00CD43D5">
              <w:t>n</w:t>
            </w:r>
            <w:r w:rsidRPr="00CD43D5">
              <w:t>de vunnit laga kraft.</w:t>
            </w:r>
          </w:p>
          <w:p w:rsidR="00441AFC" w:rsidRPr="00CD43D5" w:rsidRDefault="00441AFC">
            <w:pPr>
              <w:pStyle w:val="Normaltindrag"/>
            </w:pPr>
          </w:p>
          <w:p w:rsidR="00441AFC" w:rsidRPr="00CD43D5" w:rsidRDefault="00441AFC">
            <w:pPr>
              <w:pStyle w:val="Normaltindrag"/>
            </w:pPr>
            <w:r w:rsidRPr="00CD43D5">
              <w:t xml:space="preserve">Uppgift om anläggningsbeslut som har kunnat överklagas särskilt får föras in i </w:t>
            </w:r>
            <w:r w:rsidRPr="00CD43D5">
              <w:rPr>
                <w:i/>
              </w:rPr>
              <w:t>registret</w:t>
            </w:r>
            <w:r w:rsidRPr="00CD43D5">
              <w:t xml:space="preserve"> även om förrättningen inte har avslutats. Uppgiften får dock inte föras in innan beslutet har vunnit laga kraft.</w:t>
            </w:r>
          </w:p>
          <w:p w:rsidR="00441AFC" w:rsidRPr="00CD43D5" w:rsidRDefault="00441AFC">
            <w:pPr>
              <w:pStyle w:val="Normaltindrag"/>
            </w:pPr>
          </w:p>
          <w:p w:rsidR="00441AFC" w:rsidRPr="00CD43D5" w:rsidRDefault="00441AFC">
            <w:pPr>
              <w:pStyle w:val="Normaltindrag"/>
            </w:pPr>
            <w:r w:rsidRPr="00CD43D5">
              <w:t>När ett beslut eller en åtgärd vid en avslutad förrättning har överkl</w:t>
            </w:r>
            <w:r w:rsidRPr="00CD43D5">
              <w:t>a</w:t>
            </w:r>
            <w:r w:rsidRPr="00CD43D5">
              <w:t xml:space="preserve">gats eller när ett anläggningsbeslut har överklagats särskilt, får trots detta uppgift med anledning av förrättningen eller beslutet föras in i </w:t>
            </w:r>
            <w:r w:rsidRPr="00CD43D5">
              <w:rPr>
                <w:i/>
              </w:rPr>
              <w:t>registret</w:t>
            </w:r>
            <w:r w:rsidRPr="00CD43D5">
              <w:t xml:space="preserve"> i fråga om sådan del som uppenbart inte berörs av överkl</w:t>
            </w:r>
            <w:r w:rsidRPr="00CD43D5">
              <w:t>a</w:t>
            </w:r>
            <w:r w:rsidRPr="00CD43D5">
              <w:t>gandet. Detsamma gäller när ett domstolsavgörande i mål enligt denna lag har överklagats.</w:t>
            </w:r>
          </w:p>
          <w:p w:rsidR="00441AFC" w:rsidRPr="00CD43D5" w:rsidRDefault="00441AFC">
            <w:pPr>
              <w:pStyle w:val="Normaltindrag"/>
            </w:pPr>
            <w:r w:rsidRPr="00CD43D5">
              <w:rPr>
                <w:i/>
              </w:rPr>
              <w:t>Anteckning skall även göras när ett förrättningsbeslut har upphört att gälla.</w:t>
            </w:r>
          </w:p>
        </w:tc>
        <w:tc>
          <w:tcPr>
            <w:tcW w:w="3118" w:type="dxa"/>
          </w:tcPr>
          <w:p w:rsidR="00441AFC" w:rsidRPr="00CD43D5" w:rsidRDefault="00441AFC">
            <w:pPr>
              <w:pStyle w:val="Normaltindrag"/>
            </w:pPr>
            <w:r w:rsidRPr="00CD43D5">
              <w:t xml:space="preserve">Sedan en förrättning enligt denna lag har avslutats och vunnit laga kraft skall uppgift om den snarast möjligt föras in i </w:t>
            </w:r>
            <w:r w:rsidRPr="00CD43D5">
              <w:rPr>
                <w:i/>
              </w:rPr>
              <w:t>fastighetsregistrets allmänna del.</w:t>
            </w:r>
            <w:r w:rsidRPr="00CD43D5">
              <w:t xml:space="preserve"> Har förrättningen överklagats, skall uppgiften föras in </w:t>
            </w:r>
            <w:r w:rsidRPr="00CD43D5">
              <w:rPr>
                <w:i/>
              </w:rPr>
              <w:t>där</w:t>
            </w:r>
            <w:r w:rsidRPr="00CD43D5">
              <w:t xml:space="preserve"> snarast möjligt sedan domst</w:t>
            </w:r>
            <w:r w:rsidRPr="00CD43D5">
              <w:t>o</w:t>
            </w:r>
            <w:r w:rsidRPr="00CD43D5">
              <w:t xml:space="preserve">lens avgörande </w:t>
            </w:r>
            <w:r w:rsidRPr="00CD43D5">
              <w:rPr>
                <w:i/>
              </w:rPr>
              <w:t>har</w:t>
            </w:r>
            <w:r w:rsidRPr="00CD43D5">
              <w:t xml:space="preserve"> vunnit laga kraft.</w:t>
            </w:r>
          </w:p>
          <w:p w:rsidR="00441AFC" w:rsidRPr="00CD43D5" w:rsidRDefault="00441AFC">
            <w:pPr>
              <w:pStyle w:val="Normaltindrag"/>
            </w:pPr>
            <w:r w:rsidRPr="00CD43D5">
              <w:t xml:space="preserve">Uppgift om anläggningsbeslut som har kunnat överklagas särskilt får föras in i </w:t>
            </w:r>
            <w:r w:rsidRPr="00CD43D5">
              <w:rPr>
                <w:i/>
              </w:rPr>
              <w:t>registrets allmänna del</w:t>
            </w:r>
            <w:r w:rsidRPr="00CD43D5">
              <w:t xml:space="preserve"> även om förrättningen inte har avslutats. Uppgiften får dock inte föras in innan beslutet har vunnit laga kraft.</w:t>
            </w:r>
          </w:p>
          <w:p w:rsidR="00441AFC" w:rsidRPr="00CD43D5" w:rsidRDefault="00441AFC">
            <w:pPr>
              <w:pStyle w:val="Normaltindrag"/>
            </w:pPr>
            <w:r w:rsidRPr="00CD43D5">
              <w:t>När ett beslut eller en åtgärd vid en avslutad förrättning har överkl</w:t>
            </w:r>
            <w:r w:rsidRPr="00CD43D5">
              <w:t>a</w:t>
            </w:r>
            <w:r w:rsidRPr="00CD43D5">
              <w:t xml:space="preserve">gats eller när ett anläggningsbeslut har överklagats särskilt, får trots detta uppgift med anledning av förrättningen eller beslutet föras in i </w:t>
            </w:r>
            <w:r w:rsidRPr="00CD43D5">
              <w:rPr>
                <w:i/>
              </w:rPr>
              <w:t xml:space="preserve">registrets allmänna del </w:t>
            </w:r>
            <w:r w:rsidRPr="00CD43D5">
              <w:t>i fråga om sådan del som uppenbart inte berörs av överklagandet. Detsamma gäller när ett domstolsavgörande i mål enligt denna lag har överklagats.</w:t>
            </w:r>
          </w:p>
          <w:p w:rsidR="00441AFC" w:rsidRPr="00CD43D5" w:rsidRDefault="00441AFC">
            <w:pPr>
              <w:pStyle w:val="Normaltindrag"/>
            </w:pPr>
            <w:r w:rsidRPr="00CD43D5">
              <w:rPr>
                <w:i/>
              </w:rPr>
              <w:t>Om ett förrättningsbeslut har upphört att gälla, skall anteckning enligt första–tredje styckena tas bort.</w:t>
            </w: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31" w:name="_Toc412971138"/>
      <w:bookmarkStart w:id="132" w:name="_Toc414097190"/>
      <w:bookmarkStart w:id="133" w:name="_Toc465144166"/>
      <w:bookmarkStart w:id="134" w:name="_Toc465577143"/>
      <w:bookmarkStart w:id="135" w:name="_Toc469212241"/>
      <w:bookmarkStart w:id="136" w:name="_Toc479046924"/>
      <w:r w:rsidRPr="00CD43D5">
        <w:t>18. Förslag till lag om ändring i lagen (1975:1132) om förvärv av hyresfastighet m.m.</w:t>
      </w:r>
      <w:bookmarkEnd w:id="131"/>
      <w:bookmarkEnd w:id="132"/>
      <w:bookmarkEnd w:id="133"/>
      <w:bookmarkEnd w:id="134"/>
      <w:bookmarkEnd w:id="135"/>
      <w:bookmarkEnd w:id="136"/>
    </w:p>
    <w:p w:rsidR="00441AFC" w:rsidRPr="00CD43D5" w:rsidRDefault="00441AFC">
      <w:pPr>
        <w:pStyle w:val="Normaltindrag"/>
      </w:pPr>
    </w:p>
    <w:p w:rsidR="00441AFC" w:rsidRPr="00CD43D5" w:rsidRDefault="00441AFC">
      <w:pPr>
        <w:pStyle w:val="Normaltindrag"/>
      </w:pPr>
      <w:r w:rsidRPr="00CD43D5">
        <w:t>Härigenom föreskrivs att i 6 § lagen (1975:1132) om förvärv av hyresfa</w:t>
      </w:r>
      <w:r w:rsidRPr="00CD43D5">
        <w:t>s</w:t>
      </w:r>
      <w:r w:rsidRPr="00CD43D5">
        <w:t>tighet m.m.</w:t>
      </w:r>
      <w:r w:rsidRPr="00CD43D5">
        <w:rPr>
          <w:rStyle w:val="Fotnotsreferens"/>
        </w:rPr>
        <w:footnoteReference w:customMarkFollows="1" w:id="23"/>
        <w:t>1</w:t>
      </w:r>
      <w:r w:rsidRPr="00CD43D5">
        <w:t xml:space="preserve"> ordet ”fastighetsboken” skall bytas ut mot  ”fastighetsregistrets inskrivningsdel”.</w:t>
      </w:r>
    </w:p>
    <w:p w:rsidR="00441AFC" w:rsidRPr="00CD43D5" w:rsidRDefault="00441AFC">
      <w:r w:rsidRPr="00CD43D5">
        <w:rPr>
          <w:u w:val="single"/>
        </w:rPr>
        <w:t>                                     </w:t>
      </w:r>
    </w:p>
    <w:p w:rsidR="00441AFC" w:rsidRPr="00CD43D5" w:rsidRDefault="00441AFC"/>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37" w:name="_Toc412971139"/>
      <w:bookmarkStart w:id="138" w:name="_Toc414097191"/>
      <w:bookmarkStart w:id="139" w:name="_Toc465144167"/>
      <w:bookmarkStart w:id="140" w:name="_Toc465577144"/>
      <w:bookmarkStart w:id="141" w:name="_Toc469212242"/>
      <w:bookmarkStart w:id="142" w:name="_Toc479046925"/>
      <w:r w:rsidRPr="00CD43D5">
        <w:t>19. Förslag till lag om ändring i bostadsförvaltningslagen (1977:792)</w:t>
      </w:r>
      <w:bookmarkEnd w:id="137"/>
      <w:bookmarkEnd w:id="138"/>
      <w:bookmarkEnd w:id="139"/>
      <w:bookmarkEnd w:id="140"/>
      <w:bookmarkEnd w:id="141"/>
      <w:bookmarkEnd w:id="142"/>
    </w:p>
    <w:p w:rsidR="00441AFC" w:rsidRPr="00CD43D5" w:rsidRDefault="00441AFC">
      <w:pPr>
        <w:pStyle w:val="Normaltindrag"/>
      </w:pPr>
    </w:p>
    <w:p w:rsidR="00441AFC" w:rsidRPr="00CD43D5" w:rsidRDefault="00441AFC">
      <w:pPr>
        <w:pStyle w:val="Normaltindrag"/>
      </w:pPr>
      <w:r w:rsidRPr="00CD43D5">
        <w:t>Härigenom föreskrivs att i 26 och 30 §§ bostadsförvaltningslagen (1977:792) orden ”fastighetsboken eller tomträttsboken” respektive ordet ”fastighetsboken” skall bytas ut mot ”fastighetsregistrets inskrivningsdel”.</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 w:rsidR="00441AFC" w:rsidRPr="00CD43D5" w:rsidRDefault="00441AFC">
      <w:pPr>
        <w:pStyle w:val="Rubrik2"/>
      </w:pPr>
      <w:r w:rsidRPr="00CD43D5">
        <w:br w:type="page"/>
      </w:r>
      <w:bookmarkStart w:id="143" w:name="_Toc412971140"/>
      <w:bookmarkStart w:id="144" w:name="_Toc414097192"/>
      <w:bookmarkStart w:id="145" w:name="_Toc465144168"/>
      <w:bookmarkStart w:id="146" w:name="_Toc465577145"/>
      <w:bookmarkStart w:id="147" w:name="_Toc469212243"/>
      <w:bookmarkStart w:id="148" w:name="_Toc479046926"/>
      <w:r w:rsidRPr="00CD43D5">
        <w:t>20. Förslag till lag om ändring i jordförvärvslagen (1979:230)</w:t>
      </w:r>
      <w:bookmarkEnd w:id="143"/>
      <w:bookmarkEnd w:id="144"/>
      <w:bookmarkEnd w:id="145"/>
      <w:bookmarkEnd w:id="146"/>
      <w:bookmarkEnd w:id="147"/>
      <w:bookmarkEnd w:id="148"/>
    </w:p>
    <w:p w:rsidR="00441AFC" w:rsidRPr="00CD43D5" w:rsidRDefault="00441AFC">
      <w:pPr>
        <w:pStyle w:val="Normaltindrag"/>
      </w:pPr>
    </w:p>
    <w:p w:rsidR="00441AFC" w:rsidRPr="00CD43D5" w:rsidRDefault="00441AFC">
      <w:pPr>
        <w:pStyle w:val="Normaltindrag"/>
      </w:pPr>
      <w:r w:rsidRPr="00CD43D5">
        <w:t>Härigenom föreskrivs att i 11 och 16 §§ jordförvärvslagen (1979:230)</w:t>
      </w:r>
      <w:r w:rsidRPr="00CD43D5">
        <w:rPr>
          <w:rStyle w:val="Fotnotsreferens"/>
        </w:rPr>
        <w:footnoteReference w:customMarkFollows="1" w:id="24"/>
        <w:t>1</w:t>
      </w:r>
      <w:r w:rsidRPr="00CD43D5">
        <w:rPr>
          <w:sz w:val="20"/>
        </w:rPr>
        <w:t xml:space="preserve"> </w:t>
      </w:r>
      <w:r w:rsidRPr="00CD43D5">
        <w:t>o</w:t>
      </w:r>
      <w:r w:rsidRPr="00CD43D5">
        <w:t>r</w:t>
      </w:r>
      <w:r w:rsidRPr="00CD43D5">
        <w:t>det ”fastighetsboken” skall bytas ut mot ”fastighetsregistrets inskrivning</w:t>
      </w:r>
      <w:r w:rsidRPr="00CD43D5">
        <w:t>s</w:t>
      </w:r>
      <w:r w:rsidRPr="00CD43D5">
        <w:t>del”.</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49" w:name="_Toc412971141"/>
      <w:bookmarkStart w:id="150" w:name="_Toc414097193"/>
      <w:bookmarkStart w:id="151" w:name="_Toc465144169"/>
      <w:bookmarkStart w:id="152" w:name="_Toc465577146"/>
      <w:bookmarkStart w:id="153" w:name="_Toc469212244"/>
      <w:bookmarkStart w:id="154" w:name="_Toc479046927"/>
      <w:r w:rsidRPr="00CD43D5">
        <w:t>21. Förslag till lag om ändring i fastighetstaxeringslagen (1979:1152)</w:t>
      </w:r>
      <w:bookmarkEnd w:id="149"/>
      <w:bookmarkEnd w:id="150"/>
      <w:bookmarkEnd w:id="151"/>
      <w:bookmarkEnd w:id="152"/>
      <w:bookmarkEnd w:id="153"/>
      <w:bookmarkEnd w:id="154"/>
    </w:p>
    <w:p w:rsidR="00441AFC" w:rsidRPr="00CD43D5" w:rsidRDefault="00441AFC">
      <w:pPr>
        <w:pStyle w:val="Normaltindrag"/>
      </w:pPr>
    </w:p>
    <w:p w:rsidR="00441AFC" w:rsidRPr="00CD43D5" w:rsidRDefault="00441AFC">
      <w:pPr>
        <w:pStyle w:val="Normaltindrag"/>
      </w:pPr>
      <w:r w:rsidRPr="00CD43D5">
        <w:t>Härigenom föreskrivs att 4 kap. 5 § fastighetstaxeringslagen (1979:1152)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rPr>
          <w:b/>
        </w:rPr>
      </w:pPr>
      <w:r w:rsidRPr="00CD43D5">
        <w:rPr>
          <w:b/>
        </w:rPr>
        <w:t>4 kap.</w:t>
      </w:r>
    </w:p>
    <w:p w:rsidR="00441AFC" w:rsidRPr="00CD43D5" w:rsidRDefault="00441AFC">
      <w:pPr>
        <w:spacing w:before="0"/>
        <w:jc w:val="center"/>
      </w:pPr>
      <w:r w:rsidRPr="00CD43D5">
        <w:t xml:space="preserve"> 5 §</w:t>
      </w:r>
      <w:r w:rsidRPr="00CD43D5">
        <w:rPr>
          <w:rStyle w:val="Fotnotsreferens"/>
        </w:rPr>
        <w:footnoteReference w:customMarkFollows="1" w:id="25"/>
        <w:t>1</w:t>
      </w:r>
      <w:r w:rsidRPr="00CD43D5">
        <w:rPr>
          <w:sz w:val="16"/>
        </w:rPr>
        <w:t xml:space="preserve"> </w:t>
      </w:r>
    </w:p>
    <w:p w:rsidR="00441AFC" w:rsidRPr="00CD43D5" w:rsidRDefault="00441AFC">
      <w:pPr>
        <w:pStyle w:val="Normaltindrag"/>
      </w:pPr>
      <w:r w:rsidRPr="00CD43D5">
        <w:t>Taxeringsenhet skall omfatta byggnadstyper och ägoslag enligt en av fö</w:t>
      </w:r>
      <w:r w:rsidRPr="00CD43D5">
        <w:t>l</w:t>
      </w:r>
      <w:r w:rsidRPr="00CD43D5">
        <w:t>jande kombinationer, om inte annat sägs i andra och tredje styckena, och ha en av följande beteckningar för typ av taxeringsenhet</w:t>
      </w:r>
    </w:p>
    <w:p w:rsidR="00441AFC" w:rsidRPr="00CD43D5" w:rsidRDefault="00441AFC">
      <w:pPr>
        <w:pStyle w:val="Normaltindrag"/>
      </w:pPr>
      <w:r w:rsidRPr="00CD43D5">
        <w:t>1. småhus och tomtmark för sådan byggnad (småhusenhet)</w:t>
      </w:r>
    </w:p>
    <w:p w:rsidR="00441AFC" w:rsidRPr="00CD43D5" w:rsidRDefault="00441AFC">
      <w:pPr>
        <w:pStyle w:val="Normaltindrag"/>
      </w:pPr>
      <w:r w:rsidRPr="00CD43D5">
        <w:t>2. hyreshus och tomtmark för sådan byggnad (hyreshusenhet)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spacing w:val="-2"/>
              </w:rPr>
              <w:t xml:space="preserve">3. industribyggnad, övrig byggnad, tomtmark för sådana byggnader, vattenverk på annans grund samt </w:t>
            </w:r>
            <w:r w:rsidRPr="00CD43D5">
              <w:rPr>
                <w:i/>
                <w:spacing w:val="-2"/>
              </w:rPr>
              <w:t>i jordeboken upptaget fiskeri</w:t>
            </w:r>
            <w:r w:rsidRPr="00CD43D5">
              <w:rPr>
                <w:spacing w:val="-2"/>
              </w:rPr>
              <w:t xml:space="preserve"> (indus</w:t>
            </w:r>
            <w:r w:rsidRPr="00CD43D5">
              <w:rPr>
                <w:spacing w:val="-2"/>
              </w:rPr>
              <w:t>t</w:t>
            </w:r>
            <w:r w:rsidRPr="00CD43D5">
              <w:rPr>
                <w:spacing w:val="-2"/>
              </w:rPr>
              <w:t>rienhet)</w:t>
            </w:r>
          </w:p>
        </w:tc>
        <w:tc>
          <w:tcPr>
            <w:tcW w:w="3118" w:type="dxa"/>
          </w:tcPr>
          <w:p w:rsidR="00441AFC" w:rsidRPr="00CD43D5" w:rsidRDefault="00441AFC">
            <w:pPr>
              <w:pStyle w:val="Normaltindrag"/>
            </w:pPr>
            <w:r w:rsidRPr="00CD43D5">
              <w:rPr>
                <w:spacing w:val="-2"/>
              </w:rPr>
              <w:t xml:space="preserve">3. industribyggnad, övrig byggnad, tomtmark för sådana byggnader, vattenverk på annans grund samt </w:t>
            </w:r>
            <w:r w:rsidRPr="00CD43D5">
              <w:rPr>
                <w:i/>
                <w:spacing w:val="-2"/>
              </w:rPr>
              <w:t>sådan fiskefastighet som avses i 10 § lagen (1970:995) om införande av nya jordabalken</w:t>
            </w:r>
            <w:r w:rsidRPr="00CD43D5">
              <w:rPr>
                <w:spacing w:val="-2"/>
              </w:rPr>
              <w:t xml:space="preserve"> (industrienhet)</w:t>
            </w:r>
          </w:p>
        </w:tc>
      </w:tr>
    </w:tbl>
    <w:p w:rsidR="00441AFC" w:rsidRPr="00CD43D5" w:rsidRDefault="00441AFC">
      <w:pPr>
        <w:pStyle w:val="Normaltindrag"/>
      </w:pPr>
      <w:r w:rsidRPr="00CD43D5">
        <w:t>4. täktmark samt industribyggnad och övrig byggnad på sådan mark (i</w:t>
      </w:r>
      <w:r w:rsidRPr="00CD43D5">
        <w:t>n</w:t>
      </w:r>
      <w:r w:rsidRPr="00CD43D5">
        <w:t>dustrienhet)</w:t>
      </w:r>
    </w:p>
    <w:p w:rsidR="00441AFC" w:rsidRPr="00CD43D5" w:rsidRDefault="00441AFC">
      <w:pPr>
        <w:pStyle w:val="Normaltindrag"/>
      </w:pPr>
      <w:r w:rsidRPr="00CD43D5">
        <w:t>5. specialbyggnad och tomtmark för sådan byggnad (specialenhet)</w:t>
      </w:r>
    </w:p>
    <w:p w:rsidR="00441AFC" w:rsidRPr="00CD43D5" w:rsidRDefault="00441AFC">
      <w:pPr>
        <w:pStyle w:val="Normaltindrag"/>
      </w:pPr>
      <w:r w:rsidRPr="00CD43D5">
        <w:t>6. ekonomibyggnad, åkermark, betesmark, skogsmark och skogsimped</w:t>
      </w:r>
      <w:r w:rsidRPr="00CD43D5">
        <w:t>i</w:t>
      </w:r>
      <w:r w:rsidRPr="00CD43D5">
        <w:t>ment (lantbruksenhet)</w:t>
      </w:r>
    </w:p>
    <w:p w:rsidR="00441AFC" w:rsidRPr="00CD43D5" w:rsidRDefault="00441AFC">
      <w:pPr>
        <w:pStyle w:val="Normaltindrag"/>
      </w:pPr>
      <w:r w:rsidRPr="00CD43D5">
        <w:t>7. kraftverksbyggnad, tomtmark till kraftverksbyggnad och fallrätt (elpr</w:t>
      </w:r>
      <w:r w:rsidRPr="00CD43D5">
        <w:t>o</w:t>
      </w:r>
      <w:r w:rsidRPr="00CD43D5">
        <w:t>duktionsenhet). Som elproduktionsenhet betecknas också en taxeringsenhet vars värde till övervägande del utgörs av rätt till andels- eller ersättning</w:t>
      </w:r>
      <w:r w:rsidRPr="00CD43D5">
        <w:t>s</w:t>
      </w:r>
      <w:r w:rsidRPr="00CD43D5">
        <w:t>kraft.</w:t>
      </w:r>
    </w:p>
    <w:p w:rsidR="00441AFC" w:rsidRPr="00CD43D5" w:rsidRDefault="00441AFC">
      <w:pPr>
        <w:pStyle w:val="Normaltindrag"/>
      </w:pPr>
      <w:r w:rsidRPr="00CD43D5">
        <w:t>Småhus och tomtmark för sådan byggnad som ligger på fastighet med åkermark, betesmark, skogsmark eller skogsimpediment, skall ingå i den lantbruksenhet som omfattar marken.</w:t>
      </w:r>
    </w:p>
    <w:p w:rsidR="00441AFC" w:rsidRPr="00CD43D5" w:rsidRDefault="00441AFC">
      <w:pPr>
        <w:pStyle w:val="Normaltindrag"/>
      </w:pPr>
      <w:r w:rsidRPr="00CD43D5">
        <w:t>Saneringsbyggnad och övrig mark kan ingå i samtliga taxeringsenheter under punkterna 1–7 i första stycket. Övrig mark skall i regel ingå i lant-bruksenhet. I annat fall skall övrig mark taxeras tillsammans med den tom</w:t>
      </w:r>
      <w:r w:rsidRPr="00CD43D5">
        <w:t>t</w:t>
      </w:r>
      <w:r w:rsidRPr="00CD43D5">
        <w:t xml:space="preserve">mark eller täktmark som ligger närmast. Har övrig mark stor omfattning och saknar den samband med annan mark, som har samma ägare, skall den dock bilda en taxeringsenhet. Taxeringsenhet, som består av endast övrig mark, betecknas industrienhet, om den ligger till övervägande del inom tätort, och lantbruksenhet, om den ligger till övervägande del utanför sådan ort. </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55" w:name="_Toc412971142"/>
      <w:bookmarkStart w:id="156" w:name="_Toc414097194"/>
      <w:bookmarkStart w:id="157" w:name="_Toc465144170"/>
      <w:bookmarkStart w:id="158" w:name="_Toc465577147"/>
      <w:bookmarkStart w:id="159" w:name="_Toc469212245"/>
      <w:bookmarkStart w:id="160" w:name="_Toc479046928"/>
      <w:r w:rsidRPr="00CD43D5">
        <w:t>22. Förslag till lag om ändring i lagen (1982:352) om rätt till fastighetsförvärv för ombildning till bostadsrätt</w:t>
      </w:r>
      <w:bookmarkEnd w:id="155"/>
      <w:bookmarkEnd w:id="156"/>
      <w:bookmarkEnd w:id="157"/>
      <w:bookmarkEnd w:id="158"/>
      <w:bookmarkEnd w:id="159"/>
      <w:bookmarkEnd w:id="160"/>
    </w:p>
    <w:p w:rsidR="00441AFC" w:rsidRPr="00CD43D5" w:rsidRDefault="00441AFC">
      <w:pPr>
        <w:pStyle w:val="Normaltindrag"/>
      </w:pPr>
    </w:p>
    <w:p w:rsidR="00441AFC" w:rsidRPr="00CD43D5" w:rsidRDefault="00441AFC">
      <w:pPr>
        <w:pStyle w:val="Normaltindrag"/>
      </w:pPr>
      <w:r w:rsidRPr="00CD43D5">
        <w:t>Härigenom föreskrivs att i 3, 4 och 8 §§ lagen (1982:352) om rätt till fa</w:t>
      </w:r>
      <w:r w:rsidRPr="00CD43D5">
        <w:t>s</w:t>
      </w:r>
      <w:r w:rsidRPr="00CD43D5">
        <w:t>tighetsförvärv för ombildning till bostadsrätt</w:t>
      </w:r>
      <w:r w:rsidRPr="00CD43D5">
        <w:rPr>
          <w:rStyle w:val="Fotnotsreferens"/>
        </w:rPr>
        <w:footnoteReference w:customMarkFollows="1" w:id="26"/>
        <w:t>1</w:t>
      </w:r>
      <w:r w:rsidRPr="00CD43D5">
        <w:t xml:space="preserve"> ordet ”fastighetsboken” skall bytas ut mot ”fastighetsregistrets inskrivningsdel”.</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61" w:name="_Toc465144171"/>
      <w:bookmarkStart w:id="162" w:name="_Toc465577148"/>
      <w:bookmarkStart w:id="163" w:name="_Toc469212246"/>
      <w:bookmarkStart w:id="164" w:name="_Toc479046929"/>
      <w:r w:rsidRPr="00CD43D5">
        <w:t>23. Förslag till lag om ändring i lagen (1984:404) om stämpelskatt vid inskrivningsmyndigheter</w:t>
      </w:r>
      <w:bookmarkEnd w:id="161"/>
      <w:bookmarkEnd w:id="162"/>
      <w:bookmarkEnd w:id="163"/>
      <w:bookmarkEnd w:id="164"/>
    </w:p>
    <w:p w:rsidR="00441AFC" w:rsidRPr="00CD43D5" w:rsidRDefault="00441AFC">
      <w:pPr>
        <w:pStyle w:val="Normaltindrag"/>
      </w:pPr>
    </w:p>
    <w:p w:rsidR="00441AFC" w:rsidRPr="00CD43D5" w:rsidRDefault="00441AFC">
      <w:pPr>
        <w:pStyle w:val="Normaltindrag"/>
      </w:pPr>
      <w:r w:rsidRPr="00CD43D5">
        <w:t>Härigenom föreskrivs att 43 § lagen (1984:404) om stämpelskatt vid i</w:t>
      </w:r>
      <w:r w:rsidRPr="00CD43D5">
        <w:t>n</w:t>
      </w:r>
      <w:r w:rsidRPr="00CD43D5">
        <w:t>skrivningsmyndigheter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r w:rsidRPr="00CD43D5">
        <w:t>43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rPr>
                <w:i/>
              </w:rPr>
              <w:t>Har regeringen med stöd av 19 kap. 24 § jordabalken för viss i</w:t>
            </w:r>
            <w:r w:rsidRPr="00CD43D5">
              <w:rPr>
                <w:i/>
              </w:rPr>
              <w:t>n</w:t>
            </w:r>
            <w:r w:rsidRPr="00CD43D5">
              <w:rPr>
                <w:i/>
              </w:rPr>
              <w:t>skrivningsmyndighets område eller del av ett sådant område bestämt att inskrivning skall ske i inskrivning</w:t>
            </w:r>
            <w:r w:rsidRPr="00CD43D5">
              <w:rPr>
                <w:i/>
              </w:rPr>
              <w:t>s</w:t>
            </w:r>
            <w:r w:rsidRPr="00CD43D5">
              <w:rPr>
                <w:i/>
              </w:rPr>
              <w:t>register i stället för i fastighetsbok eller tomträttsbok, meddelar reg</w:t>
            </w:r>
            <w:r w:rsidRPr="00CD43D5">
              <w:rPr>
                <w:i/>
              </w:rPr>
              <w:t>e</w:t>
            </w:r>
            <w:r w:rsidRPr="00CD43D5">
              <w:rPr>
                <w:i/>
              </w:rPr>
              <w:t xml:space="preserve">ringen de föreskrifter som behövs för skattens betalning. </w:t>
            </w:r>
            <w:r w:rsidRPr="00CD43D5">
              <w:t>Regeringen får därvid besluta om undantag från 33 §.</w:t>
            </w:r>
          </w:p>
        </w:tc>
        <w:tc>
          <w:tcPr>
            <w:tcW w:w="3118" w:type="dxa"/>
          </w:tcPr>
          <w:p w:rsidR="00441AFC" w:rsidRPr="00CD43D5" w:rsidRDefault="00441AFC">
            <w:pPr>
              <w:pStyle w:val="Normaltindrag"/>
            </w:pPr>
            <w:r w:rsidRPr="00CD43D5">
              <w:rPr>
                <w:i/>
              </w:rPr>
              <w:t xml:space="preserve">Regeringen får meddela närmare föreskrifter om skattens betalning. </w:t>
            </w:r>
            <w:r w:rsidRPr="00CD43D5">
              <w:t>Regeringen får därvid besluta om undantag från 33 §.</w:t>
            </w: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65" w:name="_Toc412971143"/>
      <w:bookmarkStart w:id="166" w:name="_Toc414097195"/>
      <w:bookmarkStart w:id="167" w:name="_Toc465144172"/>
      <w:bookmarkStart w:id="168" w:name="_Toc465577149"/>
      <w:bookmarkStart w:id="169" w:name="_Toc469212247"/>
      <w:bookmarkStart w:id="170" w:name="_Toc479046930"/>
      <w:r w:rsidRPr="00CD43D5">
        <w:t>24. Förslag till lag om ändring i lagen (1985:658) om arrendatorers rätt att förvärva arrendestället</w:t>
      </w:r>
      <w:bookmarkEnd w:id="165"/>
      <w:bookmarkEnd w:id="166"/>
      <w:bookmarkEnd w:id="167"/>
      <w:bookmarkEnd w:id="168"/>
      <w:bookmarkEnd w:id="169"/>
      <w:bookmarkEnd w:id="170"/>
    </w:p>
    <w:p w:rsidR="00441AFC" w:rsidRPr="00CD43D5" w:rsidRDefault="00441AFC">
      <w:pPr>
        <w:pStyle w:val="Normaltindrag"/>
      </w:pPr>
    </w:p>
    <w:p w:rsidR="00441AFC" w:rsidRPr="00CD43D5" w:rsidRDefault="00441AFC">
      <w:pPr>
        <w:pStyle w:val="Normaltindrag"/>
      </w:pPr>
      <w:r w:rsidRPr="00CD43D5">
        <w:t>Härigenom föreskrivs att i 2, 3 och 9 §§ lagen (1985:658) om arrendatorers rätt att förvärva arrendestället ordet ”fastighetsboken” skall bytas ut mot ”fastighetsregistrets inskrivningsdel”.</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71" w:name="_Toc412971144"/>
      <w:bookmarkStart w:id="172" w:name="_Toc414097196"/>
      <w:bookmarkStart w:id="173" w:name="_Toc465144173"/>
      <w:bookmarkStart w:id="174" w:name="_Toc465577150"/>
      <w:bookmarkStart w:id="175" w:name="_Toc469212248"/>
      <w:bookmarkStart w:id="176" w:name="_Toc479046931"/>
      <w:r w:rsidRPr="00CD43D5">
        <w:t>25. Förslag till lag om ändring i plan- och bygglagen (1987:10)</w:t>
      </w:r>
      <w:bookmarkEnd w:id="171"/>
      <w:bookmarkEnd w:id="172"/>
      <w:bookmarkEnd w:id="173"/>
      <w:bookmarkEnd w:id="174"/>
      <w:bookmarkEnd w:id="175"/>
      <w:bookmarkEnd w:id="176"/>
    </w:p>
    <w:p w:rsidR="00441AFC" w:rsidRPr="00CD43D5" w:rsidRDefault="00441AFC">
      <w:pPr>
        <w:pStyle w:val="Normaltindrag"/>
      </w:pPr>
    </w:p>
    <w:p w:rsidR="00441AFC" w:rsidRPr="00CD43D5" w:rsidRDefault="00441AFC">
      <w:pPr>
        <w:pStyle w:val="Normaltindrag"/>
      </w:pPr>
      <w:r w:rsidRPr="00CD43D5">
        <w:t>Härigenom föreskrivs i fråga om plan- och bygglagen (1987:10)</w:t>
      </w:r>
      <w:r w:rsidRPr="00CD43D5">
        <w:rPr>
          <w:rStyle w:val="Fotnotsreferens"/>
        </w:rPr>
        <w:footnoteReference w:customMarkFollows="1" w:id="27"/>
        <w:t>1</w:t>
      </w:r>
      <w:r w:rsidRPr="00CD43D5">
        <w:rPr>
          <w:sz w:val="16"/>
        </w:rPr>
        <w:t xml:space="preserve"> </w:t>
      </w:r>
    </w:p>
    <w:p w:rsidR="00441AFC" w:rsidRPr="00CD43D5" w:rsidRDefault="00441AFC">
      <w:pPr>
        <w:pStyle w:val="Normaltindrag"/>
      </w:pPr>
      <w:r w:rsidRPr="00CD43D5">
        <w:rPr>
          <w:i/>
        </w:rPr>
        <w:t>dels</w:t>
      </w:r>
      <w:r w:rsidRPr="00CD43D5">
        <w:t xml:space="preserve"> att i 10 kap. 22 § och i rubriken närmast före 10 kap. 22 § orden ”fastighetsboken eller tomträttsboken” respektive ordet ”fastighetsboken” skall bytas ut mot ”fastighetsregistrets inskrivningsdel”,</w:t>
      </w:r>
    </w:p>
    <w:p w:rsidR="00441AFC" w:rsidRPr="00CD43D5" w:rsidRDefault="00441AFC">
      <w:pPr>
        <w:pStyle w:val="Normaltindrag"/>
      </w:pPr>
      <w:r w:rsidRPr="00CD43D5">
        <w:rPr>
          <w:i/>
        </w:rPr>
        <w:t xml:space="preserve">dels </w:t>
      </w:r>
      <w:r w:rsidRPr="00CD43D5">
        <w:t>att 6 kap. 20 § och 10 kap. 23 §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rPr>
          <w:b/>
        </w:rPr>
      </w:pPr>
      <w:r w:rsidRPr="00CD43D5">
        <w:rPr>
          <w:b/>
        </w:rPr>
        <w:t>6 kap.</w:t>
      </w:r>
    </w:p>
    <w:p w:rsidR="00441AFC" w:rsidRPr="00CD43D5" w:rsidRDefault="00441AFC">
      <w:pPr>
        <w:spacing w:before="0"/>
        <w:jc w:val="center"/>
      </w:pPr>
      <w:r w:rsidRPr="00CD43D5">
        <w:t>20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När fråga har väckts om tilläm</w:t>
            </w:r>
            <w:r w:rsidRPr="00CD43D5">
              <w:t>p</w:t>
            </w:r>
            <w:r w:rsidRPr="00CD43D5">
              <w:t>ning av 19 §, skall kommunen g</w:t>
            </w:r>
            <w:r w:rsidRPr="00CD43D5">
              <w:t>e</w:t>
            </w:r>
            <w:r w:rsidRPr="00CD43D5">
              <w:t xml:space="preserve">nast anmäla detta till </w:t>
            </w:r>
            <w:r w:rsidRPr="00CD43D5">
              <w:rPr>
                <w:i/>
              </w:rPr>
              <w:t>inskrivnin</w:t>
            </w:r>
            <w:r w:rsidRPr="00CD43D5">
              <w:rPr>
                <w:i/>
              </w:rPr>
              <w:t>g</w:t>
            </w:r>
            <w:r w:rsidRPr="00CD43D5">
              <w:rPr>
                <w:i/>
              </w:rPr>
              <w:t xml:space="preserve">s-myndigheten </w:t>
            </w:r>
            <w:r w:rsidRPr="00CD43D5">
              <w:t xml:space="preserve">för anteckning i </w:t>
            </w:r>
            <w:r w:rsidRPr="00CD43D5">
              <w:rPr>
                <w:i/>
              </w:rPr>
              <w:t>fa</w:t>
            </w:r>
            <w:r w:rsidRPr="00CD43D5">
              <w:rPr>
                <w:i/>
              </w:rPr>
              <w:t>s</w:t>
            </w:r>
            <w:r w:rsidRPr="00CD43D5">
              <w:rPr>
                <w:i/>
              </w:rPr>
              <w:t>tighetsboken</w:t>
            </w:r>
            <w:r w:rsidRPr="00CD43D5">
              <w:t>. Överlåtelse av mark, som sker efter det att sådan anmälan har inkommit, inverkar inte på den bedömning som skall ske enligt 19 § andra stycket.</w:t>
            </w:r>
          </w:p>
        </w:tc>
        <w:tc>
          <w:tcPr>
            <w:tcW w:w="3118" w:type="dxa"/>
          </w:tcPr>
          <w:p w:rsidR="00441AFC" w:rsidRPr="00CD43D5" w:rsidRDefault="00441AFC">
            <w:pPr>
              <w:pStyle w:val="Normaltindrag"/>
            </w:pPr>
            <w:r w:rsidRPr="00CD43D5">
              <w:t xml:space="preserve">När </w:t>
            </w:r>
            <w:r w:rsidRPr="00CD43D5">
              <w:rPr>
                <w:i/>
              </w:rPr>
              <w:t>en</w:t>
            </w:r>
            <w:r w:rsidRPr="00CD43D5">
              <w:rPr>
                <w:b/>
              </w:rPr>
              <w:t xml:space="preserve"> </w:t>
            </w:r>
            <w:r w:rsidRPr="00CD43D5">
              <w:t>fråga har väckts om ti</w:t>
            </w:r>
            <w:r w:rsidRPr="00CD43D5">
              <w:t>l</w:t>
            </w:r>
            <w:r w:rsidRPr="00CD43D5">
              <w:t xml:space="preserve">lämpning av 19 §, skall kommunen genast anmäla detta till </w:t>
            </w:r>
            <w:r w:rsidRPr="00CD43D5">
              <w:rPr>
                <w:i/>
              </w:rPr>
              <w:t>lantmät</w:t>
            </w:r>
            <w:r w:rsidRPr="00CD43D5">
              <w:rPr>
                <w:i/>
              </w:rPr>
              <w:t>e</w:t>
            </w:r>
            <w:r w:rsidRPr="00CD43D5">
              <w:rPr>
                <w:i/>
              </w:rPr>
              <w:t xml:space="preserve">rimyndigheten </w:t>
            </w:r>
            <w:r w:rsidRPr="00CD43D5">
              <w:t xml:space="preserve">för anteckning i </w:t>
            </w:r>
            <w:r w:rsidRPr="00CD43D5">
              <w:rPr>
                <w:i/>
              </w:rPr>
              <w:t>fastighetsregistrets allmänna del</w:t>
            </w:r>
            <w:r w:rsidRPr="00CD43D5">
              <w:t>. Överlåtelse av mark, som sker efter det att sådan anmälan har inkommit, inverkar inte på den bedömning som skall ske enligt 19 § andra stycket.</w:t>
            </w:r>
          </w:p>
        </w:tc>
      </w:tr>
    </w:tbl>
    <w:p w:rsidR="00441AFC" w:rsidRPr="00CD43D5" w:rsidRDefault="00441AFC">
      <w:pPr>
        <w:jc w:val="center"/>
      </w:pPr>
    </w:p>
    <w:p w:rsidR="00441AFC" w:rsidRPr="00CD43D5" w:rsidRDefault="00441AFC">
      <w:pPr>
        <w:spacing w:before="0"/>
        <w:jc w:val="center"/>
      </w:pPr>
      <w:r w:rsidRPr="00CD43D5">
        <w:rPr>
          <w:b/>
        </w:rPr>
        <w:t>10 kap.</w:t>
      </w:r>
    </w:p>
    <w:p w:rsidR="00441AFC" w:rsidRPr="00CD43D5" w:rsidRDefault="00441AFC">
      <w:pPr>
        <w:spacing w:before="0"/>
        <w:jc w:val="center"/>
      </w:pPr>
      <w:r w:rsidRPr="00CD43D5">
        <w:t>23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Återkallas ett föreläggande eller förbud som har antecknats enligt 22 §, skall byggnadsnämnden g</w:t>
            </w:r>
            <w:r w:rsidRPr="00CD43D5">
              <w:t>e</w:t>
            </w:r>
            <w:r w:rsidRPr="00CD43D5">
              <w:t>nast anmäla det till inskrivnin</w:t>
            </w:r>
            <w:r w:rsidRPr="00CD43D5">
              <w:t>g</w:t>
            </w:r>
            <w:r w:rsidRPr="00CD43D5">
              <w:t xml:space="preserve">s-myndigheten för </w:t>
            </w:r>
            <w:r w:rsidRPr="00CD43D5">
              <w:rPr>
                <w:i/>
              </w:rPr>
              <w:t>motsvarande a</w:t>
            </w:r>
            <w:r w:rsidRPr="00CD43D5">
              <w:rPr>
                <w:i/>
              </w:rPr>
              <w:t>n</w:t>
            </w:r>
            <w:r w:rsidRPr="00CD43D5">
              <w:rPr>
                <w:i/>
              </w:rPr>
              <w:t>teckning</w:t>
            </w:r>
            <w:r w:rsidRPr="00CD43D5">
              <w:t>. Har ett antecknat förelä</w:t>
            </w:r>
            <w:r w:rsidRPr="00CD43D5">
              <w:t>g</w:t>
            </w:r>
            <w:r w:rsidRPr="00CD43D5">
              <w:t>gande eller förbud upphävts genom lagakraftvunnet beslut eller upphört att gälla, eller har föreläggandet följts, skall byggnadsnämnden, så snart nämnden har fått vetskap om detta, anmäla förhållandet till i</w:t>
            </w:r>
            <w:r w:rsidRPr="00CD43D5">
              <w:t>n</w:t>
            </w:r>
            <w:r w:rsidRPr="00CD43D5">
              <w:t xml:space="preserve">skrivningsmyndigheten för </w:t>
            </w:r>
            <w:r w:rsidRPr="00CD43D5">
              <w:rPr>
                <w:i/>
              </w:rPr>
              <w:t>antec</w:t>
            </w:r>
            <w:r w:rsidRPr="00CD43D5">
              <w:rPr>
                <w:i/>
              </w:rPr>
              <w:t>k</w:t>
            </w:r>
            <w:r w:rsidRPr="00CD43D5">
              <w:rPr>
                <w:i/>
              </w:rPr>
              <w:t>ning</w:t>
            </w:r>
            <w:r w:rsidRPr="00CD43D5">
              <w:t>.</w:t>
            </w:r>
          </w:p>
        </w:tc>
        <w:tc>
          <w:tcPr>
            <w:tcW w:w="3118" w:type="dxa"/>
          </w:tcPr>
          <w:p w:rsidR="00441AFC" w:rsidRPr="00CD43D5" w:rsidRDefault="00441AFC">
            <w:pPr>
              <w:pStyle w:val="Normaltindrag"/>
            </w:pPr>
            <w:r w:rsidRPr="00CD43D5">
              <w:t>Återkallas ett föreläggande eller förbud som har antecknats enligt 22 §, skall byggnadsnämnden g</w:t>
            </w:r>
            <w:r w:rsidRPr="00CD43D5">
              <w:t>e</w:t>
            </w:r>
            <w:r w:rsidRPr="00CD43D5">
              <w:t>nast anmäla det till inskrivnin</w:t>
            </w:r>
            <w:r w:rsidRPr="00CD43D5">
              <w:t>g</w:t>
            </w:r>
            <w:r w:rsidRPr="00CD43D5">
              <w:t xml:space="preserve">s-myndigheten för </w:t>
            </w:r>
            <w:r w:rsidRPr="00CD43D5">
              <w:rPr>
                <w:i/>
              </w:rPr>
              <w:t>borttagande av anteckningen</w:t>
            </w:r>
            <w:r w:rsidRPr="00CD43D5">
              <w:t>. Har ett antecknat föreläggande eller förbud upphävts genom lagakraftvunnet beslut eller upphört att gälla, eller har före</w:t>
            </w:r>
            <w:r w:rsidRPr="00CD43D5">
              <w:softHyphen/>
              <w:t>läggandet följts, skall byggnad</w:t>
            </w:r>
            <w:r w:rsidRPr="00CD43D5">
              <w:t>s</w:t>
            </w:r>
            <w:r w:rsidRPr="00CD43D5">
              <w:t>nämnden, så snart nämnden har fått vetskap om detta, anmäla förhålla</w:t>
            </w:r>
            <w:r w:rsidRPr="00CD43D5">
              <w:t>n</w:t>
            </w:r>
            <w:r w:rsidRPr="00CD43D5">
              <w:t xml:space="preserve">det till inskrivningsmyndigheten för </w:t>
            </w:r>
            <w:r w:rsidRPr="00CD43D5">
              <w:rPr>
                <w:i/>
              </w:rPr>
              <w:t>borttagande av anteckningen</w:t>
            </w:r>
            <w:r w:rsidRPr="00CD43D5">
              <w:t>.</w:t>
            </w: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77" w:name="_Toc412971145"/>
      <w:bookmarkStart w:id="178" w:name="_Toc414097197"/>
      <w:bookmarkStart w:id="179" w:name="_Toc465144174"/>
      <w:bookmarkStart w:id="180" w:name="_Toc465577151"/>
      <w:bookmarkStart w:id="181" w:name="_Toc469212249"/>
      <w:bookmarkStart w:id="182" w:name="_Toc479046932"/>
      <w:r w:rsidRPr="00CD43D5">
        <w:t>26. Förslag till lag om ändring i lagen (1987:11) om exploateringssamverkan</w:t>
      </w:r>
      <w:bookmarkEnd w:id="177"/>
      <w:bookmarkEnd w:id="178"/>
      <w:bookmarkEnd w:id="179"/>
      <w:bookmarkEnd w:id="180"/>
      <w:bookmarkEnd w:id="181"/>
      <w:bookmarkEnd w:id="182"/>
    </w:p>
    <w:p w:rsidR="00441AFC" w:rsidRPr="00CD43D5" w:rsidRDefault="00441AFC">
      <w:pPr>
        <w:pStyle w:val="Normaltindrag"/>
      </w:pPr>
    </w:p>
    <w:p w:rsidR="00441AFC" w:rsidRPr="00CD43D5" w:rsidRDefault="00441AFC">
      <w:pPr>
        <w:pStyle w:val="Normaltindrag"/>
      </w:pPr>
      <w:r w:rsidRPr="00CD43D5">
        <w:t>Härigenom föreskrivs att 24 § lagen (1987:11) om exploateringssamverkan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r w:rsidRPr="00CD43D5">
        <w:t>24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När exploateringsbeslut har me</w:t>
            </w:r>
            <w:r w:rsidRPr="00CD43D5">
              <w:t>d</w:t>
            </w:r>
            <w:r w:rsidRPr="00CD43D5">
              <w:t xml:space="preserve">delats, skall i </w:t>
            </w:r>
            <w:r w:rsidRPr="00CD43D5">
              <w:rPr>
                <w:i/>
              </w:rPr>
              <w:t>fastighetsboken eller tomträttsboken</w:t>
            </w:r>
            <w:r w:rsidRPr="00CD43D5">
              <w:t xml:space="preserve"> införas </w:t>
            </w:r>
            <w:r w:rsidRPr="00CD43D5">
              <w:rPr>
                <w:i/>
              </w:rPr>
              <w:t>uppgift om</w:t>
            </w:r>
            <w:r w:rsidRPr="00CD43D5">
              <w:t xml:space="preserve"> vilka fastigheter som ingår i sa</w:t>
            </w:r>
            <w:r w:rsidRPr="00CD43D5">
              <w:t>m</w:t>
            </w:r>
            <w:r w:rsidRPr="00CD43D5">
              <w:t>verkansområdet. I</w:t>
            </w:r>
            <w:r w:rsidRPr="00CD43D5">
              <w:rPr>
                <w:i/>
              </w:rPr>
              <w:t xml:space="preserve"> fastighetsboken</w:t>
            </w:r>
            <w:r w:rsidRPr="00CD43D5">
              <w:t xml:space="preserve"> skall även </w:t>
            </w:r>
            <w:r w:rsidRPr="00CD43D5">
              <w:rPr>
                <w:i/>
              </w:rPr>
              <w:t>införas</w:t>
            </w:r>
            <w:r w:rsidRPr="00CD43D5">
              <w:t xml:space="preserve"> beslutade fö</w:t>
            </w:r>
            <w:r w:rsidRPr="00CD43D5">
              <w:t>r</w:t>
            </w:r>
            <w:r w:rsidRPr="00CD43D5">
              <w:t>månsrättsbelopp. När exploat</w:t>
            </w:r>
            <w:r w:rsidRPr="00CD43D5">
              <w:t>e</w:t>
            </w:r>
            <w:r w:rsidRPr="00CD43D5">
              <w:t xml:space="preserve">ringsbeslutet enligt 25 § har upphört att gälla skall </w:t>
            </w:r>
            <w:r w:rsidRPr="00CD43D5">
              <w:rPr>
                <w:i/>
              </w:rPr>
              <w:t>även det antec</w:t>
            </w:r>
            <w:r w:rsidRPr="00CD43D5">
              <w:rPr>
                <w:i/>
              </w:rPr>
              <w:t>k</w:t>
            </w:r>
            <w:r w:rsidRPr="00CD43D5">
              <w:rPr>
                <w:i/>
              </w:rPr>
              <w:t>nas.</w:t>
            </w:r>
          </w:p>
        </w:tc>
        <w:tc>
          <w:tcPr>
            <w:tcW w:w="3118" w:type="dxa"/>
          </w:tcPr>
          <w:p w:rsidR="00441AFC" w:rsidRPr="00CD43D5" w:rsidRDefault="00441AFC">
            <w:pPr>
              <w:pStyle w:val="Normaltindrag"/>
            </w:pPr>
            <w:r w:rsidRPr="00CD43D5">
              <w:t xml:space="preserve">När </w:t>
            </w:r>
            <w:r w:rsidRPr="00CD43D5">
              <w:rPr>
                <w:i/>
              </w:rPr>
              <w:t xml:space="preserve">ett </w:t>
            </w:r>
            <w:r w:rsidRPr="00CD43D5">
              <w:t xml:space="preserve">exploateringsbeslut har meddelats, skall </w:t>
            </w:r>
            <w:r w:rsidRPr="00CD43D5">
              <w:rPr>
                <w:i/>
              </w:rPr>
              <w:t>det</w:t>
            </w:r>
            <w:r w:rsidRPr="00CD43D5">
              <w:t xml:space="preserve"> i </w:t>
            </w:r>
            <w:r w:rsidRPr="00CD43D5">
              <w:rPr>
                <w:i/>
              </w:rPr>
              <w:t>fastighetsr</w:t>
            </w:r>
            <w:r w:rsidRPr="00CD43D5">
              <w:rPr>
                <w:i/>
              </w:rPr>
              <w:t>e</w:t>
            </w:r>
            <w:r w:rsidRPr="00CD43D5">
              <w:rPr>
                <w:i/>
              </w:rPr>
              <w:t>gistrets inskrivningsdel antecknas</w:t>
            </w:r>
            <w:r w:rsidRPr="00CD43D5">
              <w:t xml:space="preserve"> vilka fastigheter som ingår i sa</w:t>
            </w:r>
            <w:r w:rsidRPr="00CD43D5">
              <w:t>m</w:t>
            </w:r>
            <w:r w:rsidRPr="00CD43D5">
              <w:t xml:space="preserve">verkansområdet. </w:t>
            </w:r>
            <w:r w:rsidRPr="00CD43D5">
              <w:rPr>
                <w:i/>
              </w:rPr>
              <w:t>Där</w:t>
            </w:r>
            <w:r w:rsidRPr="00CD43D5">
              <w:t xml:space="preserve"> skall även beslutade förmånsrättsbelopp </w:t>
            </w:r>
            <w:r w:rsidRPr="00CD43D5">
              <w:rPr>
                <w:i/>
              </w:rPr>
              <w:t>a</w:t>
            </w:r>
            <w:r w:rsidRPr="00CD43D5">
              <w:rPr>
                <w:i/>
              </w:rPr>
              <w:t>n</w:t>
            </w:r>
            <w:r w:rsidRPr="00CD43D5">
              <w:rPr>
                <w:i/>
              </w:rPr>
              <w:t>tecknas.</w:t>
            </w:r>
            <w:r w:rsidRPr="00CD43D5">
              <w:t xml:space="preserve"> När exploateringsbeslutet enligt 25 § har upphört att gälla, skall </w:t>
            </w:r>
            <w:r w:rsidRPr="00CD43D5">
              <w:rPr>
                <w:i/>
              </w:rPr>
              <w:t>anteckningen tas bort.</w:t>
            </w:r>
          </w:p>
        </w:tc>
      </w:tr>
    </w:tbl>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83" w:name="_Toc412971146"/>
      <w:bookmarkStart w:id="184" w:name="_Toc414097198"/>
      <w:bookmarkStart w:id="185" w:name="_Toc465144175"/>
      <w:bookmarkStart w:id="186" w:name="_Toc465577152"/>
      <w:bookmarkStart w:id="187" w:name="_Toc469212250"/>
      <w:bookmarkStart w:id="188" w:name="_Toc479046933"/>
      <w:r w:rsidRPr="00CD43D5">
        <w:t>27. Förslag till lag om ändring i lagen (1988:950) om kulturminnen m.m.</w:t>
      </w:r>
      <w:bookmarkEnd w:id="183"/>
      <w:bookmarkEnd w:id="184"/>
      <w:bookmarkEnd w:id="185"/>
      <w:bookmarkEnd w:id="186"/>
      <w:bookmarkEnd w:id="187"/>
      <w:bookmarkEnd w:id="188"/>
    </w:p>
    <w:p w:rsidR="00441AFC" w:rsidRPr="00CD43D5" w:rsidRDefault="00441AFC">
      <w:pPr>
        <w:pStyle w:val="Normaltindrag"/>
      </w:pPr>
    </w:p>
    <w:p w:rsidR="00441AFC" w:rsidRPr="00CD43D5" w:rsidRDefault="00441AFC">
      <w:pPr>
        <w:pStyle w:val="Normaltindrag"/>
      </w:pPr>
      <w:r w:rsidRPr="00CD43D5">
        <w:t xml:space="preserve">Härigenom föreskrivs i fråga om lagen (1988:950) om kulturminnen m.m. </w:t>
      </w:r>
    </w:p>
    <w:p w:rsidR="00441AFC" w:rsidRPr="00CD43D5" w:rsidRDefault="00441AFC">
      <w:pPr>
        <w:pStyle w:val="Normaltindrag"/>
      </w:pPr>
      <w:r w:rsidRPr="00CD43D5">
        <w:rPr>
          <w:i/>
        </w:rPr>
        <w:t>dels</w:t>
      </w:r>
      <w:r w:rsidRPr="00CD43D5">
        <w:t xml:space="preserve"> att i 3 kap. 17 §</w:t>
      </w:r>
      <w:r w:rsidRPr="00CD43D5">
        <w:rPr>
          <w:rStyle w:val="Fotnotsreferens"/>
        </w:rPr>
        <w:footnoteReference w:customMarkFollows="1" w:id="28"/>
        <w:t>1</w:t>
      </w:r>
      <w:r w:rsidRPr="00CD43D5">
        <w:t xml:space="preserve"> orden ”fastighetsboken eller tomträttsboken” skall bytas ut mot ”fastighetsregistrets inskrivningsdel”,</w:t>
      </w:r>
    </w:p>
    <w:p w:rsidR="00441AFC" w:rsidRPr="00CD43D5" w:rsidRDefault="00441AFC">
      <w:pPr>
        <w:pStyle w:val="Normaltindrag"/>
      </w:pPr>
      <w:r w:rsidRPr="00CD43D5">
        <w:rPr>
          <w:i/>
        </w:rPr>
        <w:t>dels</w:t>
      </w:r>
      <w:r w:rsidRPr="00CD43D5">
        <w:t xml:space="preserve"> att 3 kap. 8 §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spacing w:before="0"/>
        <w:jc w:val="center"/>
      </w:pPr>
      <w:r w:rsidRPr="00CD43D5">
        <w:rPr>
          <w:b/>
        </w:rPr>
        <w:t xml:space="preserve">3 kap. </w:t>
      </w:r>
    </w:p>
    <w:p w:rsidR="00441AFC" w:rsidRPr="00CD43D5" w:rsidRDefault="00441AFC">
      <w:pPr>
        <w:spacing w:before="0"/>
        <w:jc w:val="center"/>
      </w:pPr>
      <w:r w:rsidRPr="00CD43D5">
        <w:t>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Länsstyrelsen skall för anteckning i </w:t>
            </w:r>
            <w:r w:rsidRPr="00CD43D5">
              <w:rPr>
                <w:i/>
              </w:rPr>
              <w:t>fastighetsboken</w:t>
            </w:r>
            <w:r w:rsidRPr="00CD43D5">
              <w:t xml:space="preserve"> </w:t>
            </w:r>
            <w:r w:rsidRPr="00CD43D5">
              <w:rPr>
                <w:i/>
              </w:rPr>
              <w:t>ofördröjligen</w:t>
            </w:r>
            <w:r w:rsidRPr="00CD43D5">
              <w:t xml:space="preserve"> underrätta </w:t>
            </w:r>
            <w:r w:rsidRPr="00CD43D5">
              <w:rPr>
                <w:i/>
              </w:rPr>
              <w:t>inskrivningsmyndigheten,</w:t>
            </w:r>
          </w:p>
        </w:tc>
        <w:tc>
          <w:tcPr>
            <w:tcW w:w="3118" w:type="dxa"/>
          </w:tcPr>
          <w:p w:rsidR="00441AFC" w:rsidRPr="00CD43D5" w:rsidRDefault="00441AFC">
            <w:pPr>
              <w:pStyle w:val="Normaltindrag"/>
            </w:pPr>
            <w:r w:rsidRPr="00CD43D5">
              <w:t xml:space="preserve">Länsstyrelsen skall för anteckning </w:t>
            </w:r>
            <w:r w:rsidRPr="00CD43D5">
              <w:rPr>
                <w:i/>
              </w:rPr>
              <w:t>i fastighetsregistrets allmänna del</w:t>
            </w:r>
            <w:r w:rsidRPr="00CD43D5">
              <w:t xml:space="preserve"> </w:t>
            </w:r>
            <w:r w:rsidRPr="00CD43D5">
              <w:rPr>
                <w:i/>
              </w:rPr>
              <w:t>eller för borttagande av en tidigare gjord anteckning genast</w:t>
            </w:r>
            <w:r w:rsidRPr="00CD43D5">
              <w:t xml:space="preserve"> underrätta </w:t>
            </w:r>
            <w:r w:rsidRPr="00CD43D5">
              <w:rPr>
                <w:i/>
              </w:rPr>
              <w:t>lantmäterimyndigheten,</w:t>
            </w:r>
          </w:p>
        </w:tc>
      </w:tr>
    </w:tbl>
    <w:p w:rsidR="00441AFC" w:rsidRPr="00CD43D5" w:rsidRDefault="00441AFC">
      <w:pPr>
        <w:pStyle w:val="Normaltindrag"/>
      </w:pPr>
      <w:r w:rsidRPr="00CD43D5">
        <w:t>1. då fråga väckts eller tagits upp om att en byggnad skall förklaras för byggnadsminne eller förklaring utfärdats enligt 7 §,</w:t>
      </w:r>
    </w:p>
    <w:p w:rsidR="00441AFC" w:rsidRPr="00CD43D5" w:rsidRDefault="00441AFC">
      <w:pPr>
        <w:pStyle w:val="Normaltindrag"/>
      </w:pPr>
      <w:r w:rsidRPr="00CD43D5">
        <w:t>2. då förordnande enligt 6 § första stycket meddelats eller upphävts,</w:t>
      </w:r>
    </w:p>
    <w:p w:rsidR="00441AFC" w:rsidRPr="00CD43D5" w:rsidRDefault="00441AFC">
      <w:pPr>
        <w:pStyle w:val="Normaltindrag"/>
      </w:pPr>
      <w:r w:rsidRPr="00CD43D5">
        <w:t>3. då beslut om byggnadsminnesförklaring vunnit laga kraft eller hävts, eller</w:t>
      </w:r>
    </w:p>
    <w:p w:rsidR="00441AFC" w:rsidRPr="00CD43D5" w:rsidRDefault="00441AFC">
      <w:pPr>
        <w:pStyle w:val="Normaltindrag"/>
      </w:pPr>
      <w:r w:rsidRPr="00CD43D5">
        <w:t>4. då ansökan om byggnadsminnesförklaring avslagits.</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89" w:name="_Toc412971147"/>
      <w:bookmarkStart w:id="190" w:name="_Toc414097199"/>
      <w:bookmarkStart w:id="191" w:name="_Toc465144176"/>
      <w:bookmarkStart w:id="192" w:name="_Toc465577153"/>
      <w:bookmarkStart w:id="193" w:name="_Toc469212251"/>
      <w:bookmarkStart w:id="194" w:name="_Toc479046934"/>
      <w:r w:rsidRPr="00CD43D5">
        <w:t>28. Förslag till lag om ändring i lagen (1989:31) om förvaltning av vissa samägda jordbruksfastigheter</w:t>
      </w:r>
      <w:bookmarkEnd w:id="189"/>
      <w:bookmarkEnd w:id="190"/>
      <w:bookmarkEnd w:id="191"/>
      <w:bookmarkEnd w:id="192"/>
      <w:bookmarkEnd w:id="193"/>
      <w:bookmarkEnd w:id="194"/>
    </w:p>
    <w:p w:rsidR="00441AFC" w:rsidRPr="00CD43D5" w:rsidRDefault="00441AFC">
      <w:pPr>
        <w:pStyle w:val="Normaltindrag"/>
      </w:pPr>
    </w:p>
    <w:p w:rsidR="00441AFC" w:rsidRPr="00CD43D5" w:rsidRDefault="00441AFC">
      <w:pPr>
        <w:pStyle w:val="Normaltindrag"/>
      </w:pPr>
      <w:r w:rsidRPr="00CD43D5">
        <w:t>Härigenom föreskrivs att i 2 § lagen (1989:31) om förvaltning av vissa samägda jordbruksfastigheter ordet ”fastighetsboken” skall bytas ut mot ”fastighetsregistrets inskrivningsdel”.</w:t>
      </w:r>
    </w:p>
    <w:p w:rsidR="00441AFC" w:rsidRPr="00CD43D5" w:rsidRDefault="00441AFC">
      <w:r w:rsidRPr="00CD43D5">
        <w:rPr>
          <w:u w:val="single"/>
        </w:rPr>
        <w:t>                                     </w:t>
      </w:r>
    </w:p>
    <w:p w:rsidR="00441AFC" w:rsidRPr="00CD43D5" w:rsidRDefault="00441AFC"/>
    <w:p w:rsidR="00441AFC" w:rsidRPr="00CD43D5" w:rsidRDefault="00441AFC">
      <w:pPr>
        <w:pStyle w:val="Normaltindrag"/>
      </w:pPr>
      <w:r w:rsidRPr="00CD43D5">
        <w:t>Denna lag träder i kraft den 1 juli 2000.</w:t>
      </w:r>
    </w:p>
    <w:p w:rsidR="00441AFC" w:rsidRPr="00CD43D5" w:rsidRDefault="00441AFC">
      <w:pPr>
        <w:pStyle w:val="Rubrik2"/>
      </w:pPr>
      <w:r w:rsidRPr="00CD43D5">
        <w:br w:type="page"/>
      </w:r>
      <w:bookmarkStart w:id="195" w:name="_Toc465144177"/>
      <w:bookmarkStart w:id="196" w:name="_Toc465577154"/>
      <w:bookmarkStart w:id="197" w:name="_Toc469212252"/>
      <w:bookmarkStart w:id="198" w:name="_Toc479046935"/>
      <w:r w:rsidRPr="00CD43D5">
        <w:t>29. Förslag till lag om ändring i lagen (1995:1537) om lägenhetsregister</w:t>
      </w:r>
      <w:bookmarkEnd w:id="195"/>
      <w:bookmarkEnd w:id="196"/>
      <w:bookmarkEnd w:id="197"/>
      <w:bookmarkEnd w:id="198"/>
    </w:p>
    <w:p w:rsidR="00441AFC" w:rsidRPr="00CD43D5" w:rsidRDefault="00441AFC">
      <w:pPr>
        <w:pStyle w:val="Normaltindrag"/>
      </w:pPr>
    </w:p>
    <w:p w:rsidR="00441AFC" w:rsidRPr="00CD43D5" w:rsidRDefault="00441AFC">
      <w:pPr>
        <w:pStyle w:val="Normaltindrag"/>
      </w:pPr>
      <w:r w:rsidRPr="00CD43D5">
        <w:t>Härigenom föreskrivs att 4 § lagen (1995:1537) om lägenhetsregister skall ha följande lydelse.</w:t>
      </w:r>
    </w:p>
    <w:p w:rsidR="00441AFC" w:rsidRPr="00CD43D5" w:rsidRDefault="00441AFC">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r w:rsidRPr="00CD43D5">
              <w:rPr>
                <w:i/>
              </w:rPr>
              <w:t>Nuvarande lydelse</w:t>
            </w:r>
          </w:p>
        </w:tc>
        <w:tc>
          <w:tcPr>
            <w:tcW w:w="3118" w:type="dxa"/>
          </w:tcPr>
          <w:p w:rsidR="00441AFC" w:rsidRPr="00CD43D5" w:rsidRDefault="00441AFC">
            <w:pPr>
              <w:pStyle w:val="Rubrik7"/>
            </w:pPr>
            <w:r w:rsidRPr="00CD43D5">
              <w:t>Föreslagen lydelse</w:t>
            </w:r>
          </w:p>
        </w:tc>
      </w:tr>
    </w:tbl>
    <w:p w:rsidR="00441AFC" w:rsidRPr="00CD43D5" w:rsidRDefault="00441AFC">
      <w:pPr>
        <w:jc w:val="center"/>
      </w:pPr>
      <w:r w:rsidRPr="00CD43D5">
        <w:t>4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CD43D5">
        <w:tblPrEx>
          <w:tblCellMar>
            <w:top w:w="0" w:type="dxa"/>
            <w:bottom w:w="0" w:type="dxa"/>
          </w:tblCellMar>
        </w:tblPrEx>
        <w:tc>
          <w:tcPr>
            <w:tcW w:w="3118" w:type="dxa"/>
          </w:tcPr>
          <w:p w:rsidR="00441AFC" w:rsidRPr="00CD43D5" w:rsidRDefault="00441AFC">
            <w:pPr>
              <w:pStyle w:val="Normaltindrag"/>
            </w:pPr>
            <w:r w:rsidRPr="00CD43D5">
              <w:t xml:space="preserve">En fastighetsägare är skyldig att lämna de uppgifter som behövs för lägenhetsregistret och som inte kan inhämtas från </w:t>
            </w:r>
            <w:r w:rsidRPr="00CD43D5">
              <w:rPr>
                <w:i/>
              </w:rPr>
              <w:t>fastighetsdatasyste</w:t>
            </w:r>
            <w:r w:rsidRPr="00CD43D5">
              <w:rPr>
                <w:i/>
              </w:rPr>
              <w:t>m</w:t>
            </w:r>
            <w:r w:rsidRPr="00CD43D5">
              <w:rPr>
                <w:i/>
              </w:rPr>
              <w:t xml:space="preserve">et vid Lantmäteriverket. </w:t>
            </w:r>
            <w:r w:rsidRPr="00CD43D5">
              <w:t>Regeringen meddelar närmare föreskrifter om uppgiftsskyldigheten.</w:t>
            </w:r>
          </w:p>
        </w:tc>
        <w:tc>
          <w:tcPr>
            <w:tcW w:w="3118" w:type="dxa"/>
          </w:tcPr>
          <w:p w:rsidR="00441AFC" w:rsidRPr="00CD43D5" w:rsidRDefault="00441AFC">
            <w:pPr>
              <w:pStyle w:val="Normaltindrag"/>
            </w:pPr>
            <w:r w:rsidRPr="00CD43D5">
              <w:t xml:space="preserve">En fastighetsägare är skyldig att lämna de uppgifter som behövs för lägenhetsregistret och som inte kan inhämtas från </w:t>
            </w:r>
            <w:r w:rsidRPr="00CD43D5">
              <w:rPr>
                <w:i/>
              </w:rPr>
              <w:t>fastighetsregistret.</w:t>
            </w:r>
            <w:r w:rsidRPr="00CD43D5">
              <w:t xml:space="preserve"> Regeringen meddelar närmare för</w:t>
            </w:r>
            <w:r w:rsidRPr="00CD43D5">
              <w:t>e</w:t>
            </w:r>
            <w:r w:rsidRPr="00CD43D5">
              <w:t>skrifter om uppgiftsskyldigheten.</w:t>
            </w:r>
          </w:p>
        </w:tc>
      </w:tr>
    </w:tbl>
    <w:p w:rsidR="00441AFC" w:rsidRPr="00CD43D5" w:rsidRDefault="00441AFC">
      <w:pPr>
        <w:pStyle w:val="Normaltindrag"/>
      </w:pPr>
      <w:r w:rsidRPr="00CD43D5">
        <w:t>Med fastighetsägare avses i denna lag även ägare av byggnad.</w:t>
      </w:r>
    </w:p>
    <w:p w:rsidR="00441AFC" w:rsidRPr="00CD43D5" w:rsidRDefault="00441AFC">
      <w:r w:rsidRPr="00CD43D5">
        <w:rPr>
          <w:u w:val="single"/>
        </w:rPr>
        <w:t>                                     </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Deltagare"/>
        <w:sectPr w:rsidR="00000000" w:rsidRPr="00CD43D5">
          <w:headerReference w:type="default" r:id="rId12"/>
          <w:footerReference w:type="default" r:id="rId13"/>
          <w:footnotePr>
            <w:numRestart w:val="eachPage"/>
          </w:footnotePr>
          <w:pgSz w:w="11906" w:h="16838" w:code="9"/>
          <w:pgMar w:top="567" w:right="4876" w:bottom="4508" w:left="1134" w:header="227" w:footer="227" w:gutter="0"/>
          <w:cols w:space="720"/>
        </w:sectPr>
      </w:pPr>
      <w:bookmarkStart w:id="199" w:name="Deltagare"/>
      <w:bookmarkEnd w:id="199"/>
    </w:p>
    <w:p w:rsidR="00441AFC" w:rsidRPr="00CD43D5" w:rsidRDefault="00441AFC">
      <w:pPr>
        <w:pStyle w:val="Rubrik1"/>
        <w:spacing w:before="123"/>
      </w:pPr>
      <w:bookmarkStart w:id="200" w:name="_Toc479046936"/>
      <w:r w:rsidRPr="00CD43D5">
        <w:t>Utskottets lagförslag</w:t>
      </w:r>
      <w:bookmarkEnd w:id="200"/>
    </w:p>
    <w:p w:rsidR="00441AFC" w:rsidRPr="00CD43D5" w:rsidRDefault="00441AFC">
      <w:pPr>
        <w:pStyle w:val="Rubrik2"/>
        <w:jc w:val="both"/>
      </w:pPr>
      <w:bookmarkStart w:id="201" w:name="_Toc479046937"/>
      <w:r w:rsidRPr="00CD43D5">
        <w:t>1. Förslag till lag om ändring i lagen (1970:991) om ändring i kommunal och ecklesiastik indelning i samband med fastighets-bildning</w:t>
      </w:r>
      <w:bookmarkEnd w:id="201"/>
    </w:p>
    <w:p w:rsidR="00441AFC" w:rsidRPr="00CD43D5" w:rsidRDefault="00441AFC">
      <w:pPr>
        <w:pStyle w:val="Normaltindrag"/>
      </w:pPr>
    </w:p>
    <w:p w:rsidR="00441AFC" w:rsidRPr="00CD43D5" w:rsidRDefault="00441AFC">
      <w:pPr>
        <w:pStyle w:val="Normaltindrag"/>
      </w:pPr>
      <w:r w:rsidRPr="00CD43D5">
        <w:t>Härigenom föreskrivs att i 6 § lagen (1970:991) om ändring i kommunal och ecklesiastik indelning i samband med fastighetsbildning</w:t>
      </w:r>
      <w:r w:rsidRPr="00CD43D5">
        <w:rPr>
          <w:rStyle w:val="Fotnotsreferens"/>
        </w:rPr>
        <w:footnoteReference w:id="29"/>
      </w:r>
      <w:r w:rsidRPr="00CD43D5">
        <w:t xml:space="preserve"> ordet ”fastighetsregistret” skall bytas ut mot ”fastighetsregistrets allmänna del”.</w:t>
      </w:r>
    </w:p>
    <w:p w:rsidR="00441AFC" w:rsidRPr="00CD43D5" w:rsidRDefault="00441AFC">
      <w:r w:rsidRPr="00CD43D5">
        <w:t>____________</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Normaltindrag"/>
      </w:pPr>
    </w:p>
    <w:p w:rsidR="00441AFC" w:rsidRPr="00CD43D5" w:rsidRDefault="00441AFC">
      <w:pPr>
        <w:pStyle w:val="Rubrik2"/>
      </w:pPr>
      <w:r w:rsidRPr="00CD43D5">
        <w:br w:type="page"/>
      </w:r>
      <w:bookmarkStart w:id="202" w:name="_Toc479046938"/>
      <w:r w:rsidRPr="00CD43D5">
        <w:t>2. Förslag till lag om ändring i postlagen (1993:1684)</w:t>
      </w:r>
      <w:bookmarkEnd w:id="202"/>
    </w:p>
    <w:p w:rsidR="00441AFC" w:rsidRPr="00CD43D5" w:rsidRDefault="00441AFC">
      <w:pPr>
        <w:pStyle w:val="Normaltindrag"/>
      </w:pPr>
    </w:p>
    <w:p w:rsidR="00441AFC" w:rsidRPr="00CD43D5" w:rsidRDefault="00441AFC">
      <w:pPr>
        <w:pStyle w:val="Normaltindrag"/>
      </w:pPr>
      <w:r w:rsidRPr="00CD43D5">
        <w:t>Härigenom föreskrivs att i 7 d § postlagen (1993:1684)</w:t>
      </w:r>
      <w:r w:rsidRPr="00CD43D5">
        <w:rPr>
          <w:rStyle w:val="Fotnotsreferens"/>
        </w:rPr>
        <w:footnoteReference w:id="30"/>
      </w:r>
      <w:r w:rsidRPr="00CD43D5">
        <w:t xml:space="preserve"> ordet ”fastighets-datasystemet” skall bytas ut mot ”fastighetsregistret”.</w:t>
      </w:r>
    </w:p>
    <w:p w:rsidR="00441AFC" w:rsidRPr="00CD43D5" w:rsidRDefault="00441AFC">
      <w:r w:rsidRPr="00CD43D5">
        <w:t>____________</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Normaltindrag"/>
      </w:pPr>
    </w:p>
    <w:p w:rsidR="00441AFC" w:rsidRPr="00CD43D5" w:rsidRDefault="00441AFC">
      <w:pPr>
        <w:pStyle w:val="Rubrik2"/>
      </w:pPr>
      <w:r w:rsidRPr="00CD43D5">
        <w:br w:type="page"/>
      </w:r>
      <w:bookmarkStart w:id="203" w:name="_Toc479046939"/>
      <w:r w:rsidRPr="00CD43D5">
        <w:t>3. Förslag till lag om ändring i lagen (1994:448) om pantbrevsregister</w:t>
      </w:r>
      <w:bookmarkEnd w:id="203"/>
    </w:p>
    <w:p w:rsidR="00441AFC" w:rsidRPr="00CD43D5" w:rsidRDefault="00441AFC">
      <w:pPr>
        <w:pStyle w:val="Normaltindrag"/>
      </w:pPr>
    </w:p>
    <w:p w:rsidR="00441AFC" w:rsidRPr="00CD43D5" w:rsidRDefault="00441AFC">
      <w:pPr>
        <w:pStyle w:val="Normaltindrag"/>
      </w:pPr>
      <w:r w:rsidRPr="00CD43D5">
        <w:t>Härigenom föreskrivs att i 3 § lagen (1994:448) om pantbrevsregister</w:t>
      </w:r>
      <w:r w:rsidRPr="00CD43D5">
        <w:rPr>
          <w:rStyle w:val="Fotnotsreferens"/>
        </w:rPr>
        <w:footnoteReference w:id="31"/>
      </w:r>
      <w:r w:rsidRPr="00CD43D5">
        <w:t xml:space="preserve">  o</w:t>
      </w:r>
      <w:r w:rsidRPr="00CD43D5">
        <w:t>r</w:t>
      </w:r>
      <w:r w:rsidRPr="00CD43D5">
        <w:t>den ”inskrivningsregistret och fastighetsregistret” skall bytas ut mot ”fastighetsregistrets allmänna del och inskrivningsdel” samt i 4 och 18 §§ ordet ”inskrivningsregistret” skall bytas ut mot ”fastighetsregistrets inskri</w:t>
      </w:r>
      <w:r w:rsidRPr="00CD43D5">
        <w:t>v</w:t>
      </w:r>
      <w:r w:rsidRPr="00CD43D5">
        <w:t>ningsdel”.</w:t>
      </w:r>
    </w:p>
    <w:p w:rsidR="00441AFC" w:rsidRPr="00CD43D5" w:rsidRDefault="00441AFC">
      <w:r w:rsidRPr="00CD43D5">
        <w:t>____________</w:t>
      </w:r>
    </w:p>
    <w:p w:rsidR="00441AFC" w:rsidRPr="00CD43D5" w:rsidRDefault="00441AFC">
      <w:pPr>
        <w:pStyle w:val="Normaltindrag"/>
      </w:pPr>
    </w:p>
    <w:p w:rsidR="00441AFC" w:rsidRPr="00CD43D5" w:rsidRDefault="00441AFC">
      <w:pPr>
        <w:pStyle w:val="Normaltindrag"/>
      </w:pPr>
      <w:r w:rsidRPr="00CD43D5">
        <w:t>Denna lag träder i kraft den 1 juli 2000.</w:t>
      </w: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pPr>
    </w:p>
    <w:p w:rsidR="00441AFC" w:rsidRPr="00CD43D5" w:rsidRDefault="00441AFC">
      <w:pPr>
        <w:pStyle w:val="Normaltindrag"/>
        <w:sectPr w:rsidR="00000000" w:rsidRPr="00CD43D5">
          <w:headerReference w:type="default" r:id="rId14"/>
          <w:footerReference w:type="default" r:id="rId15"/>
          <w:footnotePr>
            <w:numRestart w:val="eachPage"/>
          </w:footnotePr>
          <w:pgSz w:w="11906" w:h="16838" w:code="9"/>
          <w:pgMar w:top="567" w:right="4876" w:bottom="4508" w:left="1134" w:header="227" w:footer="227" w:gutter="0"/>
          <w:cols w:space="720"/>
        </w:sectPr>
      </w:pPr>
    </w:p>
    <w:p w:rsidR="00441AFC" w:rsidRPr="00CD43D5" w:rsidRDefault="00441AFC">
      <w:pPr>
        <w:pStyle w:val="Innehll"/>
        <w:outlineLvl w:val="1"/>
      </w:pPr>
      <w:r w:rsidRPr="00CD43D5">
        <w:t>Innehållsförteckning</w:t>
      </w:r>
    </w:p>
    <w:p w:rsidR="00441AFC" w:rsidRPr="00CD43D5" w:rsidRDefault="00441AFC">
      <w:pPr>
        <w:pStyle w:val="Innehll1"/>
        <w:rPr>
          <w:noProof/>
        </w:rPr>
      </w:pPr>
      <w:r w:rsidRPr="00CD43D5">
        <w:rPr>
          <w:noProof/>
        </w:rPr>
        <w:t>Sammanfattning</w:t>
      </w:r>
      <w:r w:rsidRPr="00CD43D5">
        <w:rPr>
          <w:noProof/>
        </w:rPr>
        <w:tab/>
        <w:t>1</w:t>
      </w:r>
    </w:p>
    <w:p w:rsidR="00441AFC" w:rsidRPr="00CD43D5" w:rsidRDefault="00441AFC">
      <w:pPr>
        <w:pStyle w:val="Innehll1"/>
        <w:rPr>
          <w:noProof/>
        </w:rPr>
      </w:pPr>
      <w:r w:rsidRPr="00CD43D5">
        <w:rPr>
          <w:noProof/>
        </w:rPr>
        <w:t>Propositionen</w:t>
      </w:r>
      <w:r w:rsidRPr="00CD43D5">
        <w:rPr>
          <w:noProof/>
        </w:rPr>
        <w:tab/>
        <w:t>2</w:t>
      </w:r>
    </w:p>
    <w:p w:rsidR="00441AFC" w:rsidRPr="00CD43D5" w:rsidRDefault="00441AFC">
      <w:pPr>
        <w:pStyle w:val="Innehll1"/>
        <w:rPr>
          <w:noProof/>
        </w:rPr>
      </w:pPr>
      <w:r w:rsidRPr="00CD43D5">
        <w:rPr>
          <w:noProof/>
        </w:rPr>
        <w:t>Utskottet</w:t>
      </w:r>
      <w:r w:rsidRPr="00CD43D5">
        <w:rPr>
          <w:noProof/>
        </w:rPr>
        <w:tab/>
        <w:t>3</w:t>
      </w:r>
    </w:p>
    <w:p w:rsidR="00441AFC" w:rsidRPr="00CD43D5" w:rsidRDefault="00441AFC">
      <w:pPr>
        <w:pStyle w:val="Innehll2"/>
        <w:rPr>
          <w:noProof/>
        </w:rPr>
      </w:pPr>
      <w:r w:rsidRPr="00CD43D5">
        <w:rPr>
          <w:noProof/>
        </w:rPr>
        <w:t>Propositionens innehåll</w:t>
      </w:r>
      <w:r w:rsidRPr="00CD43D5">
        <w:rPr>
          <w:noProof/>
        </w:rPr>
        <w:tab/>
        <w:t>3</w:t>
      </w:r>
    </w:p>
    <w:p w:rsidR="00441AFC" w:rsidRPr="00CD43D5" w:rsidRDefault="00441AFC">
      <w:pPr>
        <w:pStyle w:val="Innehll3"/>
        <w:rPr>
          <w:noProof/>
        </w:rPr>
      </w:pPr>
      <w:r w:rsidRPr="00CD43D5">
        <w:rPr>
          <w:noProof/>
        </w:rPr>
        <w:t>Register- och integritetsfrågor</w:t>
      </w:r>
      <w:r w:rsidRPr="00CD43D5">
        <w:rPr>
          <w:noProof/>
        </w:rPr>
        <w:tab/>
        <w:t>3</w:t>
      </w:r>
    </w:p>
    <w:p w:rsidR="00441AFC" w:rsidRPr="00CD43D5" w:rsidRDefault="00441AFC">
      <w:pPr>
        <w:pStyle w:val="Innehll3"/>
        <w:rPr>
          <w:noProof/>
        </w:rPr>
      </w:pPr>
      <w:r w:rsidRPr="00CD43D5">
        <w:rPr>
          <w:noProof/>
        </w:rPr>
        <w:t>Förslag i anledning av slutförandet av fastighetsdatareformen</w:t>
      </w:r>
      <w:r w:rsidRPr="00CD43D5">
        <w:rPr>
          <w:noProof/>
        </w:rPr>
        <w:tab/>
        <w:t>4</w:t>
      </w:r>
    </w:p>
    <w:p w:rsidR="00441AFC" w:rsidRPr="00CD43D5" w:rsidRDefault="00441AFC">
      <w:pPr>
        <w:pStyle w:val="Innehll3"/>
        <w:rPr>
          <w:noProof/>
        </w:rPr>
      </w:pPr>
      <w:r w:rsidRPr="00CD43D5">
        <w:rPr>
          <w:noProof/>
        </w:rPr>
        <w:t>Inskrivningsförfarandet</w:t>
      </w:r>
      <w:r w:rsidRPr="00CD43D5">
        <w:rPr>
          <w:noProof/>
        </w:rPr>
        <w:tab/>
        <w:t>4</w:t>
      </w:r>
    </w:p>
    <w:p w:rsidR="00441AFC" w:rsidRPr="00CD43D5" w:rsidRDefault="00441AFC">
      <w:pPr>
        <w:pStyle w:val="Innehll3"/>
        <w:rPr>
          <w:noProof/>
        </w:rPr>
      </w:pPr>
      <w:r w:rsidRPr="00CD43D5">
        <w:rPr>
          <w:noProof/>
        </w:rPr>
        <w:t>Rättelse och skadestånd</w:t>
      </w:r>
      <w:r w:rsidRPr="00CD43D5">
        <w:rPr>
          <w:noProof/>
        </w:rPr>
        <w:tab/>
        <w:t>4</w:t>
      </w:r>
    </w:p>
    <w:p w:rsidR="00441AFC" w:rsidRPr="00CD43D5" w:rsidRDefault="00441AFC">
      <w:pPr>
        <w:pStyle w:val="Innehll3"/>
        <w:rPr>
          <w:noProof/>
        </w:rPr>
      </w:pPr>
      <w:r w:rsidRPr="00CD43D5">
        <w:rPr>
          <w:noProof/>
        </w:rPr>
        <w:t>Vissa äldre rättsförhållanden</w:t>
      </w:r>
      <w:r w:rsidRPr="00CD43D5">
        <w:rPr>
          <w:noProof/>
        </w:rPr>
        <w:tab/>
        <w:t>5</w:t>
      </w:r>
    </w:p>
    <w:p w:rsidR="00441AFC" w:rsidRPr="00CD43D5" w:rsidRDefault="00441AFC">
      <w:pPr>
        <w:pStyle w:val="Innehll3"/>
        <w:rPr>
          <w:noProof/>
        </w:rPr>
      </w:pPr>
      <w:r w:rsidRPr="00CD43D5">
        <w:rPr>
          <w:noProof/>
        </w:rPr>
        <w:t>Häradsallmänningar och allmänningsskogar i Norrland och Dalarna</w:t>
      </w:r>
      <w:r w:rsidRPr="00CD43D5">
        <w:rPr>
          <w:noProof/>
        </w:rPr>
        <w:tab/>
        <w:t>5</w:t>
      </w:r>
    </w:p>
    <w:p w:rsidR="00441AFC" w:rsidRPr="00CD43D5" w:rsidRDefault="00441AFC">
      <w:pPr>
        <w:pStyle w:val="Innehll3"/>
        <w:rPr>
          <w:noProof/>
        </w:rPr>
      </w:pPr>
      <w:r w:rsidRPr="00CD43D5">
        <w:rPr>
          <w:noProof/>
        </w:rPr>
        <w:t>Kostnader och ikraftträdande</w:t>
      </w:r>
      <w:r w:rsidRPr="00CD43D5">
        <w:rPr>
          <w:noProof/>
        </w:rPr>
        <w:tab/>
        <w:t>5</w:t>
      </w:r>
    </w:p>
    <w:p w:rsidR="00441AFC" w:rsidRPr="00CD43D5" w:rsidRDefault="00441AFC">
      <w:pPr>
        <w:pStyle w:val="Innehll2"/>
        <w:rPr>
          <w:noProof/>
        </w:rPr>
      </w:pPr>
      <w:r w:rsidRPr="00CD43D5">
        <w:rPr>
          <w:noProof/>
        </w:rPr>
        <w:t>Utskottets ställningstagande</w:t>
      </w:r>
      <w:r w:rsidRPr="00CD43D5">
        <w:rPr>
          <w:noProof/>
        </w:rPr>
        <w:tab/>
        <w:t>5</w:t>
      </w:r>
    </w:p>
    <w:p w:rsidR="00441AFC" w:rsidRPr="00CD43D5" w:rsidRDefault="00441AFC">
      <w:pPr>
        <w:pStyle w:val="Innehll2"/>
        <w:rPr>
          <w:noProof/>
        </w:rPr>
      </w:pPr>
      <w:r w:rsidRPr="00CD43D5">
        <w:rPr>
          <w:noProof/>
        </w:rPr>
        <w:t>Hemställan</w:t>
      </w:r>
      <w:r w:rsidRPr="00CD43D5">
        <w:rPr>
          <w:noProof/>
        </w:rPr>
        <w:tab/>
        <w:t>7</w:t>
      </w:r>
    </w:p>
    <w:p w:rsidR="00441AFC" w:rsidRPr="00CD43D5" w:rsidRDefault="00441AFC">
      <w:pPr>
        <w:pStyle w:val="Innehll1"/>
        <w:rPr>
          <w:noProof/>
        </w:rPr>
      </w:pPr>
      <w:r w:rsidRPr="00CD43D5">
        <w:rPr>
          <w:noProof/>
        </w:rPr>
        <w:t>Bilaga 1 Propositionens lagförslag</w:t>
      </w:r>
      <w:r w:rsidRPr="00CD43D5">
        <w:rPr>
          <w:noProof/>
        </w:rPr>
        <w:tab/>
        <w:t>9</w:t>
      </w:r>
    </w:p>
    <w:p w:rsidR="00441AFC" w:rsidRPr="00CD43D5" w:rsidRDefault="00441AFC">
      <w:pPr>
        <w:pStyle w:val="Innehll2"/>
        <w:rPr>
          <w:noProof/>
        </w:rPr>
      </w:pPr>
      <w:r w:rsidRPr="00CD43D5">
        <w:rPr>
          <w:noProof/>
        </w:rPr>
        <w:t>1. Förslag till lag om fastighetsregister</w:t>
      </w:r>
      <w:r w:rsidRPr="00CD43D5">
        <w:rPr>
          <w:noProof/>
        </w:rPr>
        <w:tab/>
        <w:t>9</w:t>
      </w:r>
    </w:p>
    <w:p w:rsidR="00441AFC" w:rsidRPr="00CD43D5" w:rsidRDefault="00441AFC">
      <w:pPr>
        <w:pStyle w:val="Innehll2"/>
        <w:rPr>
          <w:noProof/>
        </w:rPr>
      </w:pPr>
      <w:r w:rsidRPr="00CD43D5">
        <w:rPr>
          <w:noProof/>
        </w:rPr>
        <w:t>2. Förslag till lag om upphävande av vissa lagar på fastighets-rättens område</w:t>
      </w:r>
      <w:r w:rsidRPr="00CD43D5">
        <w:rPr>
          <w:noProof/>
        </w:rPr>
        <w:tab/>
        <w:t>13</w:t>
      </w:r>
    </w:p>
    <w:p w:rsidR="00441AFC" w:rsidRPr="00CD43D5" w:rsidRDefault="00441AFC">
      <w:pPr>
        <w:pStyle w:val="Innehll2"/>
        <w:rPr>
          <w:noProof/>
        </w:rPr>
      </w:pPr>
      <w:r w:rsidRPr="00CD43D5">
        <w:rPr>
          <w:noProof/>
        </w:rPr>
        <w:t>3. Förslag till lag om ändring i jordabalken</w:t>
      </w:r>
      <w:r w:rsidRPr="00CD43D5">
        <w:rPr>
          <w:noProof/>
        </w:rPr>
        <w:tab/>
        <w:t>14</w:t>
      </w:r>
    </w:p>
    <w:p w:rsidR="00441AFC" w:rsidRPr="00CD43D5" w:rsidRDefault="00441AFC">
      <w:pPr>
        <w:pStyle w:val="Innehll2"/>
        <w:rPr>
          <w:noProof/>
        </w:rPr>
      </w:pPr>
      <w:r w:rsidRPr="00CD43D5">
        <w:rPr>
          <w:noProof/>
        </w:rPr>
        <w:t>4. Förslag till lag om ändring i lagen (1970:995) om införande av nya jordabalken</w:t>
      </w:r>
      <w:r w:rsidRPr="00CD43D5">
        <w:rPr>
          <w:noProof/>
        </w:rPr>
        <w:tab/>
        <w:t>28</w:t>
      </w:r>
    </w:p>
    <w:p w:rsidR="00441AFC" w:rsidRPr="00CD43D5" w:rsidRDefault="00441AFC">
      <w:pPr>
        <w:pStyle w:val="Innehll2"/>
        <w:rPr>
          <w:noProof/>
        </w:rPr>
      </w:pPr>
      <w:r w:rsidRPr="00CD43D5">
        <w:rPr>
          <w:noProof/>
        </w:rPr>
        <w:t>5. Förslag till lag om ändring i miljöbalken</w:t>
      </w:r>
      <w:r w:rsidRPr="00CD43D5">
        <w:rPr>
          <w:noProof/>
        </w:rPr>
        <w:tab/>
        <w:t>29</w:t>
      </w:r>
    </w:p>
    <w:p w:rsidR="00441AFC" w:rsidRPr="00CD43D5" w:rsidRDefault="00441AFC">
      <w:pPr>
        <w:pStyle w:val="Innehll2"/>
        <w:rPr>
          <w:noProof/>
        </w:rPr>
      </w:pPr>
      <w:r w:rsidRPr="00CD43D5">
        <w:rPr>
          <w:noProof/>
        </w:rPr>
        <w:t>6. Förslag till lag om ändring i lagen (1927:79) om rätt för borgenär till betalning ur ersättning på grund av brandförsäk-ringsavtal</w:t>
      </w:r>
      <w:r w:rsidRPr="00CD43D5">
        <w:rPr>
          <w:noProof/>
        </w:rPr>
        <w:tab/>
        <w:t>30</w:t>
      </w:r>
    </w:p>
    <w:p w:rsidR="00441AFC" w:rsidRPr="00CD43D5" w:rsidRDefault="00441AFC">
      <w:pPr>
        <w:pStyle w:val="Innehll2"/>
        <w:rPr>
          <w:noProof/>
        </w:rPr>
      </w:pPr>
      <w:r w:rsidRPr="00CD43D5">
        <w:rPr>
          <w:noProof/>
        </w:rPr>
        <w:t>7. Förslag till lag om ändring i lagen (1927:85) om dödande av förkommen handling</w:t>
      </w:r>
      <w:r w:rsidRPr="00CD43D5">
        <w:rPr>
          <w:noProof/>
        </w:rPr>
        <w:tab/>
        <w:t>31</w:t>
      </w:r>
    </w:p>
    <w:p w:rsidR="00441AFC" w:rsidRPr="00CD43D5" w:rsidRDefault="00441AFC">
      <w:pPr>
        <w:pStyle w:val="Innehll2"/>
        <w:rPr>
          <w:noProof/>
        </w:rPr>
      </w:pPr>
      <w:r w:rsidRPr="00CD43D5">
        <w:rPr>
          <w:noProof/>
        </w:rPr>
        <w:t>8. Förslag till lag om ändring i lagen (1952:166) om härads-allmänningar</w:t>
      </w:r>
      <w:r w:rsidRPr="00CD43D5">
        <w:rPr>
          <w:noProof/>
        </w:rPr>
        <w:tab/>
        <w:t>32</w:t>
      </w:r>
    </w:p>
    <w:p w:rsidR="00441AFC" w:rsidRPr="00CD43D5" w:rsidRDefault="00441AFC">
      <w:pPr>
        <w:pStyle w:val="Innehll2"/>
        <w:rPr>
          <w:noProof/>
        </w:rPr>
      </w:pPr>
      <w:r w:rsidRPr="00CD43D5">
        <w:rPr>
          <w:noProof/>
        </w:rPr>
        <w:t>9. Förslag till lag om ändring i lagen (1952:167) om allmännings-skogar i Norrland och Dalarna</w:t>
      </w:r>
      <w:r w:rsidRPr="00CD43D5">
        <w:rPr>
          <w:noProof/>
        </w:rPr>
        <w:tab/>
        <w:t>34</w:t>
      </w:r>
    </w:p>
    <w:p w:rsidR="00441AFC" w:rsidRPr="00CD43D5" w:rsidRDefault="00441AFC">
      <w:pPr>
        <w:pStyle w:val="Innehll2"/>
        <w:rPr>
          <w:noProof/>
        </w:rPr>
      </w:pPr>
      <w:r w:rsidRPr="00CD43D5">
        <w:rPr>
          <w:noProof/>
        </w:rPr>
        <w:t>10. Förslag till lag om ändring i förköpslagen (1967:868)</w:t>
      </w:r>
      <w:r w:rsidRPr="00CD43D5">
        <w:rPr>
          <w:noProof/>
        </w:rPr>
        <w:tab/>
        <w:t>36</w:t>
      </w:r>
    </w:p>
    <w:p w:rsidR="00441AFC" w:rsidRPr="00CD43D5" w:rsidRDefault="00441AFC">
      <w:pPr>
        <w:pStyle w:val="Innehll2"/>
        <w:rPr>
          <w:noProof/>
        </w:rPr>
      </w:pPr>
      <w:r w:rsidRPr="00CD43D5">
        <w:rPr>
          <w:noProof/>
        </w:rPr>
        <w:t>11. Förslag till lag om ändring i fastighetsbildningslagen (1970:988)</w:t>
      </w:r>
      <w:r w:rsidRPr="00CD43D5">
        <w:rPr>
          <w:noProof/>
        </w:rPr>
        <w:tab/>
        <w:t>37</w:t>
      </w:r>
    </w:p>
    <w:p w:rsidR="00441AFC" w:rsidRPr="00CD43D5" w:rsidRDefault="00441AFC">
      <w:pPr>
        <w:pStyle w:val="Innehll2"/>
        <w:rPr>
          <w:noProof/>
        </w:rPr>
      </w:pPr>
      <w:r w:rsidRPr="00CD43D5">
        <w:rPr>
          <w:noProof/>
        </w:rPr>
        <w:t>12. Förslag till lag om ändring i lagen (1970:989) om införande av fastighetsbildningslagen</w:t>
      </w:r>
      <w:r w:rsidRPr="00CD43D5">
        <w:rPr>
          <w:noProof/>
        </w:rPr>
        <w:tab/>
        <w:t>41</w:t>
      </w:r>
    </w:p>
    <w:p w:rsidR="00441AFC" w:rsidRPr="00CD43D5" w:rsidRDefault="00441AFC">
      <w:pPr>
        <w:pStyle w:val="Innehll2"/>
        <w:rPr>
          <w:noProof/>
        </w:rPr>
      </w:pPr>
      <w:r w:rsidRPr="00CD43D5">
        <w:rPr>
          <w:noProof/>
        </w:rPr>
        <w:t>13. Förslag till lag om ändring i lagen (1970:990) om förmånsrätt för fordran på grund av fastighetsbildning</w:t>
      </w:r>
      <w:r w:rsidRPr="00CD43D5">
        <w:rPr>
          <w:noProof/>
        </w:rPr>
        <w:tab/>
        <w:t>42</w:t>
      </w:r>
    </w:p>
    <w:p w:rsidR="00441AFC" w:rsidRPr="00CD43D5" w:rsidRDefault="00441AFC">
      <w:pPr>
        <w:pStyle w:val="Innehll2"/>
        <w:rPr>
          <w:noProof/>
        </w:rPr>
      </w:pPr>
      <w:r w:rsidRPr="00CD43D5">
        <w:rPr>
          <w:noProof/>
        </w:rPr>
        <w:t>14. Förslag till lag om ändring i lagen (1971:1037) om ägande-rättsutredning och legalisering</w:t>
      </w:r>
      <w:r w:rsidRPr="00CD43D5">
        <w:rPr>
          <w:noProof/>
        </w:rPr>
        <w:tab/>
        <w:t>43</w:t>
      </w:r>
    </w:p>
    <w:p w:rsidR="00441AFC" w:rsidRPr="00CD43D5" w:rsidRDefault="00441AFC">
      <w:pPr>
        <w:pStyle w:val="Innehll2"/>
        <w:rPr>
          <w:noProof/>
        </w:rPr>
      </w:pPr>
      <w:r w:rsidRPr="00CD43D5">
        <w:rPr>
          <w:noProof/>
        </w:rPr>
        <w:t>15. Förslag till lag om ändring i expropriationslagen (1972:719)</w:t>
      </w:r>
      <w:r w:rsidRPr="00CD43D5">
        <w:rPr>
          <w:noProof/>
        </w:rPr>
        <w:tab/>
        <w:t>44</w:t>
      </w:r>
    </w:p>
    <w:p w:rsidR="00441AFC" w:rsidRPr="00CD43D5" w:rsidRDefault="00441AFC">
      <w:pPr>
        <w:pStyle w:val="Innehll2"/>
        <w:rPr>
          <w:noProof/>
        </w:rPr>
      </w:pPr>
      <w:r w:rsidRPr="00CD43D5">
        <w:rPr>
          <w:noProof/>
        </w:rPr>
        <w:t>16. Förslag till lag om ändring i ledningsrättslagen (1973:1144)</w:t>
      </w:r>
      <w:r w:rsidRPr="00CD43D5">
        <w:rPr>
          <w:noProof/>
        </w:rPr>
        <w:tab/>
        <w:t>45</w:t>
      </w:r>
    </w:p>
    <w:p w:rsidR="00441AFC" w:rsidRPr="00CD43D5" w:rsidRDefault="00441AFC">
      <w:pPr>
        <w:pStyle w:val="Innehll2"/>
        <w:rPr>
          <w:noProof/>
        </w:rPr>
      </w:pPr>
      <w:r w:rsidRPr="00CD43D5">
        <w:rPr>
          <w:noProof/>
        </w:rPr>
        <w:t>17. Förslag till lag om ändring i anläggningslagen (1973:1149)</w:t>
      </w:r>
      <w:r w:rsidRPr="00CD43D5">
        <w:rPr>
          <w:noProof/>
        </w:rPr>
        <w:tab/>
        <w:t>46</w:t>
      </w:r>
    </w:p>
    <w:p w:rsidR="00441AFC" w:rsidRPr="00CD43D5" w:rsidRDefault="00441AFC">
      <w:pPr>
        <w:pStyle w:val="Innehll2"/>
        <w:rPr>
          <w:noProof/>
        </w:rPr>
      </w:pPr>
      <w:r w:rsidRPr="00CD43D5">
        <w:rPr>
          <w:noProof/>
        </w:rPr>
        <w:t>18. Förslag till lag om ändring i lagen (1975:1132) om förvärv av hyresfastighet m.m.</w:t>
      </w:r>
      <w:r w:rsidRPr="00CD43D5">
        <w:rPr>
          <w:noProof/>
        </w:rPr>
        <w:tab/>
        <w:t>47</w:t>
      </w:r>
    </w:p>
    <w:p w:rsidR="00441AFC" w:rsidRPr="00CD43D5" w:rsidRDefault="00441AFC">
      <w:pPr>
        <w:pStyle w:val="Innehll2"/>
        <w:rPr>
          <w:noProof/>
        </w:rPr>
      </w:pPr>
      <w:r w:rsidRPr="00CD43D5">
        <w:rPr>
          <w:noProof/>
        </w:rPr>
        <w:t>19. Förslag till lag om ändring i bostadsförvaltningslagen (1977:792)</w:t>
      </w:r>
      <w:r w:rsidRPr="00CD43D5">
        <w:rPr>
          <w:noProof/>
        </w:rPr>
        <w:tab/>
        <w:t>48</w:t>
      </w:r>
    </w:p>
    <w:p w:rsidR="00441AFC" w:rsidRPr="00CD43D5" w:rsidRDefault="00441AFC">
      <w:pPr>
        <w:pStyle w:val="Innehll2"/>
        <w:rPr>
          <w:noProof/>
        </w:rPr>
      </w:pPr>
      <w:r w:rsidRPr="00CD43D5">
        <w:rPr>
          <w:noProof/>
        </w:rPr>
        <w:t>20. Förslag till lag om ändring i jordförvärvslagen (1979:230)</w:t>
      </w:r>
      <w:r w:rsidRPr="00CD43D5">
        <w:rPr>
          <w:noProof/>
        </w:rPr>
        <w:tab/>
        <w:t>49</w:t>
      </w:r>
    </w:p>
    <w:p w:rsidR="00441AFC" w:rsidRPr="00CD43D5" w:rsidRDefault="00441AFC">
      <w:pPr>
        <w:pStyle w:val="Innehll2"/>
        <w:rPr>
          <w:noProof/>
        </w:rPr>
      </w:pPr>
      <w:r w:rsidRPr="00CD43D5">
        <w:rPr>
          <w:noProof/>
        </w:rPr>
        <w:t>21. Förslag till lag om ändring i fastighetstaxeringslagen (1979:1152)</w:t>
      </w:r>
      <w:r w:rsidRPr="00CD43D5">
        <w:rPr>
          <w:noProof/>
        </w:rPr>
        <w:tab/>
        <w:t>50</w:t>
      </w:r>
    </w:p>
    <w:p w:rsidR="00441AFC" w:rsidRPr="00CD43D5" w:rsidRDefault="00441AFC">
      <w:pPr>
        <w:pStyle w:val="Innehll2"/>
        <w:rPr>
          <w:noProof/>
        </w:rPr>
      </w:pPr>
      <w:r w:rsidRPr="00CD43D5">
        <w:rPr>
          <w:noProof/>
        </w:rPr>
        <w:t>22. Förslag till lag om ändring i lagen (1982:352) om rätt till fastighetsförvärv för ombildning till bostadsrätt</w:t>
      </w:r>
      <w:r w:rsidRPr="00CD43D5">
        <w:rPr>
          <w:noProof/>
        </w:rPr>
        <w:tab/>
        <w:t>51</w:t>
      </w:r>
    </w:p>
    <w:p w:rsidR="00441AFC" w:rsidRPr="00CD43D5" w:rsidRDefault="00441AFC">
      <w:pPr>
        <w:pStyle w:val="Innehll2"/>
        <w:rPr>
          <w:noProof/>
        </w:rPr>
      </w:pPr>
      <w:r w:rsidRPr="00CD43D5">
        <w:rPr>
          <w:noProof/>
        </w:rPr>
        <w:t>23. Förslag till lag om ändring i lagen (1984:404) om stämpelskatt vid inskrivningsmyndigheter</w:t>
      </w:r>
      <w:r w:rsidRPr="00CD43D5">
        <w:rPr>
          <w:noProof/>
        </w:rPr>
        <w:tab/>
        <w:t>52</w:t>
      </w:r>
    </w:p>
    <w:p w:rsidR="00441AFC" w:rsidRPr="00CD43D5" w:rsidRDefault="00441AFC">
      <w:pPr>
        <w:pStyle w:val="Innehll2"/>
        <w:rPr>
          <w:noProof/>
        </w:rPr>
      </w:pPr>
      <w:r w:rsidRPr="00CD43D5">
        <w:rPr>
          <w:noProof/>
        </w:rPr>
        <w:t>24. Förslag till lag om ändring i lagen (1985:658) om arrenda-torers rätt att förvärva arrendestället</w:t>
      </w:r>
      <w:r w:rsidRPr="00CD43D5">
        <w:rPr>
          <w:noProof/>
        </w:rPr>
        <w:tab/>
        <w:t>53</w:t>
      </w:r>
    </w:p>
    <w:p w:rsidR="00441AFC" w:rsidRPr="00CD43D5" w:rsidRDefault="00441AFC">
      <w:pPr>
        <w:pStyle w:val="Innehll2"/>
        <w:rPr>
          <w:noProof/>
        </w:rPr>
      </w:pPr>
      <w:r w:rsidRPr="00CD43D5">
        <w:rPr>
          <w:noProof/>
        </w:rPr>
        <w:t>25. Förslag till lag om ändring i plan- och bygglagen (1987:10)</w:t>
      </w:r>
      <w:r w:rsidRPr="00CD43D5">
        <w:rPr>
          <w:noProof/>
        </w:rPr>
        <w:tab/>
        <w:t>54</w:t>
      </w:r>
    </w:p>
    <w:p w:rsidR="00441AFC" w:rsidRPr="00CD43D5" w:rsidRDefault="00441AFC">
      <w:pPr>
        <w:pStyle w:val="Innehll2"/>
        <w:rPr>
          <w:noProof/>
        </w:rPr>
      </w:pPr>
      <w:r w:rsidRPr="00CD43D5">
        <w:rPr>
          <w:noProof/>
        </w:rPr>
        <w:t>26. Förslag till lag om ändring i lagen (1987:11) om exploaterings-samverkan</w:t>
      </w:r>
      <w:r w:rsidRPr="00CD43D5">
        <w:rPr>
          <w:noProof/>
        </w:rPr>
        <w:tab/>
        <w:t>55</w:t>
      </w:r>
    </w:p>
    <w:p w:rsidR="00441AFC" w:rsidRPr="00CD43D5" w:rsidRDefault="00441AFC">
      <w:pPr>
        <w:pStyle w:val="Innehll2"/>
        <w:rPr>
          <w:noProof/>
        </w:rPr>
      </w:pPr>
      <w:r w:rsidRPr="00CD43D5">
        <w:rPr>
          <w:noProof/>
        </w:rPr>
        <w:t>27. Förslag till lag om ändring i lagen (1988:950) om kultur-minnen m.m.</w:t>
      </w:r>
      <w:r w:rsidRPr="00CD43D5">
        <w:rPr>
          <w:noProof/>
        </w:rPr>
        <w:tab/>
        <w:t>56</w:t>
      </w:r>
    </w:p>
    <w:p w:rsidR="00441AFC" w:rsidRPr="00CD43D5" w:rsidRDefault="00441AFC">
      <w:pPr>
        <w:pStyle w:val="Innehll2"/>
        <w:rPr>
          <w:noProof/>
        </w:rPr>
      </w:pPr>
      <w:r w:rsidRPr="00CD43D5">
        <w:rPr>
          <w:noProof/>
        </w:rPr>
        <w:t>28. Förslag till lag om ändring i lagen (1989:31) om förvaltning av vissa samägda jordbruksfastigheter</w:t>
      </w:r>
      <w:r w:rsidRPr="00CD43D5">
        <w:rPr>
          <w:noProof/>
        </w:rPr>
        <w:tab/>
        <w:t>57</w:t>
      </w:r>
    </w:p>
    <w:p w:rsidR="00441AFC" w:rsidRPr="00CD43D5" w:rsidRDefault="00441AFC">
      <w:pPr>
        <w:pStyle w:val="Innehll2"/>
        <w:rPr>
          <w:noProof/>
        </w:rPr>
      </w:pPr>
      <w:r w:rsidRPr="00CD43D5">
        <w:rPr>
          <w:noProof/>
        </w:rPr>
        <w:t>29. Förslag till lag om ändring i lagen (1995:1537) om lägenhets-register</w:t>
      </w:r>
      <w:r w:rsidRPr="00CD43D5">
        <w:rPr>
          <w:noProof/>
        </w:rPr>
        <w:tab/>
        <w:t>58</w:t>
      </w:r>
    </w:p>
    <w:p w:rsidR="00441AFC" w:rsidRPr="00CD43D5" w:rsidRDefault="00441AFC">
      <w:pPr>
        <w:pStyle w:val="Innehll1"/>
        <w:rPr>
          <w:noProof/>
        </w:rPr>
      </w:pPr>
      <w:r w:rsidRPr="00CD43D5">
        <w:rPr>
          <w:noProof/>
        </w:rPr>
        <w:t>Bilaga 2 Utskottets lagförslag</w:t>
      </w:r>
      <w:r w:rsidRPr="00CD43D5">
        <w:rPr>
          <w:noProof/>
        </w:rPr>
        <w:tab/>
        <w:t>59</w:t>
      </w:r>
    </w:p>
    <w:p w:rsidR="00441AFC" w:rsidRPr="00CD43D5" w:rsidRDefault="00441AFC">
      <w:pPr>
        <w:pStyle w:val="Innehll2"/>
        <w:rPr>
          <w:noProof/>
        </w:rPr>
      </w:pPr>
      <w:r w:rsidRPr="00CD43D5">
        <w:rPr>
          <w:noProof/>
        </w:rPr>
        <w:t>1. Förslag till lag om ändring i lagen (1970:991) om ändring i kommunal och ecklesiastik indelning i samband med fastighets-bildning</w:t>
      </w:r>
      <w:r w:rsidRPr="00CD43D5">
        <w:rPr>
          <w:noProof/>
        </w:rPr>
        <w:tab/>
        <w:t>59</w:t>
      </w:r>
    </w:p>
    <w:p w:rsidR="00441AFC" w:rsidRPr="00CD43D5" w:rsidRDefault="00441AFC">
      <w:pPr>
        <w:pStyle w:val="Innehll2"/>
        <w:rPr>
          <w:noProof/>
        </w:rPr>
      </w:pPr>
      <w:r w:rsidRPr="00CD43D5">
        <w:rPr>
          <w:noProof/>
        </w:rPr>
        <w:t>2. Förslag till lag om ändring i postlagen (1993:1684)</w:t>
      </w:r>
      <w:r w:rsidRPr="00CD43D5">
        <w:rPr>
          <w:noProof/>
        </w:rPr>
        <w:tab/>
        <w:t>60</w:t>
      </w:r>
    </w:p>
    <w:p w:rsidR="00441AFC" w:rsidRPr="00CD43D5" w:rsidRDefault="00441AFC">
      <w:pPr>
        <w:pStyle w:val="Innehll2"/>
        <w:rPr>
          <w:noProof/>
        </w:rPr>
      </w:pPr>
      <w:r w:rsidRPr="00CD43D5">
        <w:rPr>
          <w:noProof/>
        </w:rPr>
        <w:t>3. Förslag till lag om ändring i lagen (1994:448) om pantbrevs-register</w:t>
      </w:r>
      <w:r w:rsidRPr="00CD43D5">
        <w:rPr>
          <w:noProof/>
        </w:rPr>
        <w:tab/>
        <w:t>61</w:t>
      </w:r>
    </w:p>
    <w:p w:rsidR="00441AFC" w:rsidRPr="00CD43D5" w:rsidRDefault="00441AFC"/>
    <w:p w:rsidR="00441AFC" w:rsidRPr="00CD43D5" w:rsidRDefault="00441AFC">
      <w:pPr>
        <w:pStyle w:val="Tryckort"/>
        <w:framePr w:wrap="around"/>
      </w:pPr>
      <w:r w:rsidRPr="00CD43D5">
        <w:t>Elanders Gotab, Stockholm  2000</w:t>
      </w:r>
    </w:p>
    <w:p w:rsidR="00441AFC" w:rsidRPr="00CD43D5" w:rsidRDefault="00441AFC">
      <w:pPr>
        <w:pStyle w:val="Normaltindrag"/>
      </w:pPr>
    </w:p>
    <w:sectPr w:rsidR="00441AFC" w:rsidRPr="00CD43D5">
      <w:headerReference w:type="default" r:id="rId16"/>
      <w:footerReference w:type="default" r:id="rId17"/>
      <w:footnotePr>
        <w:numRestart w:val="eachPage"/>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AFC" w:rsidRDefault="00441AFC">
      <w:pPr>
        <w:spacing w:before="0" w:line="240" w:lineRule="auto"/>
      </w:pPr>
      <w:r>
        <w:separator/>
      </w:r>
    </w:p>
  </w:endnote>
  <w:endnote w:type="continuationSeparator" w:id="0">
    <w:p w:rsidR="00441AFC" w:rsidRDefault="00441A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FC" w:rsidRDefault="00441AF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41AFC" w:rsidRDefault="00441A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FC" w:rsidRDefault="00441AFC">
    <w:pPr>
      <w:pStyle w:val="SidfotH"/>
      <w:framePr w:wrap="around"/>
    </w:pPr>
    <w:r>
      <w:fldChar w:fldCharType="begin" w:fldLock="1"/>
    </w:r>
    <w:r>
      <w:instrText xml:space="preserve"> P</w:instrText>
    </w:r>
    <w:r>
      <w:instrText>A</w:instrText>
    </w:r>
    <w:r>
      <w:instrText xml:space="preserve">GE </w:instrText>
    </w:r>
    <w:r>
      <w:fldChar w:fldCharType="separate"/>
    </w:r>
    <w:r>
      <w:rPr>
        <w:noProof/>
      </w:rPr>
      <w:t>9</w:t>
    </w:r>
    <w:r>
      <w:fldChar w:fldCharType="end"/>
    </w:r>
  </w:p>
  <w:p w:rsidR="00441AFC" w:rsidRDefault="00441A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FC" w:rsidRDefault="00441AFC">
    <w:pPr>
      <w:pStyle w:val="SidfotH"/>
      <w:framePr w:wrap="around"/>
    </w:pPr>
    <w:r>
      <w:fldChar w:fldCharType="begin" w:fldLock="1"/>
    </w:r>
    <w:r>
      <w:instrText xml:space="preserve"> P</w:instrText>
    </w:r>
    <w:r>
      <w:instrText>A</w:instrText>
    </w:r>
    <w:r>
      <w:instrText xml:space="preserve">GE </w:instrText>
    </w:r>
    <w:r>
      <w:fldChar w:fldCharType="separate"/>
    </w:r>
    <w:r>
      <w:rPr>
        <w:noProof/>
      </w:rPr>
      <w:t>61</w:t>
    </w:r>
    <w:r>
      <w:fldChar w:fldCharType="end"/>
    </w:r>
  </w:p>
  <w:p w:rsidR="00441AFC" w:rsidRDefault="00441AF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FC" w:rsidRDefault="00441AFC">
    <w:pPr>
      <w:pStyle w:val="SidfotH"/>
      <w:framePr w:wrap="around"/>
    </w:pPr>
    <w:r>
      <w:fldChar w:fldCharType="begin" w:fldLock="1"/>
    </w:r>
    <w:r>
      <w:instrText xml:space="preserve"> PAGE </w:instrText>
    </w:r>
    <w:r>
      <w:fldChar w:fldCharType="separate"/>
    </w:r>
    <w:r>
      <w:rPr>
        <w:noProof/>
      </w:rPr>
      <w:t>62</w:t>
    </w:r>
    <w:r>
      <w:fldChar w:fldCharType="end"/>
    </w:r>
  </w:p>
  <w:p w:rsidR="00441AFC" w:rsidRDefault="00441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AFC" w:rsidRDefault="00441AFC">
      <w:pPr>
        <w:pStyle w:val="Sidfot"/>
      </w:pPr>
    </w:p>
  </w:footnote>
  <w:footnote w:type="continuationSeparator" w:id="0">
    <w:p w:rsidR="00441AFC" w:rsidRDefault="00441AFC">
      <w:pPr>
        <w:spacing w:before="0" w:line="240" w:lineRule="auto"/>
      </w:pPr>
      <w:r>
        <w:continuationSeparator/>
      </w:r>
    </w:p>
  </w:footnote>
  <w:footnote w:id="1">
    <w:p w:rsidR="00441AFC" w:rsidRDefault="00441AFC">
      <w:pPr>
        <w:pStyle w:val="Fotnotstext"/>
        <w:spacing w:before="0"/>
      </w:pPr>
      <w:r>
        <w:rPr>
          <w:rStyle w:val="Fotnotsreferens"/>
        </w:rPr>
        <w:t>1</w:t>
      </w:r>
      <w:r>
        <w:t xml:space="preserve"> Senaste lydelse av</w:t>
      </w:r>
    </w:p>
    <w:p w:rsidR="00441AFC" w:rsidRDefault="00441AFC">
      <w:pPr>
        <w:pStyle w:val="Fotnotstext"/>
        <w:spacing w:before="0"/>
      </w:pPr>
      <w:r>
        <w:t>19 kap. 2 § 1999:1208</w:t>
      </w:r>
    </w:p>
    <w:p w:rsidR="00441AFC" w:rsidRDefault="00441AFC">
      <w:pPr>
        <w:pStyle w:val="Fotnotstext"/>
        <w:spacing w:before="0"/>
      </w:pPr>
      <w:r>
        <w:t>19 kap. 9 § 1971:1034</w:t>
      </w:r>
    </w:p>
    <w:p w:rsidR="00441AFC" w:rsidRDefault="00441AFC">
      <w:pPr>
        <w:pStyle w:val="Fotnotstext"/>
        <w:spacing w:before="0"/>
      </w:pPr>
      <w:r>
        <w:t>19 kap. 13 § 1992:448</w:t>
      </w:r>
    </w:p>
    <w:p w:rsidR="00441AFC" w:rsidRDefault="00441AFC">
      <w:pPr>
        <w:pStyle w:val="Fotnotstext"/>
        <w:spacing w:before="0"/>
      </w:pPr>
      <w:r>
        <w:t>19 kap. 14 § 1994:1036</w:t>
      </w:r>
    </w:p>
    <w:p w:rsidR="00441AFC" w:rsidRDefault="00441AFC">
      <w:pPr>
        <w:pStyle w:val="Fotnotstext"/>
        <w:spacing w:before="0"/>
      </w:pPr>
      <w:r>
        <w:t>19 kap. 17 § 1990:445</w:t>
      </w:r>
    </w:p>
    <w:p w:rsidR="00441AFC" w:rsidRDefault="00441AFC">
      <w:pPr>
        <w:pStyle w:val="Fotnotstext"/>
        <w:spacing w:before="0"/>
      </w:pPr>
      <w:r>
        <w:t>19 kap. 21 § 1981:784</w:t>
      </w:r>
    </w:p>
    <w:p w:rsidR="00441AFC" w:rsidRDefault="00441AFC">
      <w:pPr>
        <w:pStyle w:val="Fotnotstext"/>
        <w:spacing w:before="0"/>
      </w:pPr>
      <w:r>
        <w:t>19 kap. 23 § 1974:820</w:t>
      </w:r>
    </w:p>
    <w:p w:rsidR="00441AFC" w:rsidRDefault="00441AFC">
      <w:pPr>
        <w:pStyle w:val="Fotnotstext"/>
        <w:spacing w:before="0"/>
      </w:pPr>
      <w:r>
        <w:t>19 kap. 24 § 1974:820.</w:t>
      </w:r>
    </w:p>
  </w:footnote>
  <w:footnote w:id="2">
    <w:p w:rsidR="00441AFC" w:rsidRDefault="00441AFC">
      <w:pPr>
        <w:pStyle w:val="Fotnotstext"/>
        <w:spacing w:before="0"/>
      </w:pPr>
      <w:r>
        <w:rPr>
          <w:rStyle w:val="Fotnotsreferens"/>
        </w:rPr>
        <w:t>2</w:t>
      </w:r>
      <w:r>
        <w:t xml:space="preserve"> Senaste lydelse 1985:172.</w:t>
      </w:r>
    </w:p>
  </w:footnote>
  <w:footnote w:id="3">
    <w:p w:rsidR="00441AFC" w:rsidRDefault="00441AFC">
      <w:pPr>
        <w:pStyle w:val="Fotnotstext"/>
      </w:pPr>
      <w:r>
        <w:rPr>
          <w:rStyle w:val="Fotnotsreferens"/>
        </w:rPr>
        <w:t>3</w:t>
      </w:r>
      <w:r>
        <w:t xml:space="preserve"> Senaste lydelse 1985:172.</w:t>
      </w:r>
    </w:p>
  </w:footnote>
  <w:footnote w:id="4">
    <w:p w:rsidR="00441AFC" w:rsidRDefault="00441AFC">
      <w:pPr>
        <w:pStyle w:val="Fotnotstext"/>
        <w:spacing w:before="0"/>
      </w:pPr>
      <w:r>
        <w:rPr>
          <w:rStyle w:val="Fotnotsreferens"/>
        </w:rPr>
        <w:t>4</w:t>
      </w:r>
      <w:r>
        <w:t xml:space="preserve"> Senaste lydelse 1981:784.</w:t>
      </w:r>
    </w:p>
  </w:footnote>
  <w:footnote w:id="5">
    <w:p w:rsidR="00441AFC" w:rsidRDefault="00441AFC">
      <w:pPr>
        <w:pStyle w:val="Fotnotstext"/>
        <w:spacing w:before="0"/>
      </w:pPr>
      <w:r>
        <w:rPr>
          <w:rStyle w:val="Fotnotsreferens"/>
        </w:rPr>
        <w:t>5</w:t>
      </w:r>
      <w:r>
        <w:t xml:space="preserve"> Senaste lydelse 1984:651.</w:t>
      </w:r>
    </w:p>
  </w:footnote>
  <w:footnote w:id="6">
    <w:p w:rsidR="00441AFC" w:rsidRDefault="00441AFC">
      <w:pPr>
        <w:pStyle w:val="Fotnotstext"/>
      </w:pPr>
      <w:r>
        <w:rPr>
          <w:rStyle w:val="Fotnotsreferens"/>
        </w:rPr>
        <w:t>1</w:t>
      </w:r>
      <w:r>
        <w:t xml:space="preserve"> Senaste lydelse 1970:1011.</w:t>
      </w:r>
    </w:p>
  </w:footnote>
  <w:footnote w:id="7">
    <w:p w:rsidR="00441AFC" w:rsidRDefault="00441AFC">
      <w:pPr>
        <w:pStyle w:val="Fotnotstext"/>
      </w:pPr>
      <w:r>
        <w:rPr>
          <w:rStyle w:val="Fotnotsreferens"/>
        </w:rPr>
        <w:t>1</w:t>
      </w:r>
      <w:r>
        <w:t xml:space="preserve"> Senaste lydelse 1984:658.</w:t>
      </w:r>
    </w:p>
  </w:footnote>
  <w:footnote w:id="8">
    <w:p w:rsidR="00441AFC" w:rsidRDefault="00441AFC">
      <w:pPr>
        <w:pStyle w:val="Fotnotstext"/>
        <w:spacing w:before="0"/>
      </w:pPr>
      <w:r>
        <w:rPr>
          <w:rStyle w:val="Fotnotsreferens"/>
        </w:rPr>
        <w:t>1</w:t>
      </w:r>
      <w:r>
        <w:t xml:space="preserve"> Senaste lydelse av 8 § 1991:1872.</w:t>
      </w:r>
    </w:p>
  </w:footnote>
  <w:footnote w:id="9">
    <w:p w:rsidR="00441AFC" w:rsidRDefault="00441AFC">
      <w:pPr>
        <w:pStyle w:val="Fotnotstext"/>
        <w:spacing w:before="0"/>
      </w:pPr>
      <w:r>
        <w:rPr>
          <w:rStyle w:val="Fotnotsreferens"/>
        </w:rPr>
        <w:t>2</w:t>
      </w:r>
      <w:r>
        <w:t xml:space="preserve"> Senaste lydelse 1975:678.</w:t>
      </w:r>
    </w:p>
  </w:footnote>
  <w:footnote w:id="10">
    <w:p w:rsidR="00441AFC" w:rsidRDefault="00441AFC">
      <w:pPr>
        <w:pStyle w:val="Fotnotstext"/>
        <w:spacing w:before="0"/>
      </w:pPr>
      <w:r>
        <w:rPr>
          <w:rStyle w:val="Fotnotsreferens"/>
        </w:rPr>
        <w:t>1</w:t>
      </w:r>
      <w:r>
        <w:t xml:space="preserve"> Senaste lydelse av 7 a § 1991:1873.</w:t>
      </w:r>
    </w:p>
  </w:footnote>
  <w:footnote w:id="11">
    <w:p w:rsidR="00441AFC" w:rsidRDefault="00441AFC">
      <w:pPr>
        <w:pStyle w:val="Fotnotstext"/>
        <w:spacing w:before="0"/>
      </w:pPr>
      <w:r>
        <w:rPr>
          <w:rStyle w:val="Fotnotsreferens"/>
        </w:rPr>
        <w:t>2</w:t>
      </w:r>
      <w:r>
        <w:t xml:space="preserve"> Senaste lydelse 1975:679.</w:t>
      </w:r>
    </w:p>
  </w:footnote>
  <w:footnote w:id="12">
    <w:p w:rsidR="00441AFC" w:rsidRDefault="00441AFC">
      <w:pPr>
        <w:pStyle w:val="Fotnotstext"/>
        <w:spacing w:before="0"/>
      </w:pPr>
      <w:r>
        <w:rPr>
          <w:rStyle w:val="Fotnotsreferens"/>
        </w:rPr>
        <w:t>1</w:t>
      </w:r>
      <w:r>
        <w:t xml:space="preserve"> Senaste lydelse av 7 § 1992:1369.</w:t>
      </w:r>
    </w:p>
  </w:footnote>
  <w:footnote w:id="13">
    <w:p w:rsidR="00441AFC" w:rsidRDefault="00441AFC">
      <w:pPr>
        <w:pStyle w:val="Fotnotstext"/>
        <w:spacing w:before="0"/>
      </w:pPr>
      <w:r>
        <w:rPr>
          <w:rStyle w:val="Fotnotsreferens"/>
        </w:rPr>
        <w:t>2</w:t>
      </w:r>
      <w:r>
        <w:t xml:space="preserve"> Senaste lydelse 1984:301.</w:t>
      </w:r>
    </w:p>
  </w:footnote>
  <w:footnote w:id="14">
    <w:p w:rsidR="00441AFC" w:rsidRDefault="00441AFC">
      <w:pPr>
        <w:pStyle w:val="Fotnotstext"/>
        <w:spacing w:before="0"/>
      </w:pPr>
      <w:r>
        <w:rPr>
          <w:rStyle w:val="Fotnotsreferens"/>
        </w:rPr>
        <w:t>1</w:t>
      </w:r>
      <w:r>
        <w:t xml:space="preserve"> Lagen omtryckt 1992:1212.</w:t>
      </w:r>
    </w:p>
    <w:p w:rsidR="00441AFC" w:rsidRDefault="00441AFC">
      <w:pPr>
        <w:pStyle w:val="Fotnotstext"/>
        <w:spacing w:before="0"/>
      </w:pPr>
      <w:r>
        <w:t xml:space="preserve"> Senaste lydelse av 5 kap. 33 a § 1995:1394.</w:t>
      </w:r>
    </w:p>
  </w:footnote>
  <w:footnote w:id="15">
    <w:p w:rsidR="00441AFC" w:rsidRDefault="00441AFC">
      <w:pPr>
        <w:pStyle w:val="Fotnotstext"/>
      </w:pPr>
      <w:r>
        <w:rPr>
          <w:rStyle w:val="Fotnotsreferens"/>
        </w:rPr>
        <w:t>2</w:t>
      </w:r>
      <w:r>
        <w:t xml:space="preserve"> Senaste lydelse 1995:1393.</w:t>
      </w:r>
    </w:p>
  </w:footnote>
  <w:footnote w:id="16">
    <w:p w:rsidR="00441AFC" w:rsidRDefault="00441AFC">
      <w:pPr>
        <w:pStyle w:val="Fotnotstext"/>
      </w:pPr>
      <w:r>
        <w:rPr>
          <w:rStyle w:val="Fotnotsreferens"/>
        </w:rPr>
        <w:t>3</w:t>
      </w:r>
      <w:r>
        <w:t xml:space="preserve"> Senaste lydelse 1995:1394.</w:t>
      </w:r>
    </w:p>
  </w:footnote>
  <w:footnote w:id="17">
    <w:p w:rsidR="00441AFC" w:rsidRDefault="00441AFC">
      <w:pPr>
        <w:pStyle w:val="Fotnotstext"/>
      </w:pPr>
      <w:r>
        <w:rPr>
          <w:rStyle w:val="Fotnotsreferens"/>
        </w:rPr>
        <w:t>4</w:t>
      </w:r>
      <w:r>
        <w:t xml:space="preserve"> Senaste lydelse 1995:1394. </w:t>
      </w:r>
    </w:p>
  </w:footnote>
  <w:footnote w:id="18">
    <w:p w:rsidR="00441AFC" w:rsidRDefault="00441AFC">
      <w:pPr>
        <w:pStyle w:val="Fotnotstext"/>
        <w:spacing w:before="0"/>
      </w:pPr>
      <w:r>
        <w:rPr>
          <w:rStyle w:val="Fotnotsreferens"/>
        </w:rPr>
        <w:t>1</w:t>
      </w:r>
      <w:r>
        <w:t xml:space="preserve"> Lagen omtryckt 1971:1036.</w:t>
      </w:r>
    </w:p>
    <w:p w:rsidR="00441AFC" w:rsidRDefault="00441AFC">
      <w:pPr>
        <w:pStyle w:val="Fotnotstext"/>
        <w:spacing w:before="0"/>
      </w:pPr>
      <w:r>
        <w:t>Senaste lydelse av 20 § 1971:1036.</w:t>
      </w:r>
    </w:p>
  </w:footnote>
  <w:footnote w:id="19">
    <w:p w:rsidR="00441AFC" w:rsidRDefault="00441AFC">
      <w:pPr>
        <w:pStyle w:val="Fotnotstext"/>
      </w:pPr>
      <w:r>
        <w:rPr>
          <w:rStyle w:val="Fotnotsreferens"/>
        </w:rPr>
        <w:t>1</w:t>
      </w:r>
      <w:r>
        <w:t xml:space="preserve"> Senaste lydelse 1992:1215.</w:t>
      </w:r>
    </w:p>
  </w:footnote>
  <w:footnote w:id="20">
    <w:p w:rsidR="00441AFC" w:rsidRDefault="00441AFC">
      <w:pPr>
        <w:pStyle w:val="Fotnotstext"/>
      </w:pPr>
      <w:r>
        <w:rPr>
          <w:rStyle w:val="Fotnotsreferens"/>
        </w:rPr>
        <w:t>1</w:t>
      </w:r>
      <w:r>
        <w:t xml:space="preserve"> Senaste lydelse av 11 § 1995:1401.</w:t>
      </w:r>
    </w:p>
  </w:footnote>
  <w:footnote w:id="21">
    <w:p w:rsidR="00441AFC" w:rsidRDefault="00441AFC">
      <w:pPr>
        <w:pStyle w:val="Fotnotstext"/>
      </w:pPr>
      <w:r>
        <w:rPr>
          <w:rStyle w:val="Fotnotsreferens"/>
        </w:rPr>
        <w:t>1</w:t>
      </w:r>
      <w:r>
        <w:t xml:space="preserve"> Senaste lydelse 1995:1404.</w:t>
      </w:r>
    </w:p>
  </w:footnote>
  <w:footnote w:id="22">
    <w:p w:rsidR="00441AFC" w:rsidRDefault="00441AFC">
      <w:pPr>
        <w:pStyle w:val="Fotnotstext"/>
      </w:pPr>
      <w:r>
        <w:rPr>
          <w:rStyle w:val="Fotnotsreferens"/>
        </w:rPr>
        <w:t>1</w:t>
      </w:r>
      <w:r>
        <w:t xml:space="preserve"> Senaste lydelse 1995:1405.</w:t>
      </w:r>
    </w:p>
  </w:footnote>
  <w:footnote w:id="23">
    <w:p w:rsidR="00441AFC" w:rsidRDefault="00441AFC">
      <w:pPr>
        <w:pStyle w:val="Fotnotstext"/>
        <w:spacing w:before="0"/>
      </w:pPr>
      <w:r>
        <w:rPr>
          <w:rStyle w:val="Fotnotsreferens"/>
        </w:rPr>
        <w:t>1</w:t>
      </w:r>
      <w:r>
        <w:t xml:space="preserve"> Lagen omtryckt 1983:434. </w:t>
      </w:r>
    </w:p>
    <w:p w:rsidR="00441AFC" w:rsidRDefault="00441AFC">
      <w:pPr>
        <w:pStyle w:val="Fotnotstext"/>
        <w:spacing w:before="0"/>
      </w:pPr>
      <w:r>
        <w:t>Senaste lydelse av 6 § 1998:148.</w:t>
      </w:r>
    </w:p>
  </w:footnote>
  <w:footnote w:id="24">
    <w:p w:rsidR="00441AFC" w:rsidRDefault="00441AFC">
      <w:pPr>
        <w:pStyle w:val="Fotnotstext"/>
      </w:pPr>
      <w:r>
        <w:rPr>
          <w:rStyle w:val="Fotnotsreferens"/>
        </w:rPr>
        <w:t>1</w:t>
      </w:r>
      <w:r>
        <w:t xml:space="preserve"> Lagen omtryckt 1991:670.</w:t>
      </w:r>
    </w:p>
  </w:footnote>
  <w:footnote w:id="25">
    <w:p w:rsidR="00441AFC" w:rsidRDefault="00441AFC">
      <w:pPr>
        <w:pStyle w:val="Fotnotstext"/>
      </w:pPr>
      <w:r>
        <w:rPr>
          <w:rStyle w:val="Fotnotsreferens"/>
        </w:rPr>
        <w:t>1</w:t>
      </w:r>
      <w:r>
        <w:t xml:space="preserve"> Senaste lydelse 1999:630.</w:t>
      </w:r>
    </w:p>
  </w:footnote>
  <w:footnote w:id="26">
    <w:p w:rsidR="00441AFC" w:rsidRDefault="00441AFC">
      <w:pPr>
        <w:pStyle w:val="Fotnotstext"/>
        <w:spacing w:before="0"/>
      </w:pPr>
      <w:r>
        <w:rPr>
          <w:rStyle w:val="Fotnotsreferens"/>
        </w:rPr>
        <w:t>1</w:t>
      </w:r>
      <w:r>
        <w:t xml:space="preserve"> Senaste lydelse av </w:t>
      </w:r>
    </w:p>
    <w:p w:rsidR="00441AFC" w:rsidRDefault="00441AFC">
      <w:pPr>
        <w:pStyle w:val="Fotnotstext"/>
        <w:spacing w:before="0"/>
      </w:pPr>
      <w:r>
        <w:t>3 § 1999:581,</w:t>
      </w:r>
    </w:p>
    <w:p w:rsidR="00441AFC" w:rsidRDefault="00441AFC">
      <w:pPr>
        <w:pStyle w:val="Fotnotstext"/>
        <w:spacing w:before="0"/>
      </w:pPr>
      <w:r>
        <w:t>8 § 1995:1465.</w:t>
      </w:r>
    </w:p>
  </w:footnote>
  <w:footnote w:id="27">
    <w:p w:rsidR="00441AFC" w:rsidRDefault="00441AFC">
      <w:pPr>
        <w:pStyle w:val="Fotnotstext"/>
      </w:pPr>
      <w:r>
        <w:rPr>
          <w:rStyle w:val="Fotnotsreferens"/>
        </w:rPr>
        <w:t>1</w:t>
      </w:r>
      <w:r>
        <w:t xml:space="preserve"> Lagen omtryckt 1992:1769.</w:t>
      </w:r>
    </w:p>
  </w:footnote>
  <w:footnote w:id="28">
    <w:p w:rsidR="00441AFC" w:rsidRDefault="00441AFC">
      <w:pPr>
        <w:pStyle w:val="Fotnotstext"/>
      </w:pPr>
      <w:r>
        <w:rPr>
          <w:rStyle w:val="Fotnotsreferens"/>
        </w:rPr>
        <w:t>1</w:t>
      </w:r>
      <w:r>
        <w:t xml:space="preserve"> Lydelse enligt prop. 1998/99:114.</w:t>
      </w:r>
    </w:p>
  </w:footnote>
  <w:footnote w:id="29">
    <w:p w:rsidR="00441AFC" w:rsidRDefault="00441AFC">
      <w:pPr>
        <w:pStyle w:val="Fotnotstext"/>
      </w:pPr>
      <w:r>
        <w:rPr>
          <w:rStyle w:val="Fotnotsreferens"/>
        </w:rPr>
        <w:footnoteRef/>
      </w:r>
      <w:r>
        <w:t xml:space="preserve"> Lagen omtryckt 1981:1220.</w:t>
      </w:r>
    </w:p>
  </w:footnote>
  <w:footnote w:id="30">
    <w:p w:rsidR="00441AFC" w:rsidRDefault="00441AFC">
      <w:pPr>
        <w:pStyle w:val="Fotnotstext"/>
      </w:pPr>
      <w:r>
        <w:rPr>
          <w:rStyle w:val="Fotnotsreferens"/>
        </w:rPr>
        <w:footnoteRef/>
      </w:r>
      <w:r>
        <w:t xml:space="preserve"> Senaste lydelse 1999:571.</w:t>
      </w:r>
    </w:p>
  </w:footnote>
  <w:footnote w:id="31">
    <w:p w:rsidR="00441AFC" w:rsidRDefault="00441AFC">
      <w:pPr>
        <w:pStyle w:val="Fotnotstext"/>
      </w:pPr>
      <w:r>
        <w:rPr>
          <w:rStyle w:val="Fotnotsreferens"/>
        </w:rPr>
        <w:footnoteRef/>
      </w:r>
      <w:r>
        <w:t xml:space="preserve"> Senaste lydelse av 18 § 1995:1414.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FC" w:rsidRDefault="00441AFC">
    <w:pPr>
      <w:pStyle w:val="SidhuvudKant"/>
      <w:framePr w:w="1758" w:h="2744" w:hRule="exact" w:wrap="around" w:vAnchor="page" w:hAnchor="page" w:x="7372" w:y="568" w:anchorLock="0"/>
      <w:rPr>
        <w:noProof/>
      </w:rPr>
    </w:pPr>
    <w:r>
      <w:rPr>
        <w:noProof/>
      </w:rPr>
      <w:t>1999/2000:BoU8</w:t>
    </w:r>
  </w:p>
  <w:p w:rsidR="00441AFC" w:rsidRDefault="00441AFC">
    <w:pPr>
      <w:pStyle w:val="SidhuvudKantBilaga"/>
      <w:framePr w:w="1758" w:h="2744" w:hRule="exact" w:wrap="around" w:vAnchor="page" w:hAnchor="page" w:x="7372" w:y="568" w:anchorLock="0"/>
      <w:rPr>
        <w:noProof/>
      </w:rPr>
    </w:pPr>
  </w:p>
  <w:p w:rsidR="00441AFC" w:rsidRDefault="00441AFC">
    <w:pPr>
      <w:pStyle w:val="SidhuvudKant"/>
      <w:framePr w:w="1758" w:h="2744" w:hRule="exact" w:wrap="around" w:vAnchor="page" w:hAnchor="page" w:x="7372" w:y="568" w:anchorLoc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FC" w:rsidRDefault="00441AFC">
    <w:pPr>
      <w:pStyle w:val="SidhuvudKant"/>
      <w:framePr w:w="1758" w:h="2744" w:hRule="exact" w:wrap="around" w:vAnchor="page" w:hAnchor="page" w:x="7372" w:y="568" w:anchorLock="0"/>
      <w:rPr>
        <w:noProof/>
      </w:rPr>
    </w:pPr>
    <w:r>
      <w:rPr>
        <w:noProof/>
      </w:rPr>
      <w:t>1999/2000:BoU8</w:t>
    </w:r>
  </w:p>
  <w:p w:rsidR="00441AFC" w:rsidRDefault="00441AFC">
    <w:pPr>
      <w:pStyle w:val="SidhuvudKantBilaga"/>
      <w:framePr w:w="1758" w:h="2744" w:hRule="exact" w:wrap="around" w:vAnchor="page" w:hAnchor="page" w:x="7372" w:y="568" w:anchorLock="0"/>
      <w:rPr>
        <w:noProof/>
      </w:rPr>
    </w:pPr>
    <w:r>
      <w:rPr>
        <w:noProof/>
      </w:rPr>
      <w:t>Bilaga 1</w:t>
    </w:r>
  </w:p>
  <w:p w:rsidR="00441AFC" w:rsidRDefault="00441AFC">
    <w:pPr>
      <w:pStyle w:val="SidhuvudKant"/>
      <w:framePr w:w="1758" w:h="2744" w:hRule="exact" w:wrap="around" w:vAnchor="page" w:hAnchor="page" w:x="7372" w:y="568" w:anchorLock="0"/>
    </w:pPr>
    <w:r>
      <w:tab/>
      <w:t xml:space="preserve">- </w:t>
    </w:r>
    <w:r>
      <w:rPr>
        <w:noProof/>
      </w:rPr>
      <w:t>9</w:t>
    </w:r>
    <w:r>
      <w:t xml:space="preserve"> -</w:t>
    </w:r>
  </w:p>
  <w:p w:rsidR="00441AFC" w:rsidRDefault="00441AF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FC" w:rsidRDefault="00441AFC">
    <w:pPr>
      <w:pStyle w:val="SidhuvudKant"/>
      <w:framePr w:w="1758" w:h="2744" w:hRule="exact" w:wrap="around" w:vAnchor="page" w:hAnchor="page" w:x="7372" w:y="568" w:anchorLock="0"/>
      <w:rPr>
        <w:noProof/>
      </w:rPr>
    </w:pPr>
    <w:r>
      <w:rPr>
        <w:noProof/>
      </w:rPr>
      <w:t>1999/2000:BoU8</w:t>
    </w:r>
  </w:p>
  <w:p w:rsidR="00441AFC" w:rsidRDefault="00441AFC">
    <w:pPr>
      <w:pStyle w:val="SidhuvudKantBilaga"/>
      <w:framePr w:w="1758" w:h="2744" w:hRule="exact" w:wrap="around" w:vAnchor="page" w:hAnchor="page" w:x="7372" w:y="568" w:anchorLock="0"/>
      <w:rPr>
        <w:noProof/>
      </w:rPr>
    </w:pPr>
    <w:r>
      <w:rPr>
        <w:noProof/>
      </w:rPr>
      <w:t>Bilaga 2</w:t>
    </w:r>
  </w:p>
  <w:p w:rsidR="00441AFC" w:rsidRDefault="00441AFC">
    <w:pPr>
      <w:pStyle w:val="SidhuvudKant"/>
      <w:framePr w:w="1758" w:h="2744" w:hRule="exact" w:wrap="around" w:vAnchor="page" w:hAnchor="page" w:x="7372" w:y="568" w:anchorLock="0"/>
    </w:pPr>
  </w:p>
  <w:p w:rsidR="00441AFC" w:rsidRDefault="00441AF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AFC" w:rsidRDefault="00441AFC">
    <w:pPr>
      <w:pStyle w:val="SidhuvudKant"/>
      <w:framePr w:w="1758" w:h="2744" w:hRule="exact" w:wrap="around" w:vAnchor="page" w:hAnchor="page" w:x="7372" w:y="568" w:anchorLock="0"/>
      <w:rPr>
        <w:noProof/>
      </w:rPr>
    </w:pPr>
    <w:r>
      <w:rPr>
        <w:noProof/>
      </w:rPr>
      <w:t>1999/2000:BoU8</w:t>
    </w:r>
  </w:p>
  <w:p w:rsidR="00441AFC" w:rsidRDefault="00441AFC">
    <w:pPr>
      <w:pStyle w:val="SidhuvudKantBilaga"/>
      <w:framePr w:w="1758" w:h="2744" w:hRule="exact" w:wrap="around" w:vAnchor="page" w:hAnchor="page" w:x="7372" w:y="568" w:anchorLock="0"/>
      <w:rPr>
        <w:noProof/>
      </w:rPr>
    </w:pPr>
  </w:p>
  <w:p w:rsidR="00441AFC" w:rsidRDefault="00441AFC">
    <w:pPr>
      <w:pStyle w:val="SidhuvudKant"/>
      <w:framePr w:w="1758" w:h="2744" w:hRule="exact" w:wrap="around" w:vAnchor="page" w:hAnchor="page" w:x="7372" w:y="568" w:anchorLock="0"/>
    </w:pPr>
  </w:p>
  <w:p w:rsidR="00441AFC" w:rsidRDefault="00441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7F133F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96169341">
    <w:abstractNumId w:val="0"/>
  </w:num>
  <w:num w:numId="2" w16cid:durableId="991250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A30BBC"/>
    <w:rsid w:val="00441AFC"/>
    <w:rsid w:val="00A30BBC"/>
    <w:rsid w:val="00CD43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6588CD-7048-4F5C-93C2-966E42A6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spacing w:before="0"/>
      <w:outlineLvl w:val="7"/>
    </w:pPr>
    <w:rPr>
      <w:i/>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Publutanindrag">
    <w:name w:val="Publ. utan indrag"/>
    <w:basedOn w:val="Normal"/>
    <w:next w:val="Normal"/>
    <w:pPr>
      <w:spacing w:before="0" w:line="260" w:lineRule="exact"/>
      <w:ind w:right="284"/>
    </w:pPr>
    <w:rPr>
      <w:sz w:val="22"/>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rubrik">
    <w:name w:val="Prop. rubrik"/>
    <w:basedOn w:val="Proputanindrag"/>
    <w:next w:val="Proputanindrag"/>
    <w:pPr>
      <w:spacing w:before="80" w:after="240"/>
      <w:jc w:val="left"/>
    </w:pPr>
    <w:rPr>
      <w:sz w:val="34"/>
    </w:rPr>
  </w:style>
  <w:style w:type="paragraph" w:customStyle="1" w:styleId="Innehllsfrteckning">
    <w:name w:val="Innehållsförteckning"/>
    <w:basedOn w:val="Proputanindrag"/>
    <w:next w:val="Proputanindrag"/>
    <w:pPr>
      <w:spacing w:after="240"/>
      <w:jc w:val="left"/>
    </w:pPr>
    <w:rPr>
      <w:sz w:val="34"/>
    </w:rPr>
  </w:style>
  <w:style w:type="paragraph" w:customStyle="1" w:styleId="Publmedindrag">
    <w:name w:val="Publ. med indrag"/>
    <w:basedOn w:val="Normal"/>
    <w:pPr>
      <w:spacing w:before="0" w:line="260" w:lineRule="exact"/>
      <w:ind w:right="284" w:firstLine="284"/>
    </w:pPr>
    <w:rPr>
      <w:sz w:val="22"/>
    </w:r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pPr>
      <w:spacing w:before="0" w:line="240" w:lineRule="auto"/>
      <w:jc w:val="left"/>
    </w:pPr>
    <w:rPr>
      <w:sz w:val="48"/>
    </w:rPr>
  </w:style>
  <w:style w:type="paragraph" w:customStyle="1" w:styleId="Propnamnunderskrift1">
    <w:name w:val="Prop. namnunderskrift 1"/>
    <w:basedOn w:val="Normal"/>
    <w:pPr>
      <w:tabs>
        <w:tab w:val="left" w:pos="2693"/>
      </w:tabs>
      <w:spacing w:before="600" w:after="360" w:line="240" w:lineRule="auto"/>
      <w:ind w:left="108"/>
      <w:jc w:val="left"/>
    </w:pPr>
    <w:rPr>
      <w:i/>
      <w:sz w:val="25"/>
    </w:rPr>
  </w:style>
  <w:style w:type="paragraph" w:customStyle="1" w:styleId="Propnamnunderskrift2">
    <w:name w:val="Prop. namnunderskrift 2"/>
    <w:basedOn w:val="Normal"/>
    <w:pPr>
      <w:tabs>
        <w:tab w:val="left" w:pos="2693"/>
        <w:tab w:val="left" w:pos="7474"/>
      </w:tabs>
      <w:spacing w:before="0" w:line="240" w:lineRule="auto"/>
      <w:ind w:left="108" w:right="-2268"/>
      <w:jc w:val="left"/>
    </w:pPr>
    <w:rPr>
      <w:i/>
      <w:sz w:val="25"/>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pPr>
      <w:spacing w:before="0" w:line="240" w:lineRule="auto"/>
      <w:jc w:val="left"/>
    </w:pPr>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paragraph" w:customStyle="1" w:styleId="Uppgiftomledningsbeslutsomharkunnatverklagassrskiltfrfrasiniregistretsallmnnadelvenomfr-rttningeninteharavslutatsUppgiftenfrdockintefrasininnanbeslutetharvunnitlagakraft">
    <w:name w:val="Uppgift om ledningsbeslut som har kunnat överklagas särskilt får föras in i registrets allmänna del även om för-rättningen inte har avslutats. Uppgiften får dock inte föras in innan beslutet har vunnit laga kraft."/>
    <w:basedOn w:val="Propmedindrag"/>
  </w:style>
  <w:style w:type="paragraph" w:customStyle="1" w:styleId="Rubrik5utannumreringkursiv">
    <w:name w:val="Rubrik 5 utan numrering kursiv"/>
    <w:basedOn w:val="Rubrik5"/>
    <w:next w:val="Publutanindrag"/>
    <w:pPr>
      <w:keepNext w:val="0"/>
      <w:keepLines w:val="0"/>
      <w:spacing w:before="520" w:after="180" w:line="260" w:lineRule="exact"/>
      <w:ind w:left="1134" w:right="284" w:hanging="1134"/>
      <w:outlineLvl w:val="9"/>
    </w:pPr>
    <w:rPr>
      <w:i/>
      <w:sz w:val="22"/>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Enanskanskallinnehllauppgifteromskandensnamn">
    <w:name w:val="En ansökan skall innehålla uppgifter om sökandens namn"/>
    <w:aliases w:val="personnummer och postadress. Ansökan skall också innehålla uppgift om sökandens telefon-nummer till bostaden eller arbetsplatsen. Om sökanden före-träds så som anges i andra stycket,behöver telefo"/>
    <w:basedOn w:val="Propmedindrag"/>
  </w:style>
  <w:style w:type="paragraph" w:customStyle="1" w:styleId="Proputanindrag0">
    <w:name w:val="Prop utan indrag"/>
    <w:basedOn w:val="Normal"/>
    <w:next w:val="Normal"/>
    <w:pPr>
      <w:tabs>
        <w:tab w:val="left" w:pos="2835"/>
      </w:tabs>
      <w:spacing w:before="0" w:line="240" w:lineRule="auto"/>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14678</Words>
  <Characters>86750</Characters>
  <Application>Microsoft Office Word</Application>
  <DocSecurity>4</DocSecurity>
  <Lines>2628</Lines>
  <Paragraphs>897</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Bostadsutskottets betänkande</vt:lpstr>
      <vt:lpstr>Sammanfattning</vt:lpstr>
      <vt:lpstr>Propositionen</vt:lpstr>
      <vt:lpstr>Utskottet</vt:lpstr>
      <vt:lpstr>    Propositionens innehåll </vt:lpstr>
      <vt:lpstr>        Register- och integritetsfrågor</vt:lpstr>
      <vt:lpstr>        Förslag i anledning av slutförandet av fastighetsdatareformen</vt:lpstr>
      <vt:lpstr>        Inskrivningsförfarandet</vt:lpstr>
      <vt:lpstr>        Rättelse och skadestånd</vt:lpstr>
      <vt:lpstr>        Vissa äldre rättsförhållanden</vt:lpstr>
      <vt:lpstr>        Häradsallmänningar och allmänningsskogar i Norrland och Dalarna</vt:lpstr>
      <vt:lpstr>        Kostnader och ikraftträdande</vt:lpstr>
      <vt:lpstr>    Utskottets ställningstagande</vt:lpstr>
      <vt:lpstr>    Hemställan</vt:lpstr>
      <vt:lpstr>Propositionens lagförslag</vt:lpstr>
      <vt:lpstr>    1. Förslag till lag om fastighetsregister</vt:lpstr>
      <vt:lpstr>    2. Förslag till lag om upphävande av vissa lagar på fastighetsrättens område</vt:lpstr>
      <vt:lpstr>    3. Förslag till lag om ändring i jordabalken</vt:lpstr>
      <vt:lpstr>    4. Förslag till lag om ändring i lagen (1970:995) om införande av nya jordabalk</vt:lpstr>
      <vt:lpstr>    5. Förslag till lag om ändring i miljöbalken</vt:lpstr>
      <vt:lpstr>    6. Förslag till lag om ändring i lagen (1927:79) om rätt för borgenär till beta</vt:lpstr>
      <vt:lpstr>    7. Förslag till lag om ändring i lagen (1927:85) om dödande av förkommen handli</vt:lpstr>
      <vt:lpstr>    8. Förslag till lag om ändring i lagen (1952:166) om häradsallmänningar</vt:lpstr>
      <vt:lpstr>    9. Förslag till lag om ändring i lagen (1952:167) om allmänningsskogar i Norrla</vt:lpstr>
      <vt:lpstr>    10. Förslag till lag om ändring i förköpslagen (1967:868)</vt:lpstr>
      <vt:lpstr>    11. Förslag till lag om ändring i fastighetsbildningslagen (1970:988)</vt:lpstr>
      <vt:lpstr>    12. Förslag till lag om ändring i lagen (1970:989) om införande av fastighetsbi</vt:lpstr>
      <vt:lpstr>    13. Förslag till lag om ändring i lagen (1970:990) om förmånsrätt för fordran p</vt:lpstr>
      <vt:lpstr>    14. Förslag till lag om ändring i lagen (1971:1037) om äganderättsutredning och</vt:lpstr>
      <vt:lpstr>    15. Förslag till lag om ändring i expropriationslagen (1972:719)</vt:lpstr>
      <vt:lpstr>    16. Förslag till lag om ändring i ledningsrättslagen (1973:1144)</vt:lpstr>
      <vt:lpstr>    17. Förslag till lag om ändring i anläggningslagen (1973:1149)</vt:lpstr>
      <vt:lpstr>    18. Förslag till lag om ändring i lagen (1975:1132) om förvärv av hyresfastighe</vt:lpstr>
      <vt:lpstr>    19. Förslag till lag om ändring i bostadsförvaltningslagen (1977:792)</vt:lpstr>
      <vt:lpstr>    20. Förslag till lag om ändring i jordförvärvslagen (1979:230)</vt:lpstr>
      <vt:lpstr>    21. Förslag till lag om ändring i fastighetstaxeringslagen (1979:1152)</vt:lpstr>
      <vt:lpstr>    22. Förslag till lag om ändring i lagen (1982:352) om rätt till fastighetsförvä</vt:lpstr>
      <vt:lpstr>    23. Förslag till lag om ändring i lagen (1984:404) om stämpelskatt vid inskrivn</vt:lpstr>
      <vt:lpstr>    24. Förslag till lag om ändring i lagen (1985:658) om arrendatorers rätt att fö</vt:lpstr>
      <vt:lpstr>    25. Förslag till lag om ändring i plan- och bygglagen (1987:10)</vt:lpstr>
      <vt:lpstr>    26. Förslag till lag om ändring i lagen (1987:11) om exploateringssamverkan</vt:lpstr>
      <vt:lpstr>    27. Förslag till lag om ändring i lagen (1988:950) om kulturminnen m.m.</vt:lpstr>
      <vt:lpstr>    28. Förslag till lag om ändring i lagen (1989:31) om förvaltning av vissa samäg</vt:lpstr>
      <vt:lpstr>    29. Förslag till lag om ändring i lagen (1995:1537) om lägenhetsregister</vt:lpstr>
      <vt:lpstr>Utskottets lagförslag</vt:lpstr>
      <vt:lpstr>    1. Förslag till lag om ändring i lagen (1970:991) om ändring i kommunal och eckl</vt:lpstr>
      <vt:lpstr>    2. Förslag till lag om ändring i postlagen (1993:1684)</vt:lpstr>
      <vt:lpstr>    3. Förslag till lag om ändring i lagen (1994:448) om pantbrevsregister</vt:lpstr>
      <vt:lpstr>    Innehållsförteckning</vt:lpstr>
    </vt:vector>
  </TitlesOfParts>
  <Company>Riksdagen</Company>
  <LinksUpToDate>false</LinksUpToDate>
  <CharactersWithSpaces>100531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2000-04-07T13:01:00Z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