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0A4A" w14:textId="29FB741B" w:rsidR="006A1878" w:rsidRPr="00B40F4D" w:rsidRDefault="006A187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C98080D"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4F7A9F">
              <w:rPr>
                <w:b/>
                <w:sz w:val="22"/>
                <w:szCs w:val="22"/>
              </w:rPr>
              <w:t>16</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74C3A0D"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694BE5">
              <w:rPr>
                <w:sz w:val="22"/>
                <w:szCs w:val="22"/>
              </w:rPr>
              <w:t>1</w:t>
            </w:r>
            <w:r w:rsidR="004F7A9F">
              <w:rPr>
                <w:sz w:val="22"/>
                <w:szCs w:val="22"/>
              </w:rPr>
              <w:t>2</w:t>
            </w:r>
            <w:r w:rsidR="00374911">
              <w:rPr>
                <w:sz w:val="22"/>
                <w:szCs w:val="22"/>
              </w:rPr>
              <w:t>-</w:t>
            </w:r>
            <w:r w:rsidR="004F7A9F">
              <w:rPr>
                <w:sz w:val="22"/>
                <w:szCs w:val="22"/>
              </w:rPr>
              <w:t>07</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72C1A334" w:rsidR="00177FF8" w:rsidRPr="00B40F4D" w:rsidRDefault="00931E92" w:rsidP="00231475">
            <w:pPr>
              <w:rPr>
                <w:sz w:val="22"/>
                <w:szCs w:val="22"/>
              </w:rPr>
            </w:pPr>
            <w:r>
              <w:rPr>
                <w:sz w:val="22"/>
                <w:szCs w:val="22"/>
              </w:rPr>
              <w:t>0</w:t>
            </w:r>
            <w:r w:rsidR="004F7A9F">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C3065C" w:rsidRPr="00F52993">
              <w:rPr>
                <w:sz w:val="22"/>
                <w:szCs w:val="22"/>
              </w:rPr>
              <w:t>09.</w:t>
            </w:r>
            <w:r w:rsidR="00F52993" w:rsidRPr="00F52993">
              <w:rPr>
                <w:sz w:val="22"/>
                <w:szCs w:val="22"/>
              </w:rPr>
              <w:t>45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5B7BE9"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5B7BE9" w14:paraId="71073907" w14:textId="77777777" w:rsidTr="00165402">
        <w:tc>
          <w:tcPr>
            <w:tcW w:w="567" w:type="dxa"/>
          </w:tcPr>
          <w:p w14:paraId="50C65289" w14:textId="2EA7EA99" w:rsidR="00A10EBF" w:rsidRPr="005B7BE9" w:rsidRDefault="00A10EBF" w:rsidP="00C5706E">
            <w:pPr>
              <w:tabs>
                <w:tab w:val="left" w:pos="1701"/>
              </w:tabs>
              <w:rPr>
                <w:b/>
                <w:snapToGrid w:val="0"/>
                <w:sz w:val="22"/>
                <w:szCs w:val="22"/>
              </w:rPr>
            </w:pPr>
            <w:r w:rsidRPr="005B7BE9">
              <w:rPr>
                <w:b/>
                <w:snapToGrid w:val="0"/>
                <w:sz w:val="22"/>
                <w:szCs w:val="22"/>
              </w:rPr>
              <w:t xml:space="preserve">§ </w:t>
            </w:r>
            <w:r w:rsidR="006C66B9" w:rsidRPr="005B7BE9">
              <w:rPr>
                <w:b/>
                <w:snapToGrid w:val="0"/>
                <w:sz w:val="22"/>
                <w:szCs w:val="22"/>
              </w:rPr>
              <w:t>1</w:t>
            </w:r>
          </w:p>
        </w:tc>
        <w:tc>
          <w:tcPr>
            <w:tcW w:w="6946" w:type="dxa"/>
            <w:gridSpan w:val="2"/>
          </w:tcPr>
          <w:p w14:paraId="180FC354" w14:textId="33049A0C" w:rsidR="00A10EBF" w:rsidRPr="005B7BE9" w:rsidRDefault="00030B85" w:rsidP="005D2E63">
            <w:pPr>
              <w:tabs>
                <w:tab w:val="left" w:pos="1701"/>
              </w:tabs>
              <w:rPr>
                <w:b/>
                <w:snapToGrid w:val="0"/>
                <w:sz w:val="22"/>
                <w:szCs w:val="22"/>
              </w:rPr>
            </w:pPr>
            <w:r w:rsidRPr="005B7BE9">
              <w:rPr>
                <w:b/>
                <w:sz w:val="22"/>
                <w:szCs w:val="22"/>
              </w:rPr>
              <w:t>Utgiftsområde 20 Klimat, miljö och natur (MJU1)</w:t>
            </w:r>
            <w:r w:rsidRPr="005B7BE9">
              <w:rPr>
                <w:b/>
                <w:sz w:val="22"/>
                <w:szCs w:val="22"/>
              </w:rPr>
              <w:br/>
            </w:r>
          </w:p>
          <w:p w14:paraId="680149ED" w14:textId="5264607A" w:rsidR="005B7BE9" w:rsidRPr="005B7BE9" w:rsidRDefault="005B7BE9" w:rsidP="005B7BE9">
            <w:pPr>
              <w:tabs>
                <w:tab w:val="left" w:pos="1701"/>
              </w:tabs>
              <w:rPr>
                <w:bCs/>
                <w:sz w:val="22"/>
                <w:szCs w:val="22"/>
              </w:rPr>
            </w:pPr>
            <w:r w:rsidRPr="005B7BE9">
              <w:rPr>
                <w:bCs/>
                <w:snapToGrid w:val="0"/>
                <w:sz w:val="22"/>
                <w:szCs w:val="22"/>
              </w:rPr>
              <w:t xml:space="preserve">Utskottet fortsatte beredningen av proposition 2023/24:1 </w:t>
            </w:r>
            <w:r w:rsidRPr="005B7BE9">
              <w:rPr>
                <w:bCs/>
                <w:sz w:val="22"/>
                <w:szCs w:val="22"/>
              </w:rPr>
              <w:t>och motioner</w:t>
            </w:r>
            <w:r w:rsidRPr="005B7BE9">
              <w:rPr>
                <w:bCs/>
                <w:snapToGrid w:val="0"/>
                <w:sz w:val="22"/>
                <w:szCs w:val="22"/>
              </w:rPr>
              <w:t>.</w:t>
            </w:r>
          </w:p>
          <w:p w14:paraId="147DEF01" w14:textId="77777777" w:rsidR="005B7BE9" w:rsidRPr="005B7BE9" w:rsidRDefault="005B7BE9" w:rsidP="005B7BE9">
            <w:pPr>
              <w:tabs>
                <w:tab w:val="left" w:pos="1701"/>
              </w:tabs>
              <w:rPr>
                <w:bCs/>
                <w:snapToGrid w:val="0"/>
                <w:sz w:val="22"/>
                <w:szCs w:val="22"/>
              </w:rPr>
            </w:pPr>
          </w:p>
          <w:p w14:paraId="3E46AE0A" w14:textId="5C368FCA" w:rsidR="005B7BE9" w:rsidRPr="005B7BE9" w:rsidRDefault="005B7BE9" w:rsidP="005B7BE9">
            <w:pPr>
              <w:tabs>
                <w:tab w:val="left" w:pos="1701"/>
              </w:tabs>
              <w:rPr>
                <w:bCs/>
                <w:snapToGrid w:val="0"/>
                <w:sz w:val="22"/>
                <w:szCs w:val="22"/>
              </w:rPr>
            </w:pPr>
            <w:r w:rsidRPr="005B7BE9">
              <w:rPr>
                <w:bCs/>
                <w:snapToGrid w:val="0"/>
                <w:sz w:val="22"/>
                <w:szCs w:val="22"/>
              </w:rPr>
              <w:t>Utskottet justerade betänkande 2023/</w:t>
            </w:r>
            <w:proofErr w:type="gramStart"/>
            <w:r w:rsidRPr="005B7BE9">
              <w:rPr>
                <w:bCs/>
                <w:snapToGrid w:val="0"/>
                <w:sz w:val="22"/>
                <w:szCs w:val="22"/>
              </w:rPr>
              <w:t>24:MJU</w:t>
            </w:r>
            <w:proofErr w:type="gramEnd"/>
            <w:r w:rsidRPr="005B7BE9">
              <w:rPr>
                <w:bCs/>
                <w:snapToGrid w:val="0"/>
                <w:sz w:val="22"/>
                <w:szCs w:val="22"/>
              </w:rPr>
              <w:t>1.</w:t>
            </w:r>
          </w:p>
          <w:p w14:paraId="388F83B5" w14:textId="77777777" w:rsidR="005B7BE9" w:rsidRPr="005B7BE9" w:rsidRDefault="005B7BE9" w:rsidP="005B7BE9">
            <w:pPr>
              <w:tabs>
                <w:tab w:val="left" w:pos="1701"/>
              </w:tabs>
              <w:rPr>
                <w:bCs/>
                <w:snapToGrid w:val="0"/>
                <w:sz w:val="22"/>
                <w:szCs w:val="22"/>
                <w:highlight w:val="yellow"/>
              </w:rPr>
            </w:pPr>
          </w:p>
          <w:p w14:paraId="7FFF6120" w14:textId="740E5A0C" w:rsidR="005B7BE9" w:rsidRPr="006D18C5" w:rsidRDefault="005B7BE9" w:rsidP="005B7BE9">
            <w:pPr>
              <w:tabs>
                <w:tab w:val="left" w:pos="1701"/>
              </w:tabs>
              <w:rPr>
                <w:bCs/>
                <w:i/>
                <w:color w:val="000000"/>
                <w:sz w:val="22"/>
                <w:szCs w:val="22"/>
              </w:rPr>
            </w:pPr>
            <w:r w:rsidRPr="00882DAB">
              <w:rPr>
                <w:color w:val="000000"/>
                <w:szCs w:val="24"/>
              </w:rPr>
              <w:t>S-, V-, C- och MP</w:t>
            </w:r>
            <w:r w:rsidRPr="00882DAB">
              <w:rPr>
                <w:sz w:val="22"/>
                <w:szCs w:val="22"/>
              </w:rPr>
              <w:t>-ledamöterna anmälde särskilda yttranden.</w:t>
            </w:r>
          </w:p>
          <w:p w14:paraId="635939B1" w14:textId="54DFCAF9" w:rsidR="00C843EE" w:rsidRPr="005B7BE9" w:rsidRDefault="00C843EE" w:rsidP="005D2E63">
            <w:pPr>
              <w:tabs>
                <w:tab w:val="left" w:pos="1701"/>
              </w:tabs>
              <w:rPr>
                <w:b/>
                <w:snapToGrid w:val="0"/>
                <w:sz w:val="22"/>
                <w:szCs w:val="22"/>
              </w:rPr>
            </w:pPr>
          </w:p>
        </w:tc>
      </w:tr>
      <w:tr w:rsidR="004F7A9F" w:rsidRPr="005B7BE9" w14:paraId="60D915C5" w14:textId="77777777" w:rsidTr="00165402">
        <w:tc>
          <w:tcPr>
            <w:tcW w:w="567" w:type="dxa"/>
          </w:tcPr>
          <w:p w14:paraId="600F4FBD" w14:textId="77777777" w:rsidR="004F7A9F" w:rsidRPr="005B7BE9" w:rsidRDefault="004F7A9F" w:rsidP="00C5706E">
            <w:pPr>
              <w:tabs>
                <w:tab w:val="left" w:pos="1701"/>
              </w:tabs>
              <w:rPr>
                <w:b/>
                <w:snapToGrid w:val="0"/>
                <w:sz w:val="22"/>
                <w:szCs w:val="22"/>
              </w:rPr>
            </w:pPr>
            <w:r w:rsidRPr="005B7BE9">
              <w:rPr>
                <w:b/>
                <w:snapToGrid w:val="0"/>
                <w:sz w:val="22"/>
                <w:szCs w:val="22"/>
              </w:rPr>
              <w:t>§ 2</w:t>
            </w:r>
          </w:p>
          <w:p w14:paraId="6442D72F" w14:textId="0FE50577" w:rsidR="004F7A9F" w:rsidRPr="005B7BE9" w:rsidRDefault="004F7A9F" w:rsidP="00C5706E">
            <w:pPr>
              <w:tabs>
                <w:tab w:val="left" w:pos="1701"/>
              </w:tabs>
              <w:rPr>
                <w:b/>
                <w:snapToGrid w:val="0"/>
                <w:sz w:val="22"/>
                <w:szCs w:val="22"/>
              </w:rPr>
            </w:pPr>
          </w:p>
        </w:tc>
        <w:tc>
          <w:tcPr>
            <w:tcW w:w="6946" w:type="dxa"/>
            <w:gridSpan w:val="2"/>
          </w:tcPr>
          <w:p w14:paraId="2892DCFB" w14:textId="77777777" w:rsidR="004F7A9F" w:rsidRPr="005B7BE9" w:rsidRDefault="00030B85" w:rsidP="00931E92">
            <w:pPr>
              <w:tabs>
                <w:tab w:val="left" w:pos="1701"/>
              </w:tabs>
              <w:rPr>
                <w:b/>
                <w:sz w:val="22"/>
                <w:szCs w:val="22"/>
              </w:rPr>
            </w:pPr>
            <w:r w:rsidRPr="005B7BE9">
              <w:rPr>
                <w:b/>
                <w:sz w:val="22"/>
                <w:szCs w:val="22"/>
              </w:rPr>
              <w:t>Utgiftsområde 23 Areella näringar, landsbygd och livsmedel (MJU2)</w:t>
            </w:r>
          </w:p>
          <w:p w14:paraId="6138A35B" w14:textId="77777777" w:rsidR="00C843EE" w:rsidRPr="005B7BE9" w:rsidRDefault="00C843EE" w:rsidP="00931E92">
            <w:pPr>
              <w:tabs>
                <w:tab w:val="left" w:pos="1701"/>
              </w:tabs>
              <w:rPr>
                <w:b/>
                <w:sz w:val="22"/>
                <w:szCs w:val="22"/>
              </w:rPr>
            </w:pPr>
          </w:p>
          <w:p w14:paraId="01154933" w14:textId="3CE808AB" w:rsidR="005B7BE9" w:rsidRPr="005B7BE9" w:rsidRDefault="005B7BE9" w:rsidP="005B7BE9">
            <w:pPr>
              <w:tabs>
                <w:tab w:val="left" w:pos="1701"/>
              </w:tabs>
              <w:rPr>
                <w:bCs/>
                <w:sz w:val="22"/>
                <w:szCs w:val="22"/>
              </w:rPr>
            </w:pPr>
            <w:r w:rsidRPr="005B7BE9">
              <w:rPr>
                <w:bCs/>
                <w:snapToGrid w:val="0"/>
                <w:sz w:val="22"/>
                <w:szCs w:val="22"/>
              </w:rPr>
              <w:t xml:space="preserve">Utskottet fortsatte beredningen av proposition 2023/24:1 </w:t>
            </w:r>
            <w:r w:rsidRPr="005B7BE9">
              <w:rPr>
                <w:bCs/>
                <w:sz w:val="22"/>
                <w:szCs w:val="22"/>
              </w:rPr>
              <w:t>och motioner</w:t>
            </w:r>
            <w:r w:rsidRPr="005B7BE9">
              <w:rPr>
                <w:bCs/>
                <w:snapToGrid w:val="0"/>
                <w:sz w:val="22"/>
                <w:szCs w:val="22"/>
              </w:rPr>
              <w:t>.</w:t>
            </w:r>
          </w:p>
          <w:p w14:paraId="28A5D403" w14:textId="77777777" w:rsidR="005B7BE9" w:rsidRPr="005B7BE9" w:rsidRDefault="005B7BE9" w:rsidP="005B7BE9">
            <w:pPr>
              <w:tabs>
                <w:tab w:val="left" w:pos="1701"/>
              </w:tabs>
              <w:rPr>
                <w:bCs/>
                <w:snapToGrid w:val="0"/>
                <w:sz w:val="22"/>
                <w:szCs w:val="22"/>
              </w:rPr>
            </w:pPr>
          </w:p>
          <w:p w14:paraId="7CC3508D" w14:textId="5D45D6F7" w:rsidR="005B7BE9" w:rsidRPr="00882DAB" w:rsidRDefault="005B7BE9" w:rsidP="005B7BE9">
            <w:pPr>
              <w:tabs>
                <w:tab w:val="left" w:pos="1701"/>
              </w:tabs>
              <w:rPr>
                <w:bCs/>
                <w:snapToGrid w:val="0"/>
                <w:sz w:val="22"/>
                <w:szCs w:val="22"/>
              </w:rPr>
            </w:pPr>
            <w:r w:rsidRPr="00882DAB">
              <w:rPr>
                <w:bCs/>
                <w:snapToGrid w:val="0"/>
                <w:sz w:val="22"/>
                <w:szCs w:val="22"/>
              </w:rPr>
              <w:t>Utskottet justerade betänkande 2023/</w:t>
            </w:r>
            <w:proofErr w:type="gramStart"/>
            <w:r w:rsidRPr="00882DAB">
              <w:rPr>
                <w:bCs/>
                <w:snapToGrid w:val="0"/>
                <w:sz w:val="22"/>
                <w:szCs w:val="22"/>
              </w:rPr>
              <w:t>24:MJU</w:t>
            </w:r>
            <w:proofErr w:type="gramEnd"/>
            <w:r w:rsidRPr="00882DAB">
              <w:rPr>
                <w:bCs/>
                <w:snapToGrid w:val="0"/>
                <w:sz w:val="22"/>
                <w:szCs w:val="22"/>
              </w:rPr>
              <w:t>2.</w:t>
            </w:r>
          </w:p>
          <w:p w14:paraId="6BF63847" w14:textId="77777777" w:rsidR="005B7BE9" w:rsidRPr="00882DAB" w:rsidRDefault="005B7BE9" w:rsidP="005B7BE9">
            <w:pPr>
              <w:tabs>
                <w:tab w:val="left" w:pos="1701"/>
              </w:tabs>
              <w:rPr>
                <w:bCs/>
                <w:snapToGrid w:val="0"/>
                <w:sz w:val="22"/>
                <w:szCs w:val="22"/>
              </w:rPr>
            </w:pPr>
          </w:p>
          <w:p w14:paraId="34A383FD" w14:textId="40EA355F" w:rsidR="005B7BE9" w:rsidRPr="006D18C5" w:rsidRDefault="005B7BE9" w:rsidP="005B7BE9">
            <w:pPr>
              <w:tabs>
                <w:tab w:val="left" w:pos="1701"/>
              </w:tabs>
              <w:rPr>
                <w:bCs/>
                <w:i/>
                <w:color w:val="000000"/>
                <w:sz w:val="22"/>
                <w:szCs w:val="22"/>
              </w:rPr>
            </w:pPr>
            <w:r w:rsidRPr="00882DAB">
              <w:rPr>
                <w:color w:val="000000"/>
                <w:szCs w:val="24"/>
              </w:rPr>
              <w:t>S-, V-, C- och MP</w:t>
            </w:r>
            <w:r w:rsidRPr="00882DAB">
              <w:rPr>
                <w:sz w:val="22"/>
                <w:szCs w:val="22"/>
              </w:rPr>
              <w:t>-ledamöterna anmälde särskilda yttranden.</w:t>
            </w:r>
          </w:p>
          <w:p w14:paraId="73460920" w14:textId="2534449B" w:rsidR="00C843EE" w:rsidRPr="005B7BE9" w:rsidRDefault="00C843EE" w:rsidP="00931E92">
            <w:pPr>
              <w:tabs>
                <w:tab w:val="left" w:pos="1701"/>
              </w:tabs>
              <w:rPr>
                <w:b/>
                <w:snapToGrid w:val="0"/>
                <w:sz w:val="22"/>
                <w:szCs w:val="22"/>
              </w:rPr>
            </w:pPr>
          </w:p>
        </w:tc>
      </w:tr>
      <w:tr w:rsidR="004F7A9F" w:rsidRPr="005B7BE9" w14:paraId="5B8A9D5B" w14:textId="77777777" w:rsidTr="00165402">
        <w:tc>
          <w:tcPr>
            <w:tcW w:w="567" w:type="dxa"/>
          </w:tcPr>
          <w:p w14:paraId="62582B03" w14:textId="77777777" w:rsidR="004F7A9F" w:rsidRPr="005B7BE9" w:rsidRDefault="004F7A9F" w:rsidP="00C5706E">
            <w:pPr>
              <w:tabs>
                <w:tab w:val="left" w:pos="1701"/>
              </w:tabs>
              <w:rPr>
                <w:b/>
                <w:snapToGrid w:val="0"/>
                <w:sz w:val="22"/>
                <w:szCs w:val="22"/>
              </w:rPr>
            </w:pPr>
            <w:r w:rsidRPr="005B7BE9">
              <w:rPr>
                <w:b/>
                <w:snapToGrid w:val="0"/>
                <w:sz w:val="22"/>
                <w:szCs w:val="22"/>
              </w:rPr>
              <w:t>§ 3</w:t>
            </w:r>
          </w:p>
          <w:p w14:paraId="0D11963D" w14:textId="51847A64" w:rsidR="004F7A9F" w:rsidRPr="005B7BE9" w:rsidRDefault="004F7A9F" w:rsidP="00C5706E">
            <w:pPr>
              <w:tabs>
                <w:tab w:val="left" w:pos="1701"/>
              </w:tabs>
              <w:rPr>
                <w:b/>
                <w:snapToGrid w:val="0"/>
                <w:sz w:val="22"/>
                <w:szCs w:val="22"/>
              </w:rPr>
            </w:pPr>
          </w:p>
        </w:tc>
        <w:tc>
          <w:tcPr>
            <w:tcW w:w="6946" w:type="dxa"/>
            <w:gridSpan w:val="2"/>
          </w:tcPr>
          <w:p w14:paraId="4979ED8B" w14:textId="77777777" w:rsidR="00C843EE" w:rsidRPr="005B7BE9" w:rsidRDefault="00030B85" w:rsidP="00931E92">
            <w:pPr>
              <w:tabs>
                <w:tab w:val="left" w:pos="1701"/>
              </w:tabs>
              <w:rPr>
                <w:b/>
                <w:sz w:val="22"/>
                <w:szCs w:val="22"/>
              </w:rPr>
            </w:pPr>
            <w:r w:rsidRPr="005B7BE9">
              <w:rPr>
                <w:b/>
                <w:sz w:val="22"/>
                <w:szCs w:val="22"/>
              </w:rPr>
              <w:t>Förslag till rådets förordning om fastställande för 2024, 2025 och 2026 av fiskemöjligheterna avseende vissa fiskbestånd, i unionens vatten, och för unionsfiskefartyg, i vissa andra vatten, samt om ändring av förordning (EU) 2023/194 vad gäller djuphavsbestånd</w:t>
            </w:r>
          </w:p>
          <w:p w14:paraId="7FEEE81D" w14:textId="392696BD" w:rsidR="00C843EE" w:rsidRDefault="00C843EE" w:rsidP="00931E92">
            <w:pPr>
              <w:tabs>
                <w:tab w:val="left" w:pos="1701"/>
              </w:tabs>
              <w:rPr>
                <w:b/>
                <w:sz w:val="22"/>
                <w:szCs w:val="22"/>
              </w:rPr>
            </w:pPr>
          </w:p>
          <w:p w14:paraId="59B8586A" w14:textId="77777777" w:rsidR="004762C9" w:rsidRPr="00F01A93" w:rsidRDefault="004762C9" w:rsidP="004762C9">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landsbygdsminister Peter Kullgren</w:t>
            </w:r>
            <w:r w:rsidRPr="00F01A93">
              <w:rPr>
                <w:snapToGrid w:val="0"/>
                <w:sz w:val="22"/>
                <w:szCs w:val="22"/>
              </w:rPr>
              <w:t>, å</w:t>
            </w:r>
            <w:r w:rsidRPr="00F01A93">
              <w:rPr>
                <w:rFonts w:eastAsiaTheme="minorHAnsi"/>
                <w:color w:val="000000"/>
                <w:sz w:val="22"/>
                <w:szCs w:val="22"/>
                <w:lang w:eastAsia="en-US"/>
              </w:rPr>
              <w:t>tföljd av medarbetare från Landsbygds- och infrastrukturdepartementet.</w:t>
            </w:r>
          </w:p>
          <w:p w14:paraId="1024C62F" w14:textId="77777777" w:rsidR="004762C9" w:rsidRPr="00F01A93" w:rsidRDefault="004762C9" w:rsidP="004762C9">
            <w:pPr>
              <w:rPr>
                <w:rFonts w:eastAsiaTheme="minorHAnsi"/>
                <w:b/>
                <w:bCs/>
                <w:color w:val="000000"/>
                <w:sz w:val="22"/>
                <w:szCs w:val="22"/>
                <w:lang w:eastAsia="en-US"/>
              </w:rPr>
            </w:pPr>
            <w:r w:rsidRPr="00F01A93">
              <w:rPr>
                <w:bCs/>
                <w:color w:val="000000"/>
                <w:sz w:val="22"/>
                <w:szCs w:val="22"/>
              </w:rPr>
              <w:t xml:space="preserve">  </w:t>
            </w:r>
          </w:p>
          <w:p w14:paraId="6DD3AD39" w14:textId="77777777" w:rsidR="004762C9" w:rsidRDefault="004762C9" w:rsidP="004762C9">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 xml:space="preserve">2023) </w:t>
            </w:r>
            <w:r>
              <w:rPr>
                <w:bCs/>
                <w:color w:val="000000"/>
                <w:sz w:val="22"/>
                <w:szCs w:val="22"/>
              </w:rPr>
              <w:t xml:space="preserve">587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 xml:space="preserve">(dnr </w:t>
            </w:r>
            <w:bookmarkStart w:id="0" w:name="_Hlk64985663"/>
            <w:r>
              <w:rPr>
                <w:bCs/>
                <w:color w:val="000000"/>
                <w:sz w:val="22"/>
                <w:szCs w:val="22"/>
              </w:rPr>
              <w:t>448</w:t>
            </w:r>
            <w:r w:rsidRPr="00F01A93">
              <w:rPr>
                <w:sz w:val="22"/>
                <w:szCs w:val="22"/>
              </w:rPr>
              <w:t>-2023/2</w:t>
            </w:r>
            <w:bookmarkEnd w:id="0"/>
            <w:r w:rsidRPr="00F01A93">
              <w:rPr>
                <w:sz w:val="22"/>
                <w:szCs w:val="22"/>
              </w:rPr>
              <w:t>4</w:t>
            </w:r>
            <w:r w:rsidRPr="00F01A93">
              <w:rPr>
                <w:bCs/>
                <w:color w:val="000000"/>
                <w:sz w:val="22"/>
                <w:szCs w:val="22"/>
              </w:rPr>
              <w:t>)</w:t>
            </w:r>
            <w:r>
              <w:rPr>
                <w:bCs/>
                <w:color w:val="000000"/>
                <w:sz w:val="22"/>
                <w:szCs w:val="22"/>
              </w:rPr>
              <w:t>.</w:t>
            </w:r>
          </w:p>
          <w:p w14:paraId="6CA94DBA" w14:textId="77777777" w:rsidR="004762C9" w:rsidRPr="00F01A93" w:rsidRDefault="004762C9" w:rsidP="004762C9">
            <w:pPr>
              <w:widowControl/>
              <w:tabs>
                <w:tab w:val="left" w:pos="284"/>
              </w:tabs>
              <w:rPr>
                <w:bCs/>
                <w:color w:val="000000"/>
                <w:sz w:val="22"/>
                <w:szCs w:val="22"/>
              </w:rPr>
            </w:pPr>
            <w:r>
              <w:rPr>
                <w:bCs/>
                <w:color w:val="000000"/>
                <w:sz w:val="22"/>
                <w:szCs w:val="22"/>
              </w:rPr>
              <w:t xml:space="preserve"> </w:t>
            </w:r>
          </w:p>
          <w:p w14:paraId="3617D9AC" w14:textId="77777777" w:rsidR="004762C9" w:rsidRPr="00F01A93" w:rsidRDefault="004762C9" w:rsidP="004762C9">
            <w:pPr>
              <w:widowControl/>
              <w:autoSpaceDE w:val="0"/>
              <w:autoSpaceDN w:val="0"/>
              <w:adjustRightInd w:val="0"/>
              <w:rPr>
                <w:bCs/>
                <w:color w:val="000000"/>
                <w:sz w:val="22"/>
                <w:szCs w:val="22"/>
              </w:rPr>
            </w:pPr>
            <w:r>
              <w:rPr>
                <w:snapToGrid w:val="0"/>
                <w:sz w:val="22"/>
                <w:szCs w:val="22"/>
              </w:rPr>
              <w:t xml:space="preserve">Landsbygdsminister Peter Kullgren </w:t>
            </w:r>
            <w:r w:rsidRPr="00F01A93">
              <w:rPr>
                <w:snapToGrid w:val="0"/>
                <w:sz w:val="22"/>
                <w:szCs w:val="22"/>
              </w:rPr>
              <w:t>r</w:t>
            </w:r>
            <w:r w:rsidRPr="00F01A93">
              <w:rPr>
                <w:bCs/>
                <w:color w:val="000000"/>
                <w:sz w:val="22"/>
                <w:szCs w:val="22"/>
              </w:rPr>
              <w:t>edogjorde för regeringens ståndpunkt (bilaga 2).</w:t>
            </w:r>
          </w:p>
          <w:p w14:paraId="4C067420" w14:textId="77777777" w:rsidR="004762C9" w:rsidRDefault="004762C9" w:rsidP="004762C9">
            <w:pPr>
              <w:autoSpaceDE w:val="0"/>
              <w:autoSpaceDN w:val="0"/>
              <w:rPr>
                <w:snapToGrid w:val="0"/>
                <w:sz w:val="22"/>
                <w:szCs w:val="22"/>
              </w:rPr>
            </w:pPr>
          </w:p>
          <w:p w14:paraId="2EA1C4E5" w14:textId="77777777" w:rsidR="004762C9" w:rsidRPr="00E67C15" w:rsidRDefault="004762C9" w:rsidP="004762C9">
            <w:pPr>
              <w:rPr>
                <w:rStyle w:val="normaltextrun"/>
                <w:snapToGrid w:val="0"/>
                <w:sz w:val="22"/>
                <w:szCs w:val="22"/>
              </w:rPr>
            </w:pPr>
            <w:r w:rsidRPr="00E67C15">
              <w:rPr>
                <w:snapToGrid w:val="0"/>
                <w:sz w:val="22"/>
                <w:szCs w:val="22"/>
              </w:rPr>
              <w:t>V- och MP-ledamöterna anmälde de avvikande ståndpunkter som framgår av bilaga 3.</w:t>
            </w:r>
          </w:p>
          <w:p w14:paraId="0F0B53CB" w14:textId="77777777" w:rsidR="004762C9" w:rsidRPr="00E67C15" w:rsidRDefault="004762C9" w:rsidP="004762C9">
            <w:pPr>
              <w:autoSpaceDE w:val="0"/>
              <w:autoSpaceDN w:val="0"/>
              <w:rPr>
                <w:snapToGrid w:val="0"/>
                <w:sz w:val="22"/>
                <w:szCs w:val="22"/>
              </w:rPr>
            </w:pPr>
          </w:p>
          <w:p w14:paraId="409A5AFA" w14:textId="77777777" w:rsidR="004762C9" w:rsidRPr="00F01A93" w:rsidRDefault="004762C9" w:rsidP="004762C9">
            <w:pPr>
              <w:autoSpaceDE w:val="0"/>
              <w:autoSpaceDN w:val="0"/>
              <w:rPr>
                <w:snapToGrid w:val="0"/>
                <w:sz w:val="22"/>
                <w:szCs w:val="22"/>
              </w:rPr>
            </w:pPr>
            <w:r w:rsidRPr="00985235">
              <w:rPr>
                <w:snapToGrid w:val="0"/>
                <w:sz w:val="22"/>
                <w:szCs w:val="22"/>
              </w:rPr>
              <w:t>Ordförande konstaterade att det fanns stöd för regeringens ståndpunkt.</w:t>
            </w:r>
          </w:p>
          <w:p w14:paraId="7CA1068D" w14:textId="77777777" w:rsidR="004762C9" w:rsidRPr="000E4AFC" w:rsidRDefault="004762C9" w:rsidP="004762C9">
            <w:pPr>
              <w:autoSpaceDE w:val="0"/>
              <w:autoSpaceDN w:val="0"/>
              <w:rPr>
                <w:sz w:val="22"/>
                <w:szCs w:val="22"/>
              </w:rPr>
            </w:pPr>
          </w:p>
          <w:p w14:paraId="48855857" w14:textId="77777777" w:rsidR="004762C9" w:rsidRPr="000428C1" w:rsidRDefault="004762C9" w:rsidP="004762C9">
            <w:pPr>
              <w:rPr>
                <w:bCs/>
                <w:snapToGrid w:val="0"/>
                <w:sz w:val="22"/>
                <w:szCs w:val="22"/>
              </w:rPr>
            </w:pPr>
            <w:r w:rsidRPr="000428C1">
              <w:rPr>
                <w:bCs/>
                <w:snapToGrid w:val="0"/>
                <w:sz w:val="22"/>
                <w:szCs w:val="22"/>
              </w:rPr>
              <w:t>Denna paragraf förklarades omedelbart justerad.</w:t>
            </w:r>
          </w:p>
          <w:p w14:paraId="76BD69A4" w14:textId="3B9C3697" w:rsidR="004F7A9F" w:rsidRPr="005B7BE9" w:rsidRDefault="004F7A9F" w:rsidP="00931E92">
            <w:pPr>
              <w:tabs>
                <w:tab w:val="left" w:pos="1701"/>
              </w:tabs>
              <w:rPr>
                <w:b/>
                <w:snapToGrid w:val="0"/>
                <w:sz w:val="22"/>
                <w:szCs w:val="22"/>
              </w:rPr>
            </w:pPr>
          </w:p>
        </w:tc>
      </w:tr>
      <w:tr w:rsidR="004F7A9F" w:rsidRPr="005B7BE9" w14:paraId="579F0E1E" w14:textId="77777777" w:rsidTr="00165402">
        <w:tc>
          <w:tcPr>
            <w:tcW w:w="567" w:type="dxa"/>
          </w:tcPr>
          <w:p w14:paraId="676EF294" w14:textId="6734C8C2" w:rsidR="004F7A9F" w:rsidRPr="005B7BE9" w:rsidRDefault="004F7A9F" w:rsidP="00C5706E">
            <w:pPr>
              <w:tabs>
                <w:tab w:val="left" w:pos="1701"/>
              </w:tabs>
              <w:rPr>
                <w:b/>
                <w:snapToGrid w:val="0"/>
                <w:sz w:val="22"/>
                <w:szCs w:val="22"/>
              </w:rPr>
            </w:pPr>
            <w:r w:rsidRPr="005B7BE9">
              <w:rPr>
                <w:b/>
                <w:snapToGrid w:val="0"/>
                <w:sz w:val="22"/>
                <w:szCs w:val="22"/>
              </w:rPr>
              <w:t>§ 4</w:t>
            </w:r>
          </w:p>
        </w:tc>
        <w:tc>
          <w:tcPr>
            <w:tcW w:w="6946" w:type="dxa"/>
            <w:gridSpan w:val="2"/>
          </w:tcPr>
          <w:p w14:paraId="6059E1E6" w14:textId="77777777" w:rsidR="004F7A9F" w:rsidRDefault="00030B85" w:rsidP="00931E92">
            <w:pPr>
              <w:tabs>
                <w:tab w:val="left" w:pos="1701"/>
              </w:tabs>
              <w:rPr>
                <w:b/>
                <w:snapToGrid w:val="0"/>
                <w:sz w:val="22"/>
                <w:szCs w:val="22"/>
              </w:rPr>
            </w:pPr>
            <w:r w:rsidRPr="005B7BE9">
              <w:rPr>
                <w:b/>
                <w:sz w:val="22"/>
                <w:szCs w:val="22"/>
              </w:rPr>
              <w:t>Förslag till Europaparlamentets och rådets förordning om växter som framställts med vissa nya genomiska metoder och därav framställda livsmedel och foder samt om ändring av förordning (EU) 2017/625</w:t>
            </w:r>
            <w:r w:rsidRPr="005B7BE9">
              <w:rPr>
                <w:bCs/>
                <w:sz w:val="22"/>
                <w:szCs w:val="22"/>
              </w:rPr>
              <w:t xml:space="preserve"> </w:t>
            </w:r>
            <w:r w:rsidRPr="005B7BE9">
              <w:rPr>
                <w:bCs/>
                <w:sz w:val="22"/>
                <w:szCs w:val="22"/>
              </w:rPr>
              <w:br/>
            </w:r>
          </w:p>
          <w:p w14:paraId="270BBF67" w14:textId="77777777" w:rsidR="00AF6331" w:rsidRPr="00F01A93" w:rsidRDefault="00AF6331" w:rsidP="00AF6331">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landsbygdsminister Peter Kullgren</w:t>
            </w:r>
            <w:r w:rsidRPr="00F01A93">
              <w:rPr>
                <w:snapToGrid w:val="0"/>
                <w:sz w:val="22"/>
                <w:szCs w:val="22"/>
              </w:rPr>
              <w:t>, å</w:t>
            </w:r>
            <w:r w:rsidRPr="00F01A93">
              <w:rPr>
                <w:rFonts w:eastAsiaTheme="minorHAnsi"/>
                <w:color w:val="000000"/>
                <w:sz w:val="22"/>
                <w:szCs w:val="22"/>
                <w:lang w:eastAsia="en-US"/>
              </w:rPr>
              <w:t>tföljd av medarbetare från Landsbygds- och infrastrukturdepartementet.</w:t>
            </w:r>
          </w:p>
          <w:p w14:paraId="08BA908A" w14:textId="77777777" w:rsidR="00AF6331" w:rsidRPr="00F01A93" w:rsidRDefault="00AF6331" w:rsidP="00AF6331">
            <w:pPr>
              <w:rPr>
                <w:rFonts w:eastAsiaTheme="minorHAnsi"/>
                <w:b/>
                <w:bCs/>
                <w:color w:val="000000"/>
                <w:sz w:val="22"/>
                <w:szCs w:val="22"/>
                <w:lang w:eastAsia="en-US"/>
              </w:rPr>
            </w:pPr>
            <w:r w:rsidRPr="00F01A93">
              <w:rPr>
                <w:bCs/>
                <w:color w:val="000000"/>
                <w:sz w:val="22"/>
                <w:szCs w:val="22"/>
              </w:rPr>
              <w:t xml:space="preserve">  </w:t>
            </w:r>
          </w:p>
          <w:p w14:paraId="7847A17F" w14:textId="77777777" w:rsidR="00AF6331" w:rsidRDefault="00AF6331" w:rsidP="00AF6331">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 xml:space="preserve">2023) </w:t>
            </w:r>
            <w:r>
              <w:rPr>
                <w:bCs/>
                <w:color w:val="000000"/>
                <w:sz w:val="22"/>
                <w:szCs w:val="22"/>
              </w:rPr>
              <w:t xml:space="preserve">411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(dnr</w:t>
            </w:r>
            <w:r>
              <w:rPr>
                <w:bCs/>
                <w:color w:val="000000"/>
                <w:sz w:val="22"/>
                <w:szCs w:val="22"/>
              </w:rPr>
              <w:t xml:space="preserve"> 2704-</w:t>
            </w:r>
            <w:r w:rsidRPr="00F01A93">
              <w:rPr>
                <w:sz w:val="22"/>
                <w:szCs w:val="22"/>
              </w:rPr>
              <w:t>202</w:t>
            </w:r>
            <w:r>
              <w:rPr>
                <w:sz w:val="22"/>
                <w:szCs w:val="22"/>
              </w:rPr>
              <w:t>2</w:t>
            </w:r>
            <w:r w:rsidRPr="00F01A93">
              <w:rPr>
                <w:sz w:val="22"/>
                <w:szCs w:val="22"/>
              </w:rPr>
              <w:t>/2</w:t>
            </w:r>
            <w:r>
              <w:rPr>
                <w:sz w:val="22"/>
                <w:szCs w:val="22"/>
              </w:rPr>
              <w:t>3</w:t>
            </w:r>
            <w:r w:rsidRPr="00F01A93">
              <w:rPr>
                <w:bCs/>
                <w:color w:val="000000"/>
                <w:sz w:val="22"/>
                <w:szCs w:val="22"/>
              </w:rPr>
              <w:t>)</w:t>
            </w:r>
            <w:r>
              <w:rPr>
                <w:bCs/>
                <w:color w:val="000000"/>
                <w:sz w:val="22"/>
                <w:szCs w:val="22"/>
              </w:rPr>
              <w:t>.</w:t>
            </w:r>
          </w:p>
          <w:p w14:paraId="6F0B7B25" w14:textId="77777777" w:rsidR="00AF6331" w:rsidRPr="00F01A93" w:rsidRDefault="00AF6331" w:rsidP="00AF6331">
            <w:pPr>
              <w:widowControl/>
              <w:tabs>
                <w:tab w:val="left" w:pos="284"/>
              </w:tabs>
              <w:rPr>
                <w:bCs/>
                <w:color w:val="000000"/>
                <w:sz w:val="22"/>
                <w:szCs w:val="22"/>
              </w:rPr>
            </w:pPr>
          </w:p>
          <w:p w14:paraId="26803DF1" w14:textId="77777777" w:rsidR="00AF6331" w:rsidRPr="00F01A93" w:rsidRDefault="00AF6331" w:rsidP="00AF6331">
            <w:pPr>
              <w:widowControl/>
              <w:autoSpaceDE w:val="0"/>
              <w:autoSpaceDN w:val="0"/>
              <w:adjustRightInd w:val="0"/>
              <w:rPr>
                <w:bCs/>
                <w:color w:val="000000"/>
                <w:sz w:val="22"/>
                <w:szCs w:val="22"/>
              </w:rPr>
            </w:pPr>
            <w:r>
              <w:rPr>
                <w:snapToGrid w:val="0"/>
                <w:sz w:val="22"/>
                <w:szCs w:val="22"/>
              </w:rPr>
              <w:lastRenderedPageBreak/>
              <w:t xml:space="preserve">Landsbygdsminister Peter Kullgren </w:t>
            </w:r>
            <w:r w:rsidRPr="00F01A93">
              <w:rPr>
                <w:snapToGrid w:val="0"/>
                <w:sz w:val="22"/>
                <w:szCs w:val="22"/>
              </w:rPr>
              <w:t>r</w:t>
            </w:r>
            <w:r w:rsidRPr="00F01A93">
              <w:rPr>
                <w:bCs/>
                <w:color w:val="000000"/>
                <w:sz w:val="22"/>
                <w:szCs w:val="22"/>
              </w:rPr>
              <w:t xml:space="preserve">edogjorde för regeringens ståndpunkt (bilaga </w:t>
            </w:r>
            <w:r>
              <w:rPr>
                <w:bCs/>
                <w:color w:val="000000"/>
                <w:sz w:val="22"/>
                <w:szCs w:val="22"/>
              </w:rPr>
              <w:t>4</w:t>
            </w:r>
            <w:r w:rsidRPr="00F01A93">
              <w:rPr>
                <w:bCs/>
                <w:color w:val="000000"/>
                <w:sz w:val="22"/>
                <w:szCs w:val="22"/>
              </w:rPr>
              <w:t>).</w:t>
            </w:r>
          </w:p>
          <w:p w14:paraId="20D51800" w14:textId="77777777" w:rsidR="00AF6331" w:rsidRDefault="00AF6331" w:rsidP="00AF6331">
            <w:pPr>
              <w:autoSpaceDE w:val="0"/>
              <w:autoSpaceDN w:val="0"/>
              <w:rPr>
                <w:snapToGrid w:val="0"/>
                <w:sz w:val="22"/>
                <w:szCs w:val="22"/>
              </w:rPr>
            </w:pPr>
          </w:p>
          <w:p w14:paraId="2A067C7C" w14:textId="77777777" w:rsidR="00AF6331" w:rsidRPr="001B1D30" w:rsidRDefault="00AF6331" w:rsidP="00AF6331">
            <w:pPr>
              <w:rPr>
                <w:rStyle w:val="normaltextrun"/>
                <w:snapToGrid w:val="0"/>
                <w:sz w:val="22"/>
                <w:szCs w:val="22"/>
              </w:rPr>
            </w:pPr>
            <w:r w:rsidRPr="001B1D30">
              <w:rPr>
                <w:snapToGrid w:val="0"/>
                <w:sz w:val="22"/>
                <w:szCs w:val="22"/>
              </w:rPr>
              <w:t>MP-ledam</w:t>
            </w:r>
            <w:r>
              <w:rPr>
                <w:snapToGrid w:val="0"/>
                <w:sz w:val="22"/>
                <w:szCs w:val="22"/>
              </w:rPr>
              <w:t>oten</w:t>
            </w:r>
            <w:r w:rsidRPr="001B1D30">
              <w:rPr>
                <w:snapToGrid w:val="0"/>
                <w:sz w:val="22"/>
                <w:szCs w:val="22"/>
              </w:rPr>
              <w:t xml:space="preserve"> anmälde de</w:t>
            </w:r>
            <w:r>
              <w:rPr>
                <w:snapToGrid w:val="0"/>
                <w:sz w:val="22"/>
                <w:szCs w:val="22"/>
              </w:rPr>
              <w:t>n</w:t>
            </w:r>
            <w:r w:rsidRPr="001B1D30">
              <w:rPr>
                <w:snapToGrid w:val="0"/>
                <w:sz w:val="22"/>
                <w:szCs w:val="22"/>
              </w:rPr>
              <w:t xml:space="preserve"> avvikande ståndpunkt som framgår av bilaga 5.</w:t>
            </w:r>
          </w:p>
          <w:p w14:paraId="55E27BA2" w14:textId="77777777" w:rsidR="00AF6331" w:rsidRPr="001B1D30" w:rsidRDefault="00AF6331" w:rsidP="00AF6331">
            <w:pPr>
              <w:autoSpaceDE w:val="0"/>
              <w:autoSpaceDN w:val="0"/>
              <w:rPr>
                <w:snapToGrid w:val="0"/>
                <w:sz w:val="22"/>
                <w:szCs w:val="22"/>
              </w:rPr>
            </w:pPr>
          </w:p>
          <w:p w14:paraId="6CADE6D7" w14:textId="77777777" w:rsidR="00AF6331" w:rsidRPr="00F01A93" w:rsidRDefault="00AF6331" w:rsidP="00AF6331">
            <w:pPr>
              <w:autoSpaceDE w:val="0"/>
              <w:autoSpaceDN w:val="0"/>
              <w:rPr>
                <w:snapToGrid w:val="0"/>
                <w:sz w:val="22"/>
                <w:szCs w:val="22"/>
              </w:rPr>
            </w:pPr>
            <w:r w:rsidRPr="00E34196">
              <w:rPr>
                <w:snapToGrid w:val="0"/>
                <w:sz w:val="22"/>
                <w:szCs w:val="22"/>
              </w:rPr>
              <w:t>Ordförande konstaterade att det fanns stöd för regeringens ståndpunkt.</w:t>
            </w:r>
          </w:p>
          <w:p w14:paraId="667DC302" w14:textId="77777777" w:rsidR="00AF6331" w:rsidRPr="000E4AFC" w:rsidRDefault="00AF6331" w:rsidP="00AF6331">
            <w:pPr>
              <w:autoSpaceDE w:val="0"/>
              <w:autoSpaceDN w:val="0"/>
              <w:rPr>
                <w:sz w:val="22"/>
                <w:szCs w:val="22"/>
              </w:rPr>
            </w:pPr>
          </w:p>
          <w:p w14:paraId="01AF1C24" w14:textId="77777777" w:rsidR="00AF6331" w:rsidRPr="000428C1" w:rsidRDefault="00AF6331" w:rsidP="00AF6331">
            <w:pPr>
              <w:rPr>
                <w:bCs/>
                <w:snapToGrid w:val="0"/>
                <w:sz w:val="22"/>
                <w:szCs w:val="22"/>
              </w:rPr>
            </w:pPr>
            <w:r w:rsidRPr="000428C1">
              <w:rPr>
                <w:bCs/>
                <w:snapToGrid w:val="0"/>
                <w:sz w:val="22"/>
                <w:szCs w:val="22"/>
              </w:rPr>
              <w:t>Denna paragraf förklarades omedelbart justerad.</w:t>
            </w:r>
          </w:p>
          <w:p w14:paraId="265CF7E7" w14:textId="4E885CB8" w:rsidR="00882DAB" w:rsidRPr="005B7BE9" w:rsidRDefault="00882DAB" w:rsidP="00931E92">
            <w:pPr>
              <w:tabs>
                <w:tab w:val="left" w:pos="1701"/>
              </w:tabs>
              <w:rPr>
                <w:b/>
                <w:snapToGrid w:val="0"/>
                <w:sz w:val="22"/>
                <w:szCs w:val="22"/>
              </w:rPr>
            </w:pPr>
          </w:p>
        </w:tc>
      </w:tr>
      <w:tr w:rsidR="004F7A9F" w:rsidRPr="005B7BE9" w14:paraId="3C33DEBF" w14:textId="77777777" w:rsidTr="00165402">
        <w:tc>
          <w:tcPr>
            <w:tcW w:w="567" w:type="dxa"/>
          </w:tcPr>
          <w:p w14:paraId="43054BE2" w14:textId="77777777" w:rsidR="004F7A9F" w:rsidRPr="005B7BE9" w:rsidRDefault="004F7A9F" w:rsidP="00C5706E">
            <w:pPr>
              <w:tabs>
                <w:tab w:val="left" w:pos="1701"/>
              </w:tabs>
              <w:rPr>
                <w:b/>
                <w:snapToGrid w:val="0"/>
                <w:sz w:val="22"/>
                <w:szCs w:val="22"/>
              </w:rPr>
            </w:pPr>
            <w:r w:rsidRPr="005B7BE9">
              <w:rPr>
                <w:b/>
                <w:snapToGrid w:val="0"/>
                <w:sz w:val="22"/>
                <w:szCs w:val="22"/>
              </w:rPr>
              <w:lastRenderedPageBreak/>
              <w:t>§ 5</w:t>
            </w:r>
          </w:p>
          <w:p w14:paraId="3B662B7A" w14:textId="51C9BA84" w:rsidR="004F7A9F" w:rsidRPr="005B7BE9" w:rsidRDefault="004F7A9F" w:rsidP="00C5706E">
            <w:pPr>
              <w:tabs>
                <w:tab w:val="left" w:pos="1701"/>
              </w:tabs>
              <w:rPr>
                <w:b/>
                <w:snapToGrid w:val="0"/>
                <w:sz w:val="22"/>
                <w:szCs w:val="22"/>
              </w:rPr>
            </w:pPr>
          </w:p>
        </w:tc>
        <w:tc>
          <w:tcPr>
            <w:tcW w:w="6946" w:type="dxa"/>
            <w:gridSpan w:val="2"/>
          </w:tcPr>
          <w:p w14:paraId="69B1C624" w14:textId="77777777" w:rsidR="004F7A9F" w:rsidRDefault="00030B85" w:rsidP="00931E92">
            <w:pPr>
              <w:tabs>
                <w:tab w:val="left" w:pos="1701"/>
              </w:tabs>
              <w:rPr>
                <w:b/>
                <w:sz w:val="22"/>
                <w:szCs w:val="22"/>
              </w:rPr>
            </w:pPr>
            <w:r w:rsidRPr="005B7BE9">
              <w:rPr>
                <w:b/>
                <w:sz w:val="22"/>
                <w:szCs w:val="22"/>
              </w:rPr>
              <w:t>Jordbruks- och fiskeråd den 10 – 11 december 2023</w:t>
            </w:r>
          </w:p>
          <w:p w14:paraId="20D48AD9" w14:textId="77777777" w:rsidR="005B7BE9" w:rsidRDefault="005B7BE9" w:rsidP="00931E92">
            <w:pPr>
              <w:tabs>
                <w:tab w:val="left" w:pos="1701"/>
              </w:tabs>
              <w:rPr>
                <w:b/>
                <w:sz w:val="22"/>
                <w:szCs w:val="22"/>
              </w:rPr>
            </w:pPr>
          </w:p>
          <w:p w14:paraId="452F93A0" w14:textId="0B34D57B" w:rsidR="005B7BE9" w:rsidRPr="00F468F5" w:rsidRDefault="005B7BE9" w:rsidP="005B7BE9">
            <w:pPr>
              <w:tabs>
                <w:tab w:val="left" w:pos="1701"/>
              </w:tabs>
              <w:rPr>
                <w:bCs/>
                <w:snapToGrid w:val="0"/>
                <w:sz w:val="22"/>
                <w:szCs w:val="22"/>
              </w:rPr>
            </w:pPr>
            <w:r>
              <w:rPr>
                <w:bCs/>
                <w:sz w:val="22"/>
                <w:szCs w:val="22"/>
              </w:rPr>
              <w:t xml:space="preserve">Statssekreterare Dan Ericsson med medarbetare, </w:t>
            </w:r>
            <w:r w:rsidRPr="007C1F69">
              <w:rPr>
                <w:bCs/>
                <w:snapToGrid w:val="0"/>
                <w:sz w:val="22"/>
                <w:szCs w:val="22"/>
              </w:rPr>
              <w:t>Landsbygds- och infrastrukturdepartementet, lämnade information inför Jordbruks- och fiskeråd</w:t>
            </w:r>
            <w:r>
              <w:rPr>
                <w:bCs/>
                <w:snapToGrid w:val="0"/>
                <w:sz w:val="22"/>
                <w:szCs w:val="22"/>
              </w:rPr>
              <w:t>et den</w:t>
            </w:r>
            <w:r w:rsidRPr="007C1F69">
              <w:rPr>
                <w:bCs/>
                <w:snapToGrid w:val="0"/>
                <w:sz w:val="22"/>
                <w:szCs w:val="22"/>
              </w:rPr>
              <w:t xml:space="preserve"> </w:t>
            </w:r>
            <w:r>
              <w:rPr>
                <w:bCs/>
                <w:snapToGrid w:val="0"/>
                <w:sz w:val="22"/>
                <w:szCs w:val="22"/>
              </w:rPr>
              <w:t>10 – 11 december</w:t>
            </w:r>
            <w:r w:rsidRPr="007C1F69">
              <w:rPr>
                <w:bCs/>
                <w:snapToGrid w:val="0"/>
                <w:sz w:val="22"/>
                <w:szCs w:val="22"/>
              </w:rPr>
              <w:t xml:space="preserve"> 2023.</w:t>
            </w:r>
          </w:p>
          <w:p w14:paraId="599ECD39" w14:textId="7016A2F3" w:rsidR="005B7BE9" w:rsidRPr="005B7BE9" w:rsidRDefault="005B7BE9" w:rsidP="00931E92">
            <w:pPr>
              <w:tabs>
                <w:tab w:val="left" w:pos="1701"/>
              </w:tabs>
              <w:rPr>
                <w:bCs/>
                <w:snapToGrid w:val="0"/>
                <w:sz w:val="22"/>
                <w:szCs w:val="22"/>
              </w:rPr>
            </w:pPr>
          </w:p>
        </w:tc>
      </w:tr>
      <w:tr w:rsidR="004F7A9F" w:rsidRPr="005B7BE9" w14:paraId="3BC26B06" w14:textId="77777777" w:rsidTr="00165402">
        <w:tc>
          <w:tcPr>
            <w:tcW w:w="567" w:type="dxa"/>
          </w:tcPr>
          <w:p w14:paraId="0C271127" w14:textId="0588C4B4" w:rsidR="004F7A9F" w:rsidRPr="005B7BE9" w:rsidRDefault="004F7A9F" w:rsidP="00C5706E">
            <w:pPr>
              <w:tabs>
                <w:tab w:val="left" w:pos="1701"/>
              </w:tabs>
              <w:rPr>
                <w:b/>
                <w:snapToGrid w:val="0"/>
                <w:sz w:val="22"/>
                <w:szCs w:val="22"/>
              </w:rPr>
            </w:pPr>
            <w:r w:rsidRPr="005B7BE9">
              <w:rPr>
                <w:b/>
                <w:snapToGrid w:val="0"/>
                <w:sz w:val="22"/>
                <w:szCs w:val="22"/>
              </w:rPr>
              <w:t>§ 6</w:t>
            </w:r>
          </w:p>
          <w:p w14:paraId="1578D9DC" w14:textId="01393EB3" w:rsidR="004F7A9F" w:rsidRPr="005B7BE9" w:rsidRDefault="004F7A9F" w:rsidP="00C5706E">
            <w:pPr>
              <w:tabs>
                <w:tab w:val="left" w:pos="1701"/>
              </w:tabs>
              <w:rPr>
                <w:b/>
                <w:snapToGrid w:val="0"/>
                <w:sz w:val="22"/>
                <w:szCs w:val="22"/>
              </w:rPr>
            </w:pPr>
          </w:p>
        </w:tc>
        <w:tc>
          <w:tcPr>
            <w:tcW w:w="6946" w:type="dxa"/>
            <w:gridSpan w:val="2"/>
          </w:tcPr>
          <w:p w14:paraId="50A9E533" w14:textId="04EE7A66" w:rsidR="00030B85" w:rsidRDefault="00030B85" w:rsidP="00030B85">
            <w:pPr>
              <w:tabs>
                <w:tab w:val="left" w:pos="1701"/>
              </w:tabs>
              <w:rPr>
                <w:b/>
                <w:snapToGrid w:val="0"/>
                <w:sz w:val="22"/>
                <w:szCs w:val="22"/>
              </w:rPr>
            </w:pPr>
            <w:r w:rsidRPr="005B7BE9">
              <w:rPr>
                <w:b/>
                <w:snapToGrid w:val="0"/>
                <w:sz w:val="22"/>
                <w:szCs w:val="22"/>
              </w:rPr>
              <w:t>Justering av protokoll</w:t>
            </w:r>
          </w:p>
          <w:p w14:paraId="4BDA3CB2" w14:textId="0E5767DC" w:rsidR="005B7BE9" w:rsidRDefault="005B7BE9" w:rsidP="00030B85">
            <w:pPr>
              <w:tabs>
                <w:tab w:val="left" w:pos="1701"/>
              </w:tabs>
              <w:rPr>
                <w:b/>
                <w:snapToGrid w:val="0"/>
                <w:sz w:val="22"/>
                <w:szCs w:val="22"/>
              </w:rPr>
            </w:pPr>
          </w:p>
          <w:p w14:paraId="4A382BAD" w14:textId="4742029B" w:rsidR="005B7BE9" w:rsidRPr="005B7BE9" w:rsidRDefault="005B7BE9" w:rsidP="00030B85">
            <w:pPr>
              <w:tabs>
                <w:tab w:val="left" w:pos="1701"/>
              </w:tabs>
              <w:rPr>
                <w:bCs/>
                <w:snapToGrid w:val="0"/>
                <w:sz w:val="22"/>
                <w:szCs w:val="22"/>
              </w:rPr>
            </w:pPr>
            <w:r w:rsidRPr="005B7BE9">
              <w:rPr>
                <w:bCs/>
                <w:snapToGrid w:val="0"/>
                <w:sz w:val="22"/>
                <w:szCs w:val="22"/>
              </w:rPr>
              <w:t>Utskottet justerade protokoll 2023/24:14</w:t>
            </w:r>
            <w:r>
              <w:rPr>
                <w:bCs/>
                <w:snapToGrid w:val="0"/>
                <w:sz w:val="22"/>
                <w:szCs w:val="22"/>
              </w:rPr>
              <w:t>.</w:t>
            </w:r>
          </w:p>
          <w:p w14:paraId="584A76F5" w14:textId="77777777" w:rsidR="004F7A9F" w:rsidRPr="005B7BE9" w:rsidRDefault="004F7A9F" w:rsidP="00931E92">
            <w:pPr>
              <w:tabs>
                <w:tab w:val="left" w:pos="1701"/>
              </w:tabs>
              <w:rPr>
                <w:b/>
                <w:snapToGrid w:val="0"/>
                <w:sz w:val="22"/>
                <w:szCs w:val="22"/>
              </w:rPr>
            </w:pPr>
          </w:p>
        </w:tc>
      </w:tr>
      <w:tr w:rsidR="004F7A9F" w:rsidRPr="005B7BE9" w14:paraId="1EE474E2" w14:textId="77777777" w:rsidTr="00165402">
        <w:tc>
          <w:tcPr>
            <w:tcW w:w="567" w:type="dxa"/>
          </w:tcPr>
          <w:p w14:paraId="0E1BDAB2" w14:textId="77777777" w:rsidR="004F7A9F" w:rsidRPr="005B7BE9" w:rsidRDefault="004F7A9F" w:rsidP="00C5706E">
            <w:pPr>
              <w:tabs>
                <w:tab w:val="left" w:pos="1701"/>
              </w:tabs>
              <w:rPr>
                <w:b/>
                <w:snapToGrid w:val="0"/>
                <w:sz w:val="22"/>
                <w:szCs w:val="22"/>
              </w:rPr>
            </w:pPr>
            <w:r w:rsidRPr="005B7BE9">
              <w:rPr>
                <w:b/>
                <w:snapToGrid w:val="0"/>
                <w:sz w:val="22"/>
                <w:szCs w:val="22"/>
              </w:rPr>
              <w:t>§ 7</w:t>
            </w:r>
          </w:p>
          <w:p w14:paraId="1F7E30A0" w14:textId="2B704BE2" w:rsidR="004F7A9F" w:rsidRPr="005B7BE9" w:rsidRDefault="004F7A9F" w:rsidP="00C5706E">
            <w:pPr>
              <w:tabs>
                <w:tab w:val="left" w:pos="1701"/>
              </w:tabs>
              <w:rPr>
                <w:b/>
                <w:snapToGrid w:val="0"/>
                <w:sz w:val="22"/>
                <w:szCs w:val="22"/>
              </w:rPr>
            </w:pPr>
          </w:p>
        </w:tc>
        <w:tc>
          <w:tcPr>
            <w:tcW w:w="6946" w:type="dxa"/>
            <w:gridSpan w:val="2"/>
          </w:tcPr>
          <w:p w14:paraId="568C8527" w14:textId="4A6AD56A" w:rsidR="004F7A9F" w:rsidRDefault="00030B85" w:rsidP="00931E92">
            <w:pPr>
              <w:tabs>
                <w:tab w:val="left" w:pos="1701"/>
              </w:tabs>
              <w:rPr>
                <w:b/>
                <w:bCs/>
                <w:sz w:val="22"/>
                <w:szCs w:val="22"/>
              </w:rPr>
            </w:pPr>
            <w:r w:rsidRPr="005B7BE9">
              <w:rPr>
                <w:b/>
                <w:bCs/>
                <w:sz w:val="22"/>
                <w:szCs w:val="22"/>
              </w:rPr>
              <w:t>Förslag till Europaparlamentets och rådets förordning om förebyggande av förluster av plastpellets i syfte att minska mikroplastförorening</w:t>
            </w:r>
          </w:p>
          <w:p w14:paraId="7F8A2CEE" w14:textId="23C006B6" w:rsidR="005B7BE9" w:rsidRDefault="005B7BE9" w:rsidP="00931E92">
            <w:pPr>
              <w:tabs>
                <w:tab w:val="left" w:pos="1701"/>
              </w:tabs>
              <w:rPr>
                <w:b/>
                <w:bCs/>
                <w:sz w:val="22"/>
                <w:szCs w:val="22"/>
              </w:rPr>
            </w:pPr>
          </w:p>
          <w:p w14:paraId="39F9AB10" w14:textId="77777777" w:rsidR="00BE30B5" w:rsidRPr="00F43C0B" w:rsidRDefault="00BE30B5" w:rsidP="00BE30B5">
            <w:pPr>
              <w:tabs>
                <w:tab w:val="left" w:pos="1701"/>
              </w:tabs>
              <w:rPr>
                <w:bCs/>
                <w:snapToGrid w:val="0"/>
                <w:sz w:val="22"/>
                <w:szCs w:val="22"/>
              </w:rPr>
            </w:pPr>
            <w:r w:rsidRPr="00F43C0B">
              <w:rPr>
                <w:bCs/>
                <w:snapToGrid w:val="0"/>
                <w:sz w:val="22"/>
                <w:szCs w:val="22"/>
              </w:rPr>
              <w:t xml:space="preserve">Utskottet inledde subsidiaritetsprövningen av </w:t>
            </w:r>
            <w:proofErr w:type="gramStart"/>
            <w:r w:rsidRPr="00F43C0B">
              <w:rPr>
                <w:bCs/>
                <w:snapToGrid w:val="0"/>
                <w:sz w:val="22"/>
                <w:szCs w:val="22"/>
              </w:rPr>
              <w:t>COM(</w:t>
            </w:r>
            <w:proofErr w:type="gramEnd"/>
            <w:r w:rsidRPr="00F43C0B">
              <w:rPr>
                <w:bCs/>
                <w:snapToGrid w:val="0"/>
                <w:sz w:val="22"/>
                <w:szCs w:val="22"/>
              </w:rPr>
              <w:t>2023) 64</w:t>
            </w:r>
            <w:r>
              <w:rPr>
                <w:bCs/>
                <w:snapToGrid w:val="0"/>
                <w:sz w:val="22"/>
                <w:szCs w:val="22"/>
              </w:rPr>
              <w:t>5</w:t>
            </w:r>
            <w:r w:rsidRPr="00F43C0B">
              <w:rPr>
                <w:bCs/>
                <w:snapToGrid w:val="0"/>
                <w:sz w:val="22"/>
                <w:szCs w:val="22"/>
              </w:rPr>
              <w:t>.</w:t>
            </w:r>
          </w:p>
          <w:p w14:paraId="3A24463A" w14:textId="77777777" w:rsidR="00BE30B5" w:rsidRPr="00F43C0B" w:rsidRDefault="00BE30B5" w:rsidP="00BE30B5">
            <w:pPr>
              <w:tabs>
                <w:tab w:val="left" w:pos="1701"/>
              </w:tabs>
              <w:rPr>
                <w:bCs/>
                <w:snapToGrid w:val="0"/>
                <w:sz w:val="22"/>
                <w:szCs w:val="22"/>
              </w:rPr>
            </w:pPr>
          </w:p>
          <w:p w14:paraId="1CA6E881" w14:textId="77777777" w:rsidR="00BE30B5" w:rsidRPr="002207DE" w:rsidRDefault="00BE30B5" w:rsidP="00BE30B5">
            <w:pPr>
              <w:tabs>
                <w:tab w:val="left" w:pos="1701"/>
              </w:tabs>
              <w:rPr>
                <w:bCs/>
                <w:snapToGrid w:val="0"/>
                <w:sz w:val="22"/>
                <w:szCs w:val="22"/>
              </w:rPr>
            </w:pPr>
            <w:r w:rsidRPr="002207DE">
              <w:rPr>
                <w:bCs/>
                <w:snapToGrid w:val="0"/>
                <w:sz w:val="22"/>
                <w:szCs w:val="22"/>
              </w:rPr>
              <w:t xml:space="preserve">Utskottet ansåg att förslaget inte strider mot subsidiaritetsprincipen. </w:t>
            </w:r>
          </w:p>
          <w:p w14:paraId="4A3250A3" w14:textId="77777777" w:rsidR="00BE30B5" w:rsidRPr="002207DE" w:rsidRDefault="00BE30B5" w:rsidP="00BE30B5">
            <w:pPr>
              <w:tabs>
                <w:tab w:val="left" w:pos="1701"/>
              </w:tabs>
              <w:rPr>
                <w:bCs/>
                <w:snapToGrid w:val="0"/>
                <w:sz w:val="22"/>
                <w:szCs w:val="22"/>
              </w:rPr>
            </w:pPr>
          </w:p>
          <w:p w14:paraId="401D1F9A" w14:textId="77777777" w:rsidR="00030B85" w:rsidRDefault="00BE30B5" w:rsidP="00BE30B5">
            <w:pPr>
              <w:tabs>
                <w:tab w:val="left" w:pos="1701"/>
              </w:tabs>
              <w:rPr>
                <w:bCs/>
                <w:snapToGrid w:val="0"/>
                <w:sz w:val="22"/>
                <w:szCs w:val="22"/>
              </w:rPr>
            </w:pPr>
            <w:r w:rsidRPr="002207DE">
              <w:rPr>
                <w:bCs/>
                <w:snapToGrid w:val="0"/>
                <w:sz w:val="22"/>
                <w:szCs w:val="22"/>
              </w:rPr>
              <w:t>Denna paragraf förklarades omedelbart justerad.</w:t>
            </w:r>
          </w:p>
          <w:p w14:paraId="471C2C83" w14:textId="6AD67396" w:rsidR="001B4C64" w:rsidRPr="005B7BE9" w:rsidRDefault="001B4C64" w:rsidP="00BE30B5">
            <w:pPr>
              <w:tabs>
                <w:tab w:val="left" w:pos="1701"/>
              </w:tabs>
              <w:rPr>
                <w:b/>
                <w:snapToGrid w:val="0"/>
                <w:sz w:val="22"/>
                <w:szCs w:val="22"/>
              </w:rPr>
            </w:pPr>
          </w:p>
        </w:tc>
      </w:tr>
      <w:tr w:rsidR="004F7A9F" w:rsidRPr="005B7BE9" w14:paraId="12ACBF43" w14:textId="77777777" w:rsidTr="00165402">
        <w:tc>
          <w:tcPr>
            <w:tcW w:w="567" w:type="dxa"/>
          </w:tcPr>
          <w:p w14:paraId="1C366C52" w14:textId="77777777" w:rsidR="004F7A9F" w:rsidRPr="005B7BE9" w:rsidRDefault="004F7A9F" w:rsidP="00C5706E">
            <w:pPr>
              <w:tabs>
                <w:tab w:val="left" w:pos="1701"/>
              </w:tabs>
              <w:rPr>
                <w:b/>
                <w:snapToGrid w:val="0"/>
                <w:sz w:val="22"/>
                <w:szCs w:val="22"/>
              </w:rPr>
            </w:pPr>
            <w:r w:rsidRPr="005B7BE9">
              <w:rPr>
                <w:b/>
                <w:snapToGrid w:val="0"/>
                <w:sz w:val="22"/>
                <w:szCs w:val="22"/>
              </w:rPr>
              <w:t>§ 8</w:t>
            </w:r>
          </w:p>
          <w:p w14:paraId="5CC0C304" w14:textId="5DA19DFA" w:rsidR="004F7A9F" w:rsidRPr="005B7BE9" w:rsidRDefault="004F7A9F" w:rsidP="00C5706E">
            <w:pPr>
              <w:tabs>
                <w:tab w:val="left" w:pos="1701"/>
              </w:tabs>
              <w:rPr>
                <w:b/>
                <w:snapToGrid w:val="0"/>
                <w:sz w:val="22"/>
                <w:szCs w:val="22"/>
              </w:rPr>
            </w:pPr>
          </w:p>
        </w:tc>
        <w:tc>
          <w:tcPr>
            <w:tcW w:w="6946" w:type="dxa"/>
            <w:gridSpan w:val="2"/>
          </w:tcPr>
          <w:p w14:paraId="10F3D1F8" w14:textId="27C39C6D" w:rsidR="00030B85" w:rsidRDefault="00030B85" w:rsidP="00030B85">
            <w:pPr>
              <w:widowControl/>
              <w:spacing w:after="200" w:line="280" w:lineRule="exact"/>
              <w:rPr>
                <w:b/>
                <w:bCs/>
                <w:sz w:val="22"/>
                <w:szCs w:val="22"/>
              </w:rPr>
            </w:pPr>
            <w:r w:rsidRPr="005B7BE9">
              <w:rPr>
                <w:b/>
                <w:bCs/>
                <w:sz w:val="22"/>
                <w:szCs w:val="22"/>
              </w:rPr>
              <w:t>Inkomna EU-dokument</w:t>
            </w:r>
          </w:p>
          <w:p w14:paraId="4F935CAF" w14:textId="7252E631" w:rsidR="00BE30B5" w:rsidRDefault="00BE30B5" w:rsidP="00BE30B5">
            <w:pPr>
              <w:widowControl/>
              <w:spacing w:after="200" w:line="280" w:lineRule="exact"/>
              <w:rPr>
                <w:snapToGrid w:val="0"/>
                <w:sz w:val="22"/>
                <w:szCs w:val="22"/>
              </w:rPr>
            </w:pPr>
            <w:r w:rsidRPr="00CC7A3F">
              <w:rPr>
                <w:snapToGrid w:val="0"/>
                <w:sz w:val="22"/>
                <w:szCs w:val="22"/>
              </w:rPr>
              <w:t>En sammanställning över EU-dokument som inkommit under</w:t>
            </w:r>
            <w:r w:rsidR="00253506">
              <w:rPr>
                <w:snapToGrid w:val="0"/>
                <w:sz w:val="22"/>
                <w:szCs w:val="22"/>
              </w:rPr>
              <w:t xml:space="preserve"> perioden</w:t>
            </w:r>
            <w:r w:rsidRPr="00CC7A3F">
              <w:rPr>
                <w:snapToGrid w:val="0"/>
                <w:sz w:val="22"/>
                <w:szCs w:val="22"/>
              </w:rPr>
              <w:t xml:space="preserve"> </w:t>
            </w:r>
            <w:r w:rsidR="00685D7C">
              <w:rPr>
                <w:snapToGrid w:val="0"/>
                <w:sz w:val="22"/>
                <w:szCs w:val="22"/>
              </w:rPr>
              <w:t xml:space="preserve">         </w:t>
            </w:r>
            <w:r>
              <w:rPr>
                <w:snapToGrid w:val="0"/>
                <w:sz w:val="22"/>
                <w:szCs w:val="22"/>
              </w:rPr>
              <w:t>7 november –</w:t>
            </w:r>
            <w:r w:rsidR="00253506">
              <w:rPr>
                <w:snapToGrid w:val="0"/>
                <w:sz w:val="22"/>
                <w:szCs w:val="22"/>
              </w:rPr>
              <w:t xml:space="preserve"> </w:t>
            </w:r>
            <w:r>
              <w:rPr>
                <w:snapToGrid w:val="0"/>
                <w:sz w:val="22"/>
                <w:szCs w:val="22"/>
              </w:rPr>
              <w:t>4 december</w:t>
            </w:r>
            <w:r w:rsidRPr="00CC7A3F">
              <w:rPr>
                <w:snapToGrid w:val="0"/>
                <w:sz w:val="22"/>
                <w:szCs w:val="22"/>
              </w:rPr>
              <w:t xml:space="preserve"> 2023 anmäldes. </w:t>
            </w:r>
          </w:p>
          <w:p w14:paraId="63577658" w14:textId="77777777" w:rsidR="00BE30B5" w:rsidRDefault="00BE30B5" w:rsidP="00BE30B5">
            <w:pPr>
              <w:rPr>
                <w:snapToGrid w:val="0"/>
                <w:sz w:val="22"/>
                <w:szCs w:val="22"/>
              </w:rPr>
            </w:pPr>
            <w:r w:rsidRPr="00B63316">
              <w:rPr>
                <w:snapToGrid w:val="0"/>
                <w:sz w:val="22"/>
                <w:szCs w:val="22"/>
              </w:rPr>
              <w:t xml:space="preserve">Utskottet beslutade enligt 7 kap. 12 § RO att begära överläggning med regeringen, </w:t>
            </w:r>
            <w:r w:rsidRPr="00CC7A3F">
              <w:rPr>
                <w:snapToGrid w:val="0"/>
                <w:sz w:val="22"/>
                <w:szCs w:val="22"/>
              </w:rPr>
              <w:t>Landsbygds- och infrastrukturdepartementet</w:t>
            </w:r>
            <w:r w:rsidRPr="00B63316">
              <w:rPr>
                <w:snapToGrid w:val="0"/>
                <w:sz w:val="22"/>
                <w:szCs w:val="22"/>
              </w:rPr>
              <w:t>, om</w:t>
            </w:r>
          </w:p>
          <w:p w14:paraId="2D6406D4" w14:textId="77777777" w:rsidR="00BE30B5" w:rsidRDefault="00BE30B5" w:rsidP="00BE30B5">
            <w:pPr>
              <w:rPr>
                <w:snapToGrid w:val="0"/>
                <w:sz w:val="22"/>
                <w:szCs w:val="22"/>
              </w:rPr>
            </w:pPr>
          </w:p>
          <w:p w14:paraId="7166CC54" w14:textId="77777777" w:rsidR="00BE30B5" w:rsidRPr="009B796C" w:rsidRDefault="00BE30B5" w:rsidP="00BE30B5">
            <w:pPr>
              <w:rPr>
                <w:snapToGrid w:val="0"/>
                <w:sz w:val="22"/>
                <w:szCs w:val="22"/>
              </w:rPr>
            </w:pPr>
            <w:proofErr w:type="gramStart"/>
            <w:r w:rsidRPr="009B796C">
              <w:rPr>
                <w:snapToGrid w:val="0"/>
                <w:sz w:val="22"/>
                <w:szCs w:val="22"/>
              </w:rPr>
              <w:t>COM(</w:t>
            </w:r>
            <w:proofErr w:type="gramEnd"/>
            <w:r w:rsidRPr="009B796C">
              <w:rPr>
                <w:snapToGrid w:val="0"/>
                <w:sz w:val="22"/>
                <w:szCs w:val="22"/>
              </w:rPr>
              <w:t xml:space="preserve">2023) 727 </w:t>
            </w:r>
            <w:r w:rsidRPr="007053DD">
              <w:rPr>
                <w:sz w:val="22"/>
                <w:szCs w:val="22"/>
              </w:rPr>
              <w:t>Förslag till Europaparlamentets och rådets beslut om ändring av rådets beslut 89/367/EEG om inrättande av en ständig kommitté för skogsbruk</w:t>
            </w:r>
            <w:r w:rsidRPr="007053DD">
              <w:rPr>
                <w:sz w:val="22"/>
                <w:szCs w:val="22"/>
              </w:rPr>
              <w:br/>
            </w:r>
          </w:p>
          <w:p w14:paraId="0FB9A024" w14:textId="77777777" w:rsidR="00BE30B5" w:rsidRPr="009B796C" w:rsidRDefault="00BE30B5" w:rsidP="00BE30B5">
            <w:pPr>
              <w:rPr>
                <w:snapToGrid w:val="0"/>
                <w:sz w:val="22"/>
                <w:szCs w:val="22"/>
                <w:lang w:val="en-GB"/>
              </w:rPr>
            </w:pPr>
            <w:r w:rsidRPr="009B796C">
              <w:rPr>
                <w:snapToGrid w:val="0"/>
                <w:sz w:val="22"/>
                <w:szCs w:val="22"/>
                <w:lang w:val="en-GB"/>
              </w:rPr>
              <w:t>och</w:t>
            </w:r>
          </w:p>
          <w:p w14:paraId="5F412EA9" w14:textId="77777777" w:rsidR="00BE30B5" w:rsidRPr="009B796C" w:rsidRDefault="00BE30B5" w:rsidP="00BE30B5">
            <w:pPr>
              <w:rPr>
                <w:snapToGrid w:val="0"/>
                <w:sz w:val="22"/>
                <w:szCs w:val="22"/>
                <w:lang w:val="en-GB"/>
              </w:rPr>
            </w:pPr>
          </w:p>
          <w:p w14:paraId="62A80254" w14:textId="77777777" w:rsidR="00BE30B5" w:rsidRPr="009B796C" w:rsidRDefault="00BE30B5" w:rsidP="00BE30B5">
            <w:pPr>
              <w:rPr>
                <w:snapToGrid w:val="0"/>
                <w:sz w:val="22"/>
                <w:szCs w:val="22"/>
                <w:lang w:val="en-GB"/>
              </w:rPr>
            </w:pPr>
            <w:proofErr w:type="gramStart"/>
            <w:r w:rsidRPr="009B796C">
              <w:rPr>
                <w:snapToGrid w:val="0"/>
                <w:sz w:val="22"/>
                <w:szCs w:val="22"/>
                <w:lang w:val="en-GB"/>
              </w:rPr>
              <w:t>COM(</w:t>
            </w:r>
            <w:proofErr w:type="gramEnd"/>
            <w:r w:rsidRPr="009B796C">
              <w:rPr>
                <w:snapToGrid w:val="0"/>
                <w:sz w:val="22"/>
                <w:szCs w:val="22"/>
                <w:lang w:val="en-GB"/>
              </w:rPr>
              <w:t xml:space="preserve">2023) 728 Proposal for a </w:t>
            </w:r>
            <w:r>
              <w:rPr>
                <w:snapToGrid w:val="0"/>
                <w:sz w:val="22"/>
                <w:szCs w:val="22"/>
                <w:lang w:val="en-GB"/>
              </w:rPr>
              <w:t>regulation of the European parliament and of the Council</w:t>
            </w:r>
            <w:r w:rsidRPr="009B796C">
              <w:rPr>
                <w:snapToGrid w:val="0"/>
                <w:sz w:val="22"/>
                <w:szCs w:val="22"/>
                <w:lang w:val="en-GB"/>
              </w:rPr>
              <w:t xml:space="preserve"> on a monitoring framework for resilient European forests</w:t>
            </w:r>
          </w:p>
          <w:p w14:paraId="626E30CC" w14:textId="77777777" w:rsidR="00BE30B5" w:rsidRPr="009B796C" w:rsidRDefault="00BE30B5" w:rsidP="00BE30B5">
            <w:pPr>
              <w:rPr>
                <w:snapToGrid w:val="0"/>
                <w:sz w:val="22"/>
                <w:szCs w:val="22"/>
                <w:lang w:val="en-GB"/>
              </w:rPr>
            </w:pPr>
          </w:p>
          <w:p w14:paraId="3852EB9C" w14:textId="77777777" w:rsidR="00BE30B5" w:rsidRDefault="00BE30B5" w:rsidP="00BE30B5">
            <w:pPr>
              <w:rPr>
                <w:snapToGrid w:val="0"/>
                <w:sz w:val="22"/>
                <w:szCs w:val="22"/>
              </w:rPr>
            </w:pPr>
            <w:r w:rsidRPr="00984749">
              <w:rPr>
                <w:snapToGrid w:val="0"/>
                <w:sz w:val="22"/>
                <w:szCs w:val="22"/>
              </w:rPr>
              <w:t>Denna</w:t>
            </w:r>
            <w:r w:rsidRPr="009B6AF9">
              <w:rPr>
                <w:snapToGrid w:val="0"/>
                <w:sz w:val="22"/>
                <w:szCs w:val="22"/>
              </w:rPr>
              <w:t xml:space="preserve"> paragraf förklarades omedelbart justerad.</w:t>
            </w:r>
          </w:p>
          <w:p w14:paraId="6A066710" w14:textId="77777777" w:rsidR="004F7A9F" w:rsidRPr="005B7BE9" w:rsidRDefault="004F7A9F" w:rsidP="00931E92">
            <w:pPr>
              <w:tabs>
                <w:tab w:val="left" w:pos="1701"/>
              </w:tabs>
              <w:rPr>
                <w:b/>
                <w:snapToGrid w:val="0"/>
                <w:sz w:val="22"/>
                <w:szCs w:val="22"/>
              </w:rPr>
            </w:pPr>
          </w:p>
        </w:tc>
      </w:tr>
      <w:tr w:rsidR="004F7A9F" w:rsidRPr="005B7BE9" w14:paraId="6EA220CF" w14:textId="77777777" w:rsidTr="00165402">
        <w:tc>
          <w:tcPr>
            <w:tcW w:w="567" w:type="dxa"/>
          </w:tcPr>
          <w:p w14:paraId="4E5DBFD8" w14:textId="71283EEE" w:rsidR="004F7A9F" w:rsidRPr="005B7BE9" w:rsidRDefault="00030B85" w:rsidP="00C5706E">
            <w:pPr>
              <w:tabs>
                <w:tab w:val="left" w:pos="1701"/>
              </w:tabs>
              <w:rPr>
                <w:b/>
                <w:snapToGrid w:val="0"/>
                <w:sz w:val="22"/>
                <w:szCs w:val="22"/>
              </w:rPr>
            </w:pPr>
            <w:r w:rsidRPr="005B7BE9">
              <w:rPr>
                <w:b/>
                <w:snapToGrid w:val="0"/>
                <w:sz w:val="22"/>
                <w:szCs w:val="22"/>
              </w:rPr>
              <w:t>§ 9</w:t>
            </w:r>
          </w:p>
        </w:tc>
        <w:tc>
          <w:tcPr>
            <w:tcW w:w="6946" w:type="dxa"/>
            <w:gridSpan w:val="2"/>
          </w:tcPr>
          <w:p w14:paraId="3E16A0AF" w14:textId="77777777" w:rsidR="00030B85" w:rsidRPr="005B7BE9" w:rsidRDefault="00030B85" w:rsidP="00030B85">
            <w:pPr>
              <w:widowControl/>
              <w:spacing w:after="200" w:line="280" w:lineRule="exact"/>
              <w:rPr>
                <w:b/>
                <w:sz w:val="22"/>
                <w:szCs w:val="22"/>
              </w:rPr>
            </w:pPr>
            <w:r w:rsidRPr="005B7BE9">
              <w:rPr>
                <w:b/>
                <w:bCs/>
                <w:sz w:val="22"/>
                <w:szCs w:val="22"/>
              </w:rPr>
              <w:t>Beslut angående delegationer till långresor</w:t>
            </w:r>
          </w:p>
          <w:p w14:paraId="24677307" w14:textId="00C0C43D" w:rsidR="00030B85" w:rsidRPr="00F52993" w:rsidRDefault="00F52993" w:rsidP="00931E92">
            <w:pPr>
              <w:tabs>
                <w:tab w:val="left" w:pos="1701"/>
              </w:tabs>
              <w:rPr>
                <w:bCs/>
                <w:snapToGrid w:val="0"/>
                <w:sz w:val="22"/>
                <w:szCs w:val="22"/>
              </w:rPr>
            </w:pPr>
            <w:r w:rsidRPr="00F52993">
              <w:rPr>
                <w:bCs/>
                <w:snapToGrid w:val="0"/>
                <w:sz w:val="22"/>
                <w:szCs w:val="22"/>
              </w:rPr>
              <w:t>Frågan om delegationer till utskottets långresor diskuterades.</w:t>
            </w:r>
            <w:r w:rsidRPr="00F52993">
              <w:rPr>
                <w:bCs/>
                <w:snapToGrid w:val="0"/>
                <w:sz w:val="22"/>
                <w:szCs w:val="22"/>
              </w:rPr>
              <w:br/>
            </w:r>
            <w:r w:rsidRPr="00F52993">
              <w:rPr>
                <w:bCs/>
                <w:snapToGrid w:val="0"/>
                <w:sz w:val="22"/>
                <w:szCs w:val="22"/>
              </w:rPr>
              <w:br/>
              <w:t>Frågan bordlades.</w:t>
            </w:r>
          </w:p>
          <w:p w14:paraId="7D9595D6" w14:textId="6FB68460" w:rsidR="002E5281" w:rsidRPr="005B7BE9" w:rsidRDefault="002E5281" w:rsidP="00931E92">
            <w:pPr>
              <w:tabs>
                <w:tab w:val="left" w:pos="1701"/>
              </w:tabs>
              <w:rPr>
                <w:b/>
                <w:snapToGrid w:val="0"/>
                <w:sz w:val="22"/>
                <w:szCs w:val="22"/>
              </w:rPr>
            </w:pPr>
          </w:p>
        </w:tc>
      </w:tr>
      <w:tr w:rsidR="00D87D66" w:rsidRPr="005B7BE9" w14:paraId="55FDDA9F" w14:textId="77777777" w:rsidTr="00C5706E">
        <w:tc>
          <w:tcPr>
            <w:tcW w:w="567" w:type="dxa"/>
          </w:tcPr>
          <w:p w14:paraId="6292CA22" w14:textId="27B2F973" w:rsidR="00D87D66" w:rsidRPr="005B7BE9" w:rsidRDefault="00D87D66" w:rsidP="00C5706E">
            <w:pPr>
              <w:tabs>
                <w:tab w:val="left" w:pos="1701"/>
              </w:tabs>
              <w:rPr>
                <w:b/>
                <w:snapToGrid w:val="0"/>
                <w:sz w:val="22"/>
                <w:szCs w:val="22"/>
              </w:rPr>
            </w:pPr>
            <w:r w:rsidRPr="005B7BE9">
              <w:rPr>
                <w:b/>
                <w:snapToGrid w:val="0"/>
                <w:sz w:val="22"/>
                <w:szCs w:val="22"/>
              </w:rPr>
              <w:t>§</w:t>
            </w:r>
            <w:r w:rsidR="006A1878">
              <w:rPr>
                <w:b/>
                <w:snapToGrid w:val="0"/>
                <w:sz w:val="22"/>
                <w:szCs w:val="22"/>
              </w:rPr>
              <w:t xml:space="preserve"> 10</w:t>
            </w:r>
            <w:r w:rsidRPr="005B7BE9">
              <w:rPr>
                <w:b/>
                <w:snapToGrid w:val="0"/>
                <w:sz w:val="22"/>
                <w:szCs w:val="22"/>
              </w:rPr>
              <w:t xml:space="preserve"> </w:t>
            </w:r>
          </w:p>
        </w:tc>
        <w:tc>
          <w:tcPr>
            <w:tcW w:w="6946" w:type="dxa"/>
            <w:gridSpan w:val="2"/>
          </w:tcPr>
          <w:p w14:paraId="34615E88" w14:textId="77777777" w:rsidR="00D87D66" w:rsidRPr="005B7BE9" w:rsidRDefault="005957E5" w:rsidP="002A14AC">
            <w:pPr>
              <w:rPr>
                <w:rFonts w:eastAsiaTheme="minorHAnsi"/>
                <w:bCs/>
                <w:color w:val="000000"/>
                <w:sz w:val="22"/>
                <w:szCs w:val="22"/>
                <w:lang w:eastAsia="en-US"/>
              </w:rPr>
            </w:pPr>
            <w:r w:rsidRPr="005B7BE9">
              <w:rPr>
                <w:b/>
                <w:bCs/>
                <w:color w:val="000000"/>
                <w:sz w:val="22"/>
                <w:szCs w:val="22"/>
              </w:rPr>
              <w:t>Nästa sammanträde</w:t>
            </w:r>
          </w:p>
          <w:p w14:paraId="16745BA1" w14:textId="77777777" w:rsidR="00D87D66" w:rsidRPr="005B7BE9" w:rsidRDefault="00D87D66" w:rsidP="002A14AC">
            <w:pPr>
              <w:rPr>
                <w:rFonts w:eastAsiaTheme="minorHAnsi"/>
                <w:bCs/>
                <w:color w:val="000000"/>
                <w:sz w:val="22"/>
                <w:szCs w:val="22"/>
                <w:lang w:eastAsia="en-US"/>
              </w:rPr>
            </w:pPr>
          </w:p>
          <w:p w14:paraId="08EBE943" w14:textId="256A4BD0" w:rsidR="005957E5" w:rsidRPr="005B7BE9" w:rsidRDefault="005957E5" w:rsidP="002A14AC">
            <w:pPr>
              <w:rPr>
                <w:snapToGrid w:val="0"/>
                <w:sz w:val="22"/>
                <w:szCs w:val="22"/>
              </w:rPr>
            </w:pPr>
            <w:r w:rsidRPr="005B7BE9">
              <w:rPr>
                <w:snapToGrid w:val="0"/>
                <w:sz w:val="22"/>
                <w:szCs w:val="22"/>
              </w:rPr>
              <w:t xml:space="preserve">Nästa sammanträde äger rum </w:t>
            </w:r>
            <w:r w:rsidR="008E6B40" w:rsidRPr="005B7BE9">
              <w:rPr>
                <w:snapToGrid w:val="0"/>
                <w:sz w:val="22"/>
                <w:szCs w:val="22"/>
              </w:rPr>
              <w:t>tors</w:t>
            </w:r>
            <w:r w:rsidRPr="005B7BE9">
              <w:rPr>
                <w:snapToGrid w:val="0"/>
                <w:sz w:val="22"/>
                <w:szCs w:val="22"/>
              </w:rPr>
              <w:t>dagen den</w:t>
            </w:r>
            <w:r w:rsidR="008E6B40" w:rsidRPr="005B7BE9">
              <w:rPr>
                <w:snapToGrid w:val="0"/>
                <w:sz w:val="22"/>
                <w:szCs w:val="22"/>
              </w:rPr>
              <w:t xml:space="preserve"> </w:t>
            </w:r>
            <w:r w:rsidR="00DD480C" w:rsidRPr="005B7BE9">
              <w:rPr>
                <w:snapToGrid w:val="0"/>
                <w:sz w:val="22"/>
                <w:szCs w:val="22"/>
              </w:rPr>
              <w:t>14</w:t>
            </w:r>
            <w:r w:rsidR="00931E92" w:rsidRPr="005B7BE9">
              <w:rPr>
                <w:snapToGrid w:val="0"/>
                <w:sz w:val="22"/>
                <w:szCs w:val="22"/>
              </w:rPr>
              <w:t xml:space="preserve"> </w:t>
            </w:r>
            <w:r w:rsidR="004F7A9F" w:rsidRPr="005B7BE9">
              <w:rPr>
                <w:snapToGrid w:val="0"/>
                <w:sz w:val="22"/>
                <w:szCs w:val="22"/>
              </w:rPr>
              <w:t>dec</w:t>
            </w:r>
            <w:r w:rsidR="00694BE5" w:rsidRPr="005B7BE9">
              <w:rPr>
                <w:snapToGrid w:val="0"/>
                <w:sz w:val="22"/>
                <w:szCs w:val="22"/>
              </w:rPr>
              <w:t>em</w:t>
            </w:r>
            <w:r w:rsidR="002625E6" w:rsidRPr="005B7BE9">
              <w:rPr>
                <w:snapToGrid w:val="0"/>
                <w:sz w:val="22"/>
                <w:szCs w:val="22"/>
              </w:rPr>
              <w:t>b</w:t>
            </w:r>
            <w:r w:rsidR="006B11A4" w:rsidRPr="005B7BE9">
              <w:rPr>
                <w:snapToGrid w:val="0"/>
                <w:sz w:val="22"/>
                <w:szCs w:val="22"/>
              </w:rPr>
              <w:t>er</w:t>
            </w:r>
            <w:r w:rsidR="00CB71B9" w:rsidRPr="005B7BE9">
              <w:rPr>
                <w:snapToGrid w:val="0"/>
                <w:sz w:val="22"/>
                <w:szCs w:val="22"/>
              </w:rPr>
              <w:t xml:space="preserve"> 202</w:t>
            </w:r>
            <w:r w:rsidR="00BE7A1B" w:rsidRPr="005B7BE9">
              <w:rPr>
                <w:snapToGrid w:val="0"/>
                <w:sz w:val="22"/>
                <w:szCs w:val="22"/>
              </w:rPr>
              <w:t>3</w:t>
            </w:r>
            <w:r w:rsidRPr="005B7BE9">
              <w:rPr>
                <w:snapToGrid w:val="0"/>
                <w:sz w:val="22"/>
                <w:szCs w:val="22"/>
              </w:rPr>
              <w:t xml:space="preserve"> kl. </w:t>
            </w:r>
            <w:r w:rsidR="002B3A62" w:rsidRPr="005B7BE9">
              <w:rPr>
                <w:snapToGrid w:val="0"/>
                <w:sz w:val="22"/>
                <w:szCs w:val="22"/>
              </w:rPr>
              <w:t>0</w:t>
            </w:r>
            <w:r w:rsidR="00030B85" w:rsidRPr="005B7BE9">
              <w:rPr>
                <w:snapToGrid w:val="0"/>
                <w:sz w:val="22"/>
                <w:szCs w:val="22"/>
              </w:rPr>
              <w:t>9</w:t>
            </w:r>
            <w:r w:rsidR="00B664F7" w:rsidRPr="005B7BE9">
              <w:rPr>
                <w:snapToGrid w:val="0"/>
                <w:sz w:val="22"/>
                <w:szCs w:val="22"/>
              </w:rPr>
              <w:t>.00</w:t>
            </w:r>
            <w:r w:rsidR="00DA2753" w:rsidRPr="005B7BE9">
              <w:rPr>
                <w:snapToGrid w:val="0"/>
                <w:sz w:val="22"/>
                <w:szCs w:val="22"/>
              </w:rPr>
              <w:t xml:space="preserve">. </w:t>
            </w:r>
          </w:p>
          <w:p w14:paraId="2888F77D" w14:textId="77777777" w:rsidR="005957E5" w:rsidRDefault="005957E5" w:rsidP="002A14AC">
            <w:pPr>
              <w:rPr>
                <w:rFonts w:eastAsiaTheme="minorHAnsi"/>
                <w:bCs/>
                <w:color w:val="000000"/>
                <w:sz w:val="22"/>
                <w:szCs w:val="22"/>
                <w:lang w:eastAsia="en-US"/>
              </w:rPr>
            </w:pPr>
          </w:p>
          <w:p w14:paraId="5E2594DB" w14:textId="77777777" w:rsidR="002E5281" w:rsidRDefault="002E5281" w:rsidP="002A14AC">
            <w:pPr>
              <w:rPr>
                <w:rFonts w:eastAsiaTheme="minorHAnsi"/>
                <w:bCs/>
                <w:color w:val="000000"/>
                <w:sz w:val="22"/>
                <w:szCs w:val="22"/>
                <w:lang w:eastAsia="en-US"/>
              </w:rPr>
            </w:pPr>
          </w:p>
          <w:p w14:paraId="5D60648A" w14:textId="298B4011" w:rsidR="002E5281" w:rsidRPr="005B7BE9" w:rsidRDefault="002E5281"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18186814" w:rsidR="00D5250E" w:rsidRDefault="00D5250E" w:rsidP="00D5250E">
            <w:pPr>
              <w:tabs>
                <w:tab w:val="left" w:pos="1701"/>
              </w:tabs>
              <w:rPr>
                <w:sz w:val="22"/>
                <w:szCs w:val="22"/>
              </w:rPr>
            </w:pPr>
          </w:p>
          <w:p w14:paraId="7B5D7CB0" w14:textId="4C855955" w:rsidR="006A1878" w:rsidRDefault="006A1878" w:rsidP="00D5250E">
            <w:pPr>
              <w:tabs>
                <w:tab w:val="left" w:pos="1701"/>
              </w:tabs>
              <w:rPr>
                <w:sz w:val="22"/>
                <w:szCs w:val="22"/>
              </w:rPr>
            </w:pPr>
          </w:p>
          <w:p w14:paraId="32C0F336" w14:textId="77777777" w:rsidR="006A1878" w:rsidRPr="00B40F4D" w:rsidRDefault="006A1878"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460A82E3" w14:textId="1C4C1DA0" w:rsidR="004F7A9F" w:rsidRDefault="004F7A9F" w:rsidP="00D5250E">
            <w:pPr>
              <w:tabs>
                <w:tab w:val="left" w:pos="1701"/>
              </w:tabs>
              <w:rPr>
                <w:sz w:val="22"/>
                <w:szCs w:val="22"/>
              </w:rPr>
            </w:pPr>
          </w:p>
          <w:p w14:paraId="6E496FB7" w14:textId="7C96FB39"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4F7A9F">
              <w:rPr>
                <w:sz w:val="22"/>
                <w:szCs w:val="22"/>
              </w:rPr>
              <w:t>14 dec</w:t>
            </w:r>
            <w:r w:rsidR="00694BE5">
              <w:rPr>
                <w:sz w:val="22"/>
                <w:szCs w:val="22"/>
              </w:rPr>
              <w:t>em</w:t>
            </w:r>
            <w:r w:rsidR="00931E92">
              <w:rPr>
                <w:sz w:val="22"/>
                <w:szCs w:val="22"/>
              </w:rPr>
              <w:t>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0827E6BF" w:rsidR="00D5250E" w:rsidRDefault="00D5250E" w:rsidP="00157E3A">
            <w:pPr>
              <w:tabs>
                <w:tab w:val="left" w:pos="1701"/>
              </w:tabs>
              <w:rPr>
                <w:b/>
                <w:sz w:val="22"/>
                <w:szCs w:val="22"/>
              </w:rPr>
            </w:pPr>
          </w:p>
          <w:p w14:paraId="7DCBE548" w14:textId="77777777" w:rsidR="00280D54" w:rsidRPr="00B40F4D" w:rsidRDefault="00280D54" w:rsidP="00157E3A">
            <w:pPr>
              <w:tabs>
                <w:tab w:val="left" w:pos="1701"/>
              </w:tabs>
              <w:rPr>
                <w:b/>
                <w:sz w:val="22"/>
                <w:szCs w:val="22"/>
              </w:rPr>
            </w:pPr>
          </w:p>
          <w:p w14:paraId="2F122FC0" w14:textId="1493E0E8" w:rsidR="00F143DB" w:rsidRPr="00280D54" w:rsidRDefault="00280D54" w:rsidP="00157E3A">
            <w:pPr>
              <w:tabs>
                <w:tab w:val="left" w:pos="1701"/>
              </w:tabs>
              <w:rPr>
                <w:bCs/>
                <w:sz w:val="22"/>
                <w:szCs w:val="22"/>
              </w:rPr>
            </w:pPr>
            <w:r w:rsidRPr="00280D54">
              <w:rPr>
                <w:bCs/>
                <w:sz w:val="22"/>
                <w:szCs w:val="22"/>
              </w:rPr>
              <w:t>Emma Nohrén</w:t>
            </w: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06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7"/>
        <w:gridCol w:w="426"/>
        <w:gridCol w:w="426"/>
        <w:gridCol w:w="426"/>
        <w:gridCol w:w="425"/>
        <w:gridCol w:w="425"/>
        <w:gridCol w:w="425"/>
        <w:gridCol w:w="426"/>
        <w:gridCol w:w="281"/>
        <w:gridCol w:w="144"/>
        <w:gridCol w:w="425"/>
        <w:gridCol w:w="425"/>
        <w:gridCol w:w="425"/>
        <w:gridCol w:w="426"/>
        <w:gridCol w:w="426"/>
        <w:gridCol w:w="426"/>
        <w:gridCol w:w="142"/>
      </w:tblGrid>
      <w:tr w:rsidR="0090587F" w:rsidRPr="00B40F4D" w14:paraId="0E4943FB" w14:textId="7BB8D726" w:rsidTr="00D2149C">
        <w:trPr>
          <w:gridAfter w:val="1"/>
          <w:wAfter w:w="142" w:type="dxa"/>
        </w:trPr>
        <w:tc>
          <w:tcPr>
            <w:tcW w:w="3967" w:type="dxa"/>
            <w:tcBorders>
              <w:top w:val="nil"/>
              <w:left w:val="nil"/>
              <w:bottom w:val="nil"/>
              <w:right w:val="nil"/>
            </w:tcBorders>
          </w:tcPr>
          <w:p w14:paraId="291CDA16" w14:textId="77777777" w:rsidR="0090587F" w:rsidRPr="00B40F4D" w:rsidRDefault="0090587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90587F" w:rsidRPr="00B40F4D" w:rsidRDefault="0090587F" w:rsidP="002B7AED">
            <w:pPr>
              <w:tabs>
                <w:tab w:val="left" w:pos="1701"/>
              </w:tabs>
              <w:rPr>
                <w:b/>
                <w:sz w:val="22"/>
                <w:szCs w:val="22"/>
              </w:rPr>
            </w:pPr>
            <w:r w:rsidRPr="00B40F4D">
              <w:rPr>
                <w:b/>
                <w:sz w:val="22"/>
                <w:szCs w:val="22"/>
              </w:rPr>
              <w:t>NÄRVAROFÖRTECKNING</w:t>
            </w:r>
          </w:p>
        </w:tc>
        <w:tc>
          <w:tcPr>
            <w:tcW w:w="2697" w:type="dxa"/>
            <w:gridSpan w:val="7"/>
            <w:tcBorders>
              <w:top w:val="nil"/>
              <w:left w:val="nil"/>
              <w:bottom w:val="nil"/>
              <w:right w:val="nil"/>
            </w:tcBorders>
          </w:tcPr>
          <w:p w14:paraId="5EFE2A54" w14:textId="44E8662D" w:rsidR="0090587F" w:rsidRPr="00B40F4D" w:rsidRDefault="0090587F" w:rsidP="002B7AED">
            <w:pPr>
              <w:tabs>
                <w:tab w:val="left" w:pos="1701"/>
              </w:tabs>
              <w:rPr>
                <w:sz w:val="22"/>
                <w:szCs w:val="22"/>
              </w:rPr>
            </w:pPr>
            <w:r>
              <w:rPr>
                <w:b/>
                <w:sz w:val="22"/>
                <w:szCs w:val="22"/>
              </w:rPr>
              <w:t xml:space="preserve">                   </w:t>
            </w:r>
            <w:r w:rsidRPr="00B40F4D">
              <w:rPr>
                <w:b/>
                <w:sz w:val="22"/>
                <w:szCs w:val="22"/>
              </w:rPr>
              <w:t xml:space="preserve">Bilaga 1 </w:t>
            </w:r>
            <w:r w:rsidRPr="00B40F4D">
              <w:rPr>
                <w:sz w:val="22"/>
                <w:szCs w:val="22"/>
              </w:rPr>
              <w:t xml:space="preserve">till </w:t>
            </w:r>
          </w:p>
          <w:p w14:paraId="7D22BA59" w14:textId="528937CA" w:rsidR="0090587F" w:rsidRPr="00B40F4D" w:rsidRDefault="0090587F" w:rsidP="002B7AED">
            <w:pPr>
              <w:tabs>
                <w:tab w:val="left" w:pos="1701"/>
              </w:tabs>
              <w:rPr>
                <w:b/>
                <w:sz w:val="22"/>
                <w:szCs w:val="22"/>
              </w:rPr>
            </w:pPr>
            <w:r>
              <w:rPr>
                <w:sz w:val="22"/>
                <w:szCs w:val="22"/>
              </w:rPr>
              <w:t xml:space="preserve">                   </w:t>
            </w:r>
            <w:r w:rsidRPr="00B40F4D">
              <w:rPr>
                <w:sz w:val="22"/>
                <w:szCs w:val="22"/>
              </w:rPr>
              <w:t>prot. 20</w:t>
            </w:r>
            <w:r>
              <w:rPr>
                <w:sz w:val="22"/>
                <w:szCs w:val="22"/>
              </w:rPr>
              <w:t>23</w:t>
            </w:r>
            <w:r w:rsidRPr="00B40F4D">
              <w:rPr>
                <w:sz w:val="22"/>
                <w:szCs w:val="22"/>
              </w:rPr>
              <w:t>/2</w:t>
            </w:r>
            <w:r>
              <w:rPr>
                <w:sz w:val="22"/>
                <w:szCs w:val="22"/>
              </w:rPr>
              <w:t>4</w:t>
            </w:r>
            <w:r w:rsidRPr="00B40F4D">
              <w:rPr>
                <w:sz w:val="22"/>
                <w:szCs w:val="22"/>
              </w:rPr>
              <w:t>:</w:t>
            </w:r>
            <w:r>
              <w:rPr>
                <w:sz w:val="22"/>
                <w:szCs w:val="22"/>
              </w:rPr>
              <w:t>16</w:t>
            </w:r>
          </w:p>
        </w:tc>
      </w:tr>
      <w:tr w:rsidR="002163DB" w:rsidRPr="00B40F4D" w14:paraId="5E9D1058" w14:textId="3853D7C0"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7" w:type="dxa"/>
            <w:tcBorders>
              <w:top w:val="single" w:sz="6" w:space="0" w:color="auto"/>
              <w:left w:val="single" w:sz="6" w:space="0" w:color="auto"/>
              <w:bottom w:val="single" w:sz="6" w:space="0" w:color="auto"/>
              <w:right w:val="single" w:sz="6" w:space="0" w:color="auto"/>
            </w:tcBorders>
          </w:tcPr>
          <w:p w14:paraId="2BC1A4A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2" w:type="dxa"/>
            <w:gridSpan w:val="2"/>
            <w:tcBorders>
              <w:top w:val="single" w:sz="6" w:space="0" w:color="auto"/>
              <w:left w:val="single" w:sz="6" w:space="0" w:color="auto"/>
              <w:bottom w:val="single" w:sz="6" w:space="0" w:color="auto"/>
              <w:right w:val="single" w:sz="6" w:space="0" w:color="auto"/>
            </w:tcBorders>
          </w:tcPr>
          <w:p w14:paraId="3ED6D53D" w14:textId="47D5986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AFE4D5F"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3EAAA62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661E6D7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4013C46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3021B66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 – 8</w:t>
            </w:r>
          </w:p>
        </w:tc>
        <w:tc>
          <w:tcPr>
            <w:tcW w:w="852" w:type="dxa"/>
            <w:gridSpan w:val="2"/>
            <w:tcBorders>
              <w:top w:val="single" w:sz="6" w:space="0" w:color="auto"/>
              <w:left w:val="single" w:sz="6" w:space="0" w:color="auto"/>
              <w:bottom w:val="single" w:sz="6" w:space="0" w:color="auto"/>
              <w:right w:val="single" w:sz="6" w:space="0" w:color="auto"/>
            </w:tcBorders>
          </w:tcPr>
          <w:p w14:paraId="0388BE7D" w14:textId="32A0D7D0" w:rsidR="002163DB"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 –</w:t>
            </w:r>
            <w:r w:rsidR="0090587F">
              <w:rPr>
                <w:sz w:val="22"/>
                <w:szCs w:val="22"/>
              </w:rPr>
              <w:t xml:space="preserve"> 10</w:t>
            </w:r>
          </w:p>
        </w:tc>
      </w:tr>
      <w:tr w:rsidR="002163DB" w:rsidRPr="00B40F4D" w14:paraId="5924FA1B" w14:textId="30007DCE"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4A88E5C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6" w:type="dxa"/>
            <w:tcBorders>
              <w:top w:val="single" w:sz="6" w:space="0" w:color="auto"/>
              <w:left w:val="single" w:sz="6" w:space="0" w:color="auto"/>
              <w:bottom w:val="single" w:sz="6" w:space="0" w:color="auto"/>
              <w:right w:val="single" w:sz="6" w:space="0" w:color="auto"/>
            </w:tcBorders>
          </w:tcPr>
          <w:p w14:paraId="00E4972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5C8891E8" w14:textId="72AD63E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FEF9532" w14:textId="6FB4E032" w:rsidR="002163DB"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1DE70AC0" w14:textId="7D62443C" w:rsidR="002163DB"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2163DB" w:rsidRPr="00B40F4D" w14:paraId="5B271E81" w14:textId="43942318"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7A9BBCF7" w14:textId="77777777" w:rsidR="002163DB" w:rsidRPr="00070A5C" w:rsidRDefault="002163DB"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6" w:type="dxa"/>
            <w:tcBorders>
              <w:top w:val="single" w:sz="6" w:space="0" w:color="auto"/>
              <w:left w:val="single" w:sz="6" w:space="0" w:color="auto"/>
              <w:bottom w:val="single" w:sz="6" w:space="0" w:color="auto"/>
              <w:right w:val="single" w:sz="6" w:space="0" w:color="auto"/>
            </w:tcBorders>
          </w:tcPr>
          <w:p w14:paraId="43AD43CB" w14:textId="33B5468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90EAA8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1B8287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00F46B0C"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516166F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3E6AC42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42713EE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B3CFF" w14:textId="5F22E55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513242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8079E6" w14:paraId="409490FE" w14:textId="6A5F2DEE"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06CA1B26" w14:textId="77777777" w:rsidR="002163DB" w:rsidRPr="006A6B9D" w:rsidRDefault="002163DB"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6" w:type="dxa"/>
            <w:tcBorders>
              <w:top w:val="single" w:sz="6" w:space="0" w:color="auto"/>
              <w:left w:val="single" w:sz="6" w:space="0" w:color="auto"/>
              <w:bottom w:val="single" w:sz="6" w:space="0" w:color="auto"/>
              <w:right w:val="single" w:sz="6" w:space="0" w:color="auto"/>
            </w:tcBorders>
          </w:tcPr>
          <w:p w14:paraId="128043F2" w14:textId="4C5F04B4"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DBB44CC"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13036EF"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3BBB4ADE"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20B83EF8"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1B4C15B"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0D877948"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7DD5618" w14:textId="58C5CB0B"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6071F906"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2163DB" w:rsidRPr="006B38D7" w14:paraId="410DF905" w14:textId="0F6B34CC"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E8B3133" w14:textId="77777777" w:rsidR="002163DB" w:rsidRPr="006A6B9D" w:rsidRDefault="002163DB" w:rsidP="002B7AED">
            <w:pPr>
              <w:spacing w:line="256" w:lineRule="auto"/>
              <w:rPr>
                <w:sz w:val="22"/>
                <w:szCs w:val="22"/>
                <w:lang w:val="en-GB" w:eastAsia="en-US"/>
              </w:rPr>
            </w:pPr>
            <w:r w:rsidRPr="005C4C18">
              <w:rPr>
                <w:sz w:val="22"/>
                <w:szCs w:val="22"/>
                <w:lang w:eastAsia="en-US"/>
              </w:rPr>
              <w:t>Martin Kinnunen (SD)</w:t>
            </w:r>
          </w:p>
        </w:tc>
        <w:tc>
          <w:tcPr>
            <w:tcW w:w="426" w:type="dxa"/>
            <w:tcBorders>
              <w:top w:val="single" w:sz="6" w:space="0" w:color="auto"/>
              <w:left w:val="single" w:sz="6" w:space="0" w:color="auto"/>
              <w:bottom w:val="single" w:sz="6" w:space="0" w:color="auto"/>
              <w:right w:val="single" w:sz="6" w:space="0" w:color="auto"/>
            </w:tcBorders>
          </w:tcPr>
          <w:p w14:paraId="5CEB2B98" w14:textId="7444438E"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44F45DA8"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49B6B450"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1B33FBE2"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575461C5"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19D3E995"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214467EB"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BC9B48" w14:textId="4FB6CA8D" w:rsidR="002163DB" w:rsidRPr="006A6B9D" w:rsidRDefault="006A187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1ED532E1"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2163DB" w:rsidRPr="006B38D7" w14:paraId="2B93BAB8" w14:textId="740DA120"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0170943" w14:textId="71CA5212" w:rsidR="002163DB" w:rsidRPr="005C4C18" w:rsidRDefault="002163DB" w:rsidP="002B7AED">
            <w:pPr>
              <w:spacing w:line="256" w:lineRule="auto"/>
              <w:rPr>
                <w:sz w:val="22"/>
                <w:szCs w:val="22"/>
                <w:lang w:eastAsia="en-US"/>
              </w:rPr>
            </w:pPr>
            <w:r>
              <w:rPr>
                <w:sz w:val="22"/>
                <w:szCs w:val="22"/>
                <w:lang w:eastAsia="en-US"/>
              </w:rPr>
              <w:t>Anna-Caren Sätherberg</w:t>
            </w:r>
            <w:r w:rsidRPr="005C4C18">
              <w:rPr>
                <w:sz w:val="22"/>
                <w:szCs w:val="22"/>
                <w:lang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1ECB1E04" w14:textId="79EB26FD"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714B4EA6"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3AAE3F14"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3452D08A"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5B37ACD0"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4E72813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58537504"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6C61FC7" w14:textId="4805CBED"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49EB3C17" w14:textId="77777777" w:rsidR="002163DB" w:rsidRPr="006A6B9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2163DB" w:rsidRPr="00917BEB" w14:paraId="41695CD6" w14:textId="606D14BF"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D6EF311" w14:textId="434B8818" w:rsidR="002163DB" w:rsidRPr="00B24B9D" w:rsidRDefault="002163DB" w:rsidP="002B7AED">
            <w:pPr>
              <w:spacing w:line="256" w:lineRule="auto"/>
              <w:rPr>
                <w:sz w:val="22"/>
                <w:szCs w:val="22"/>
                <w:lang w:val="en-US" w:eastAsia="en-US"/>
              </w:rPr>
            </w:pPr>
            <w:r w:rsidRPr="005C4C18">
              <w:rPr>
                <w:sz w:val="22"/>
                <w:szCs w:val="22"/>
                <w:lang w:eastAsia="en-US"/>
              </w:rPr>
              <w:t xml:space="preserve">John Widegren </w:t>
            </w:r>
            <w:r w:rsidRPr="00467848">
              <w:rPr>
                <w:sz w:val="22"/>
                <w:szCs w:val="22"/>
                <w:lang w:val="en-US" w:eastAsia="en-US"/>
              </w:rPr>
              <w:t>(M)</w:t>
            </w:r>
          </w:p>
        </w:tc>
        <w:tc>
          <w:tcPr>
            <w:tcW w:w="426" w:type="dxa"/>
            <w:tcBorders>
              <w:top w:val="single" w:sz="6" w:space="0" w:color="auto"/>
              <w:left w:val="single" w:sz="6" w:space="0" w:color="auto"/>
              <w:bottom w:val="single" w:sz="6" w:space="0" w:color="auto"/>
              <w:right w:val="single" w:sz="6" w:space="0" w:color="auto"/>
            </w:tcBorders>
          </w:tcPr>
          <w:p w14:paraId="046FC54C" w14:textId="79E09A7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4EF09A3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0B4A410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681703E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01ED972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0B6F789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14BD01B5"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02BA6900" w14:textId="216D2FF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3C1CDC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2163DB" w:rsidRPr="00B40F4D" w14:paraId="089368ED" w14:textId="4D006F29"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021B556A" w14:textId="77777777" w:rsidR="002163DB" w:rsidRPr="00B40F4D" w:rsidRDefault="002163DB"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6DA8648C" w14:textId="3891C4A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026530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C4A592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55FD1FC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12CBB89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0BB0746F"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31F73BC5"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66B211" w14:textId="74D6140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4B55B4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15E1E27" w14:textId="5C7A7A8B"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A2CF0E4" w14:textId="77777777" w:rsidR="002163DB" w:rsidRDefault="002163DB"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6" w:type="dxa"/>
            <w:tcBorders>
              <w:top w:val="single" w:sz="6" w:space="0" w:color="auto"/>
              <w:left w:val="single" w:sz="6" w:space="0" w:color="auto"/>
              <w:bottom w:val="single" w:sz="6" w:space="0" w:color="auto"/>
              <w:right w:val="single" w:sz="6" w:space="0" w:color="auto"/>
            </w:tcBorders>
          </w:tcPr>
          <w:p w14:paraId="4922156C" w14:textId="4B313DC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9CABB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4E15FAF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6AB959A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2C75260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FD0E36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4BCC53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258BFF" w14:textId="53CA858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1BC0D9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E1E3D40" w14:textId="06627E07"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2B790D0" w14:textId="77777777" w:rsidR="002163DB" w:rsidRPr="005C4C18" w:rsidRDefault="002163DB" w:rsidP="002B7AED">
            <w:pPr>
              <w:spacing w:line="256" w:lineRule="auto"/>
              <w:rPr>
                <w:sz w:val="22"/>
                <w:szCs w:val="22"/>
                <w:lang w:val="en-US" w:eastAsia="en-US"/>
              </w:rPr>
            </w:pPr>
            <w:r w:rsidRPr="005C4C18">
              <w:rPr>
                <w:sz w:val="22"/>
                <w:szCs w:val="22"/>
                <w:lang w:eastAsia="en-US"/>
              </w:rPr>
              <w:t>Malin Larsson (S)</w:t>
            </w:r>
          </w:p>
        </w:tc>
        <w:tc>
          <w:tcPr>
            <w:tcW w:w="426" w:type="dxa"/>
            <w:tcBorders>
              <w:top w:val="single" w:sz="6" w:space="0" w:color="auto"/>
              <w:left w:val="single" w:sz="6" w:space="0" w:color="auto"/>
              <w:bottom w:val="single" w:sz="6" w:space="0" w:color="auto"/>
              <w:right w:val="single" w:sz="6" w:space="0" w:color="auto"/>
            </w:tcBorders>
          </w:tcPr>
          <w:p w14:paraId="673B62D0" w14:textId="3B1B438C"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C4AAAF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711B9E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3B2451F"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25412C6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3A7D9BD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08E5AD5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F5367" w14:textId="1B71DFD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B89850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15BC2CD9" w14:textId="35C1E12C"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2920A5B4" w14:textId="37FA79F6" w:rsidR="002163DB" w:rsidRPr="005C4C18" w:rsidRDefault="002163DB" w:rsidP="002B7AED">
            <w:pPr>
              <w:spacing w:line="256" w:lineRule="auto"/>
              <w:rPr>
                <w:sz w:val="22"/>
                <w:szCs w:val="22"/>
                <w:lang w:eastAsia="en-US"/>
              </w:rPr>
            </w:pPr>
            <w:r w:rsidRPr="00467848">
              <w:rPr>
                <w:sz w:val="22"/>
                <w:szCs w:val="22"/>
              </w:rPr>
              <w:t xml:space="preserve">Helena Storckenfeldt </w:t>
            </w:r>
            <w:r w:rsidRPr="005C4C18">
              <w:rPr>
                <w:sz w:val="22"/>
                <w:szCs w:val="22"/>
                <w:lang w:eastAsia="en-US"/>
              </w:rPr>
              <w:t>(M)</w:t>
            </w:r>
          </w:p>
        </w:tc>
        <w:tc>
          <w:tcPr>
            <w:tcW w:w="426" w:type="dxa"/>
            <w:tcBorders>
              <w:top w:val="single" w:sz="6" w:space="0" w:color="auto"/>
              <w:left w:val="single" w:sz="6" w:space="0" w:color="auto"/>
              <w:bottom w:val="single" w:sz="6" w:space="0" w:color="auto"/>
              <w:right w:val="single" w:sz="6" w:space="0" w:color="auto"/>
            </w:tcBorders>
          </w:tcPr>
          <w:p w14:paraId="6481C1FB" w14:textId="4D43B7D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60FBA0F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0E472B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4912991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5051D61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0D7AC8FF"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6E38840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A44CC2" w14:textId="7AA60E3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69E8173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7BF82E55" w14:textId="07CFAF11"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6F112FBC" w14:textId="77777777" w:rsidR="002163DB" w:rsidRPr="005C4C18" w:rsidRDefault="002163DB" w:rsidP="002B7AED">
            <w:pPr>
              <w:spacing w:line="256" w:lineRule="auto"/>
              <w:rPr>
                <w:sz w:val="22"/>
                <w:szCs w:val="22"/>
                <w:lang w:eastAsia="en-US"/>
              </w:rPr>
            </w:pPr>
            <w:r w:rsidRPr="005C4C18">
              <w:rPr>
                <w:sz w:val="22"/>
                <w:szCs w:val="22"/>
                <w:lang w:eastAsia="en-US"/>
              </w:rPr>
              <w:t>Tomas Kronståhl (S)</w:t>
            </w:r>
          </w:p>
        </w:tc>
        <w:tc>
          <w:tcPr>
            <w:tcW w:w="426" w:type="dxa"/>
            <w:tcBorders>
              <w:top w:val="single" w:sz="6" w:space="0" w:color="auto"/>
              <w:left w:val="single" w:sz="6" w:space="0" w:color="auto"/>
              <w:bottom w:val="single" w:sz="6" w:space="0" w:color="auto"/>
              <w:right w:val="single" w:sz="6" w:space="0" w:color="auto"/>
            </w:tcBorders>
          </w:tcPr>
          <w:p w14:paraId="01613444" w14:textId="1FFB264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91EB6A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5102BB9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6987F79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6E8F2CA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15197A7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092EDA9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9EC1BD" w14:textId="4F7CCB5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57BCBF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6D411CB4" w14:textId="394D4DDA"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7B167D91" w14:textId="6495C4DC" w:rsidR="002163DB" w:rsidRPr="005C4C18" w:rsidRDefault="002163DB" w:rsidP="002B7AED">
            <w:pPr>
              <w:spacing w:line="256" w:lineRule="auto"/>
              <w:rPr>
                <w:sz w:val="22"/>
                <w:szCs w:val="22"/>
                <w:lang w:eastAsia="en-US"/>
              </w:rPr>
            </w:pPr>
            <w:r w:rsidRPr="0089370A">
              <w:rPr>
                <w:sz w:val="22"/>
                <w:szCs w:val="22"/>
                <w:lang w:eastAsia="en-US"/>
              </w:rPr>
              <w:t>Mattias Eriksson Falk (SD)</w:t>
            </w:r>
          </w:p>
        </w:tc>
        <w:tc>
          <w:tcPr>
            <w:tcW w:w="426" w:type="dxa"/>
            <w:tcBorders>
              <w:top w:val="single" w:sz="6" w:space="0" w:color="auto"/>
              <w:left w:val="single" w:sz="6" w:space="0" w:color="auto"/>
              <w:bottom w:val="single" w:sz="6" w:space="0" w:color="auto"/>
              <w:right w:val="single" w:sz="6" w:space="0" w:color="auto"/>
            </w:tcBorders>
          </w:tcPr>
          <w:p w14:paraId="28DC2C46" w14:textId="00F94D0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19B320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149385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2032862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05B1365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20DE8ED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6583994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AFA41" w14:textId="0190D33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5B06CB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C982056" w14:textId="3C47EED1"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75F70871" w14:textId="77777777" w:rsidR="002163DB" w:rsidRDefault="002163DB"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210BDC5A" w14:textId="770C3B4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11219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736EDB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4D51F47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A7EBDFC"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6D8BA24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049B55B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EA9A0D" w14:textId="2C02E6C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EA19A3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32CA3B1" w14:textId="08A55AF1"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31D5584" w14:textId="16EF7F18" w:rsidR="002163DB" w:rsidRPr="00B40F4D" w:rsidRDefault="002163DB" w:rsidP="002B7AED">
            <w:pPr>
              <w:spacing w:line="256" w:lineRule="auto"/>
              <w:rPr>
                <w:sz w:val="22"/>
                <w:szCs w:val="22"/>
                <w:lang w:val="en-US" w:eastAsia="en-US"/>
              </w:rPr>
            </w:pPr>
            <w:r w:rsidRPr="00467848">
              <w:rPr>
                <w:sz w:val="22"/>
                <w:szCs w:val="22"/>
                <w:lang w:val="en-US" w:eastAsia="en-US"/>
              </w:rPr>
              <w:t>Marléne Lund Kopparklint (M)</w:t>
            </w:r>
          </w:p>
        </w:tc>
        <w:tc>
          <w:tcPr>
            <w:tcW w:w="426" w:type="dxa"/>
            <w:tcBorders>
              <w:top w:val="single" w:sz="6" w:space="0" w:color="auto"/>
              <w:left w:val="single" w:sz="6" w:space="0" w:color="auto"/>
              <w:bottom w:val="single" w:sz="6" w:space="0" w:color="auto"/>
              <w:right w:val="single" w:sz="6" w:space="0" w:color="auto"/>
            </w:tcBorders>
          </w:tcPr>
          <w:p w14:paraId="07666D5E" w14:textId="389CB88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14:paraId="7F7E5C6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2026AFE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0E018D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6B4B5B9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4D0FADC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5635088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0E5C66C2" w14:textId="3E59F27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14:paraId="4A9E7CC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2163DB" w:rsidRPr="00B40F4D" w14:paraId="4A977B8A" w14:textId="3D26DFF3"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2290A454" w14:textId="77777777" w:rsidR="002163DB" w:rsidRPr="00917BEB" w:rsidRDefault="002163DB" w:rsidP="002B7AED">
            <w:pPr>
              <w:spacing w:line="256" w:lineRule="auto"/>
              <w:rPr>
                <w:sz w:val="22"/>
                <w:szCs w:val="22"/>
                <w:highlight w:val="yellow"/>
                <w:lang w:eastAsia="en-US"/>
              </w:rPr>
            </w:pPr>
            <w:r w:rsidRPr="005C4C18">
              <w:rPr>
                <w:sz w:val="22"/>
                <w:szCs w:val="22"/>
                <w:lang w:eastAsia="en-US"/>
              </w:rPr>
              <w:t>Kajsa Fredholm (V)</w:t>
            </w:r>
          </w:p>
        </w:tc>
        <w:tc>
          <w:tcPr>
            <w:tcW w:w="426" w:type="dxa"/>
            <w:tcBorders>
              <w:top w:val="single" w:sz="6" w:space="0" w:color="auto"/>
              <w:left w:val="single" w:sz="6" w:space="0" w:color="auto"/>
              <w:bottom w:val="single" w:sz="6" w:space="0" w:color="auto"/>
              <w:right w:val="single" w:sz="6" w:space="0" w:color="auto"/>
            </w:tcBorders>
          </w:tcPr>
          <w:p w14:paraId="21FCFAFE" w14:textId="6F6064C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013598E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B5064C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263741B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4505913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2FF5B77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4B9601B5"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C09A71" w14:textId="1BB8094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76A437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635683C" w14:textId="62AA41E8"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06B3A6B" w14:textId="77777777" w:rsidR="002163DB" w:rsidRPr="005C4C18" w:rsidRDefault="002163DB" w:rsidP="002B7AED">
            <w:pPr>
              <w:spacing w:line="256" w:lineRule="auto"/>
              <w:rPr>
                <w:sz w:val="22"/>
                <w:szCs w:val="22"/>
                <w:lang w:eastAsia="en-US"/>
              </w:rPr>
            </w:pPr>
            <w:r w:rsidRPr="005C4C18">
              <w:rPr>
                <w:sz w:val="22"/>
                <w:szCs w:val="22"/>
                <w:lang w:eastAsia="en-US"/>
              </w:rPr>
              <w:t>Stina Larsson (C)</w:t>
            </w:r>
          </w:p>
        </w:tc>
        <w:tc>
          <w:tcPr>
            <w:tcW w:w="426" w:type="dxa"/>
            <w:tcBorders>
              <w:top w:val="single" w:sz="6" w:space="0" w:color="auto"/>
              <w:left w:val="single" w:sz="6" w:space="0" w:color="auto"/>
              <w:bottom w:val="single" w:sz="6" w:space="0" w:color="auto"/>
              <w:right w:val="single" w:sz="6" w:space="0" w:color="auto"/>
            </w:tcBorders>
          </w:tcPr>
          <w:p w14:paraId="1CACFA2F" w14:textId="60069CD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306925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59A34B0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68826BA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019FB67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1193E236"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54CC599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206AF" w14:textId="7E48A79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8AF44C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ADC78F7" w14:textId="36EEB540"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09ECA2B6" w14:textId="77777777" w:rsidR="002163DB" w:rsidRPr="005C4C18" w:rsidRDefault="002163DB" w:rsidP="002B7AED">
            <w:pPr>
              <w:spacing w:line="256" w:lineRule="auto"/>
              <w:rPr>
                <w:sz w:val="22"/>
                <w:szCs w:val="22"/>
                <w:lang w:eastAsia="en-US"/>
              </w:rPr>
            </w:pPr>
            <w:r>
              <w:rPr>
                <w:sz w:val="22"/>
                <w:szCs w:val="22"/>
                <w:lang w:eastAsia="en-US"/>
              </w:rPr>
              <w:t>Beatrice Timgren (SD)</w:t>
            </w:r>
          </w:p>
        </w:tc>
        <w:tc>
          <w:tcPr>
            <w:tcW w:w="426" w:type="dxa"/>
            <w:tcBorders>
              <w:top w:val="single" w:sz="6" w:space="0" w:color="auto"/>
              <w:left w:val="single" w:sz="6" w:space="0" w:color="auto"/>
              <w:bottom w:val="single" w:sz="6" w:space="0" w:color="auto"/>
              <w:right w:val="single" w:sz="6" w:space="0" w:color="auto"/>
            </w:tcBorders>
          </w:tcPr>
          <w:p w14:paraId="562ADC95" w14:textId="78BC358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55D305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2169245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6E6938F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6728509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659EA10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3E95D1B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156C23" w14:textId="4451E136"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EAC371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7FCCDC9" w14:textId="2FCB055D"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7196E61" w14:textId="3DC54311" w:rsidR="002163DB" w:rsidRPr="00B40F4D" w:rsidRDefault="002163DB" w:rsidP="002B7AED">
            <w:pPr>
              <w:spacing w:line="256" w:lineRule="auto"/>
              <w:rPr>
                <w:sz w:val="22"/>
                <w:szCs w:val="22"/>
                <w:lang w:eastAsia="en-US"/>
              </w:rPr>
            </w:pPr>
            <w:r w:rsidRPr="00467848">
              <w:rPr>
                <w:sz w:val="22"/>
                <w:szCs w:val="22"/>
                <w:lang w:eastAsia="en-US"/>
              </w:rPr>
              <w:t>Elin Nilsson (L)</w:t>
            </w:r>
          </w:p>
        </w:tc>
        <w:tc>
          <w:tcPr>
            <w:tcW w:w="426" w:type="dxa"/>
            <w:tcBorders>
              <w:top w:val="single" w:sz="6" w:space="0" w:color="auto"/>
              <w:left w:val="single" w:sz="6" w:space="0" w:color="auto"/>
              <w:bottom w:val="single" w:sz="6" w:space="0" w:color="auto"/>
              <w:right w:val="single" w:sz="6" w:space="0" w:color="auto"/>
            </w:tcBorders>
          </w:tcPr>
          <w:p w14:paraId="65AC4020" w14:textId="675E702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C24F10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2604CE4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55BB3E4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10A7BA4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02111D5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149B4DD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AA8A94" w14:textId="1439A59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A9992A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6E6F5D3C" w14:textId="109D0B82"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786F69B0" w14:textId="77777777" w:rsidR="002163DB" w:rsidRPr="00B40F4D" w:rsidRDefault="002163DB" w:rsidP="002B7AED">
            <w:pPr>
              <w:spacing w:line="256" w:lineRule="auto"/>
              <w:rPr>
                <w:b/>
                <w:i/>
                <w:sz w:val="22"/>
                <w:szCs w:val="22"/>
                <w:lang w:eastAsia="en-US"/>
              </w:rPr>
            </w:pPr>
            <w:r w:rsidRPr="00B40F4D">
              <w:rPr>
                <w:b/>
                <w:i/>
                <w:sz w:val="22"/>
                <w:szCs w:val="22"/>
                <w:lang w:eastAsia="en-US"/>
              </w:rPr>
              <w:t>SUPPLEANTER</w:t>
            </w:r>
          </w:p>
        </w:tc>
        <w:tc>
          <w:tcPr>
            <w:tcW w:w="426" w:type="dxa"/>
            <w:tcBorders>
              <w:top w:val="single" w:sz="6" w:space="0" w:color="auto"/>
              <w:left w:val="single" w:sz="6" w:space="0" w:color="auto"/>
              <w:bottom w:val="single" w:sz="6" w:space="0" w:color="auto"/>
              <w:right w:val="single" w:sz="6" w:space="0" w:color="auto"/>
            </w:tcBorders>
          </w:tcPr>
          <w:p w14:paraId="653684B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8D489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D8D7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F3C1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D0A36C1" w14:textId="70410B3B"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4158BAF0" w14:textId="3B957C53" w:rsidR="002163DB" w:rsidRPr="00B40F4D" w:rsidRDefault="002163DB" w:rsidP="002B7AED">
            <w:pPr>
              <w:spacing w:line="256" w:lineRule="auto"/>
              <w:rPr>
                <w:b/>
                <w:i/>
                <w:sz w:val="22"/>
                <w:szCs w:val="22"/>
                <w:lang w:eastAsia="en-US"/>
              </w:rPr>
            </w:pPr>
            <w:r>
              <w:rPr>
                <w:sz w:val="22"/>
                <w:szCs w:val="22"/>
                <w:lang w:val="en-US" w:eastAsia="en-US"/>
              </w:rPr>
              <w:t>Runar Filper</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6" w:type="dxa"/>
            <w:tcBorders>
              <w:top w:val="single" w:sz="6" w:space="0" w:color="auto"/>
              <w:left w:val="single" w:sz="6" w:space="0" w:color="auto"/>
              <w:bottom w:val="single" w:sz="6" w:space="0" w:color="auto"/>
              <w:right w:val="single" w:sz="6" w:space="0" w:color="auto"/>
            </w:tcBorders>
          </w:tcPr>
          <w:p w14:paraId="040851A6" w14:textId="675A35E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30F33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5B991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58BE5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02B589F" w14:textId="098BA6DE"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4BE36959" w14:textId="77777777" w:rsidR="002163DB" w:rsidRDefault="002163DB" w:rsidP="002B7AED">
            <w:pPr>
              <w:spacing w:line="256" w:lineRule="auto"/>
              <w:rPr>
                <w:sz w:val="22"/>
                <w:szCs w:val="22"/>
                <w:lang w:val="en-US" w:eastAsia="en-US"/>
              </w:rPr>
            </w:pPr>
            <w:r>
              <w:rPr>
                <w:sz w:val="22"/>
                <w:szCs w:val="22"/>
                <w:lang w:eastAsia="en-US"/>
              </w:rPr>
              <w:t>Johan Löfstrand (S)</w:t>
            </w:r>
          </w:p>
        </w:tc>
        <w:tc>
          <w:tcPr>
            <w:tcW w:w="426" w:type="dxa"/>
            <w:tcBorders>
              <w:top w:val="single" w:sz="6" w:space="0" w:color="auto"/>
              <w:left w:val="single" w:sz="6" w:space="0" w:color="auto"/>
              <w:bottom w:val="single" w:sz="6" w:space="0" w:color="auto"/>
              <w:right w:val="single" w:sz="6" w:space="0" w:color="auto"/>
            </w:tcBorders>
          </w:tcPr>
          <w:p w14:paraId="6E4D5000" w14:textId="0AD2E68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2F39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4A5BF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8D452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7FADD730" w14:textId="3FA2ACFA"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9F39B42" w14:textId="11C62965" w:rsidR="002163DB" w:rsidRDefault="002163DB" w:rsidP="002B7AED">
            <w:pPr>
              <w:spacing w:line="256" w:lineRule="auto"/>
              <w:rPr>
                <w:sz w:val="22"/>
                <w:szCs w:val="22"/>
                <w:lang w:eastAsia="en-US"/>
              </w:rPr>
            </w:pPr>
            <w:r>
              <w:rPr>
                <w:sz w:val="22"/>
                <w:szCs w:val="22"/>
              </w:rPr>
              <w:t xml:space="preserve">Johanna Hornberger </w:t>
            </w:r>
            <w:r w:rsidRPr="00467848">
              <w:rPr>
                <w:sz w:val="22"/>
                <w:szCs w:val="22"/>
              </w:rPr>
              <w:t>(M)</w:t>
            </w:r>
          </w:p>
        </w:tc>
        <w:tc>
          <w:tcPr>
            <w:tcW w:w="426" w:type="dxa"/>
            <w:tcBorders>
              <w:top w:val="single" w:sz="6" w:space="0" w:color="auto"/>
              <w:left w:val="single" w:sz="6" w:space="0" w:color="auto"/>
              <w:bottom w:val="single" w:sz="6" w:space="0" w:color="auto"/>
              <w:right w:val="single" w:sz="6" w:space="0" w:color="auto"/>
            </w:tcBorders>
          </w:tcPr>
          <w:p w14:paraId="71982876" w14:textId="2D02838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5552FE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256B721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36A9A6A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0DA0D396"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23E778C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250634A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00A90C" w14:textId="02935F7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ED2DB6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B4953A3" w14:textId="5A388797"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4B254AFE" w14:textId="77777777" w:rsidR="002163DB" w:rsidRPr="005C4C18" w:rsidRDefault="002163DB" w:rsidP="002B7AED">
            <w:pPr>
              <w:spacing w:line="256" w:lineRule="auto"/>
              <w:rPr>
                <w:sz w:val="22"/>
                <w:szCs w:val="22"/>
              </w:rPr>
            </w:pPr>
            <w:r>
              <w:rPr>
                <w:sz w:val="22"/>
                <w:szCs w:val="22"/>
              </w:rPr>
              <w:t>Sofia Skönnbrink (S)</w:t>
            </w:r>
          </w:p>
        </w:tc>
        <w:tc>
          <w:tcPr>
            <w:tcW w:w="426" w:type="dxa"/>
            <w:tcBorders>
              <w:top w:val="single" w:sz="6" w:space="0" w:color="auto"/>
              <w:left w:val="single" w:sz="6" w:space="0" w:color="auto"/>
              <w:bottom w:val="single" w:sz="6" w:space="0" w:color="auto"/>
              <w:right w:val="single" w:sz="6" w:space="0" w:color="auto"/>
            </w:tcBorders>
          </w:tcPr>
          <w:p w14:paraId="70BAC42B" w14:textId="547CC4AF"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80493E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225A2AC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82821E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6DE1ED0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075D5DE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A1FCF8C"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C53E33" w14:textId="6AC118A3"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5B67F0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6FCD7AA8" w14:textId="0533FADA"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71A8009" w14:textId="77777777" w:rsidR="002163DB" w:rsidRDefault="002163DB" w:rsidP="002B7AED">
            <w:pPr>
              <w:spacing w:line="256" w:lineRule="auto"/>
              <w:rPr>
                <w:sz w:val="22"/>
                <w:szCs w:val="22"/>
              </w:rPr>
            </w:pPr>
            <w:r>
              <w:rPr>
                <w:sz w:val="22"/>
                <w:szCs w:val="22"/>
              </w:rPr>
              <w:t>Patrik Jönsson (SD)</w:t>
            </w:r>
          </w:p>
        </w:tc>
        <w:tc>
          <w:tcPr>
            <w:tcW w:w="426" w:type="dxa"/>
            <w:tcBorders>
              <w:top w:val="single" w:sz="6" w:space="0" w:color="auto"/>
              <w:left w:val="single" w:sz="6" w:space="0" w:color="auto"/>
              <w:bottom w:val="single" w:sz="6" w:space="0" w:color="auto"/>
              <w:right w:val="single" w:sz="6" w:space="0" w:color="auto"/>
            </w:tcBorders>
          </w:tcPr>
          <w:p w14:paraId="2EAEC1B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4A91A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63DB3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2B1F5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6E2A7CAF" w14:textId="2F5F0608"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8E76CA7" w14:textId="77777777" w:rsidR="002163DB" w:rsidRPr="00917BEB" w:rsidRDefault="002163DB"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6" w:type="dxa"/>
            <w:tcBorders>
              <w:top w:val="single" w:sz="6" w:space="0" w:color="auto"/>
              <w:left w:val="single" w:sz="6" w:space="0" w:color="auto"/>
              <w:bottom w:val="single" w:sz="6" w:space="0" w:color="auto"/>
              <w:right w:val="single" w:sz="6" w:space="0" w:color="auto"/>
            </w:tcBorders>
          </w:tcPr>
          <w:p w14:paraId="2140129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1709F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AF3E1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77332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1E9862F7" w14:textId="56F3301F"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6EFE24E1" w14:textId="2497249F" w:rsidR="002163DB" w:rsidRPr="00B40F4D" w:rsidRDefault="002163DB"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w:t>
            </w:r>
            <w:proofErr w:type="spellStart"/>
            <w:r>
              <w:rPr>
                <w:sz w:val="22"/>
                <w:szCs w:val="22"/>
                <w:lang w:val="en-US" w:eastAsia="en-US"/>
              </w:rPr>
              <w:t>Svärd</w:t>
            </w:r>
            <w:proofErr w:type="spellEnd"/>
            <w:r>
              <w:rPr>
                <w:sz w:val="22"/>
                <w:szCs w:val="22"/>
                <w:lang w:val="en-US" w:eastAsia="en-US"/>
              </w:rPr>
              <w:t xml:space="preserve"> </w:t>
            </w:r>
            <w:r w:rsidRPr="00467848">
              <w:rPr>
                <w:sz w:val="22"/>
                <w:szCs w:val="22"/>
                <w:lang w:val="en-US" w:eastAsia="en-US"/>
              </w:rPr>
              <w:t>(M)</w:t>
            </w:r>
          </w:p>
        </w:tc>
        <w:tc>
          <w:tcPr>
            <w:tcW w:w="426" w:type="dxa"/>
            <w:tcBorders>
              <w:top w:val="single" w:sz="6" w:space="0" w:color="auto"/>
              <w:left w:val="single" w:sz="6" w:space="0" w:color="auto"/>
              <w:bottom w:val="single" w:sz="6" w:space="0" w:color="auto"/>
              <w:right w:val="single" w:sz="6" w:space="0" w:color="auto"/>
            </w:tcBorders>
          </w:tcPr>
          <w:p w14:paraId="26D9CDBE" w14:textId="3C7B926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B6AB3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ECF7D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9E8F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58B571C3" w14:textId="27BAD4B9"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719662F" w14:textId="77777777" w:rsidR="002163DB" w:rsidRDefault="002163DB"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Marianne </w:t>
            </w:r>
            <w:proofErr w:type="spellStart"/>
            <w:r>
              <w:rPr>
                <w:sz w:val="22"/>
                <w:szCs w:val="22"/>
                <w:lang w:val="en-US" w:eastAsia="en-US"/>
              </w:rPr>
              <w:t>Fundahn</w:t>
            </w:r>
            <w:proofErr w:type="spellEnd"/>
            <w:r>
              <w:rPr>
                <w:sz w:val="22"/>
                <w:szCs w:val="22"/>
                <w:lang w:val="en-US"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04720BB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841E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F88ED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7F8F4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2C82CF80" w14:textId="49A7867B"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43DA25F9" w14:textId="77777777" w:rsidR="002163DB" w:rsidRDefault="002163DB"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Rashid </w:t>
            </w:r>
            <w:proofErr w:type="spellStart"/>
            <w:r>
              <w:rPr>
                <w:sz w:val="22"/>
                <w:szCs w:val="22"/>
                <w:lang w:val="en-US" w:eastAsia="en-US"/>
              </w:rPr>
              <w:t>Farivar</w:t>
            </w:r>
            <w:proofErr w:type="spellEnd"/>
            <w:r>
              <w:rPr>
                <w:sz w:val="22"/>
                <w:szCs w:val="22"/>
                <w:lang w:val="en-US" w:eastAsia="en-US"/>
              </w:rPr>
              <w:t xml:space="preserve"> (SD)</w:t>
            </w:r>
          </w:p>
        </w:tc>
        <w:tc>
          <w:tcPr>
            <w:tcW w:w="426" w:type="dxa"/>
            <w:tcBorders>
              <w:top w:val="single" w:sz="6" w:space="0" w:color="auto"/>
              <w:left w:val="single" w:sz="6" w:space="0" w:color="auto"/>
              <w:bottom w:val="single" w:sz="6" w:space="0" w:color="auto"/>
              <w:right w:val="single" w:sz="6" w:space="0" w:color="auto"/>
            </w:tcBorders>
          </w:tcPr>
          <w:p w14:paraId="22EF9D0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67A14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62F6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DEFC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63619A32" w14:textId="178FF9C0"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15F3DD0" w14:textId="77777777" w:rsidR="002163DB" w:rsidRDefault="002163DB"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6" w:type="dxa"/>
            <w:tcBorders>
              <w:top w:val="single" w:sz="6" w:space="0" w:color="auto"/>
              <w:left w:val="single" w:sz="6" w:space="0" w:color="auto"/>
              <w:bottom w:val="single" w:sz="6" w:space="0" w:color="auto"/>
              <w:right w:val="single" w:sz="6" w:space="0" w:color="auto"/>
            </w:tcBorders>
          </w:tcPr>
          <w:p w14:paraId="2DD3260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66059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69911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6CF51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01B3E72B" w14:textId="34046CD8"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2656760" w14:textId="38854BA8" w:rsidR="002163DB" w:rsidRDefault="002163DB"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w:t>
            </w:r>
            <w:proofErr w:type="spellStart"/>
            <w:r w:rsidRPr="005C4C18">
              <w:rPr>
                <w:sz w:val="22"/>
                <w:szCs w:val="22"/>
                <w:lang w:eastAsia="en-US"/>
              </w:rPr>
              <w:t>Brunsberg</w:t>
            </w:r>
            <w:proofErr w:type="spellEnd"/>
            <w:r w:rsidRPr="005C4C18">
              <w:rPr>
                <w:sz w:val="22"/>
                <w:szCs w:val="22"/>
                <w:lang w:eastAsia="en-US"/>
              </w:rPr>
              <w:t xml:space="preserve"> </w:t>
            </w:r>
            <w:r>
              <w:rPr>
                <w:sz w:val="22"/>
                <w:szCs w:val="22"/>
                <w:lang w:val="en-US" w:eastAsia="en-US"/>
              </w:rPr>
              <w:t>(M)</w:t>
            </w:r>
          </w:p>
        </w:tc>
        <w:tc>
          <w:tcPr>
            <w:tcW w:w="426" w:type="dxa"/>
            <w:tcBorders>
              <w:top w:val="single" w:sz="6" w:space="0" w:color="auto"/>
              <w:left w:val="single" w:sz="6" w:space="0" w:color="auto"/>
              <w:bottom w:val="single" w:sz="6" w:space="0" w:color="auto"/>
              <w:right w:val="single" w:sz="6" w:space="0" w:color="auto"/>
            </w:tcBorders>
          </w:tcPr>
          <w:p w14:paraId="773BA75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8F89C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41071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D0785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1D90E922" w14:textId="60A60563"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6DB80322" w14:textId="77777777" w:rsidR="002163DB" w:rsidRDefault="002163DB"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6" w:type="dxa"/>
            <w:tcBorders>
              <w:top w:val="single" w:sz="6" w:space="0" w:color="auto"/>
              <w:left w:val="single" w:sz="6" w:space="0" w:color="auto"/>
              <w:bottom w:val="single" w:sz="6" w:space="0" w:color="auto"/>
              <w:right w:val="single" w:sz="6" w:space="0" w:color="auto"/>
            </w:tcBorders>
          </w:tcPr>
          <w:p w14:paraId="475D1721" w14:textId="519243F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94D2D6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49B6DD8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0C2C12EC"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0F4EB64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424D0F8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316A33F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7E8AF7" w14:textId="0CDB13F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C2987F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0C4C6E4D" w14:textId="40532418"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5B4C846B" w14:textId="77777777" w:rsidR="002163DB" w:rsidRPr="00917BEB" w:rsidRDefault="002163DB"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6" w:type="dxa"/>
            <w:tcBorders>
              <w:top w:val="single" w:sz="6" w:space="0" w:color="auto"/>
              <w:left w:val="single" w:sz="6" w:space="0" w:color="auto"/>
              <w:bottom w:val="single" w:sz="6" w:space="0" w:color="auto"/>
              <w:right w:val="single" w:sz="6" w:space="0" w:color="auto"/>
            </w:tcBorders>
          </w:tcPr>
          <w:p w14:paraId="2180F4D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3ED1B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466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9C7A1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244C36B8" w14:textId="1E05C317"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6B303E3C" w14:textId="77777777" w:rsidR="002163DB" w:rsidRPr="00917BEB" w:rsidRDefault="002163DB"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6" w:type="dxa"/>
            <w:tcBorders>
              <w:top w:val="single" w:sz="6" w:space="0" w:color="auto"/>
              <w:left w:val="single" w:sz="6" w:space="0" w:color="auto"/>
              <w:bottom w:val="single" w:sz="6" w:space="0" w:color="auto"/>
              <w:right w:val="single" w:sz="6" w:space="0" w:color="auto"/>
            </w:tcBorders>
          </w:tcPr>
          <w:p w14:paraId="34D081D4" w14:textId="7346452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E11699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2DB920B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3229E46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59B2A29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293D450D"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5259036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7D5F90" w14:textId="4B99A0AE"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E1A1C4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7BA12293" w14:textId="2ABC92BC"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ADBEB11" w14:textId="77777777" w:rsidR="002163DB" w:rsidRPr="00917BEB" w:rsidRDefault="002163DB"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6" w:type="dxa"/>
            <w:tcBorders>
              <w:top w:val="single" w:sz="6" w:space="0" w:color="auto"/>
              <w:left w:val="single" w:sz="6" w:space="0" w:color="auto"/>
              <w:bottom w:val="single" w:sz="6" w:space="0" w:color="auto"/>
              <w:right w:val="single" w:sz="6" w:space="0" w:color="auto"/>
            </w:tcBorders>
          </w:tcPr>
          <w:p w14:paraId="01D5A3D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A956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083C0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560B3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9347E6D" w14:textId="42F828EC"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6FB866B2" w14:textId="77777777" w:rsidR="002163DB" w:rsidRDefault="002163DB"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6" w:type="dxa"/>
            <w:tcBorders>
              <w:top w:val="single" w:sz="6" w:space="0" w:color="auto"/>
              <w:left w:val="single" w:sz="6" w:space="0" w:color="auto"/>
              <w:bottom w:val="single" w:sz="6" w:space="0" w:color="auto"/>
              <w:right w:val="single" w:sz="6" w:space="0" w:color="auto"/>
            </w:tcBorders>
          </w:tcPr>
          <w:p w14:paraId="1048C04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49F1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B3E14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46C29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0400CB15" w14:textId="46A336E7"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2DE2EC72" w14:textId="6F9D72FC" w:rsidR="002163DB" w:rsidRPr="00917BEB" w:rsidRDefault="002163DB" w:rsidP="002B7AED">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af Sillén </w:t>
            </w:r>
            <w:r w:rsidRPr="005C4C18">
              <w:rPr>
                <w:sz w:val="22"/>
                <w:szCs w:val="22"/>
                <w:lang w:eastAsia="en-US"/>
              </w:rPr>
              <w:t>(M)</w:t>
            </w:r>
          </w:p>
        </w:tc>
        <w:tc>
          <w:tcPr>
            <w:tcW w:w="426" w:type="dxa"/>
            <w:tcBorders>
              <w:top w:val="single" w:sz="6" w:space="0" w:color="auto"/>
              <w:left w:val="single" w:sz="6" w:space="0" w:color="auto"/>
              <w:bottom w:val="single" w:sz="6" w:space="0" w:color="auto"/>
              <w:right w:val="single" w:sz="6" w:space="0" w:color="auto"/>
            </w:tcBorders>
          </w:tcPr>
          <w:p w14:paraId="7595AAE0" w14:textId="69D6DA2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9C94EE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445937A9"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4CBAA8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3513956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04681D6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3BE4F48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1665D9" w14:textId="5FB604A8"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7E7E09E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1A30A44C" w14:textId="444F5995"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00955D3" w14:textId="30BA0A4B" w:rsidR="002163DB" w:rsidRPr="005C4C18" w:rsidRDefault="002163DB"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6" w:type="dxa"/>
            <w:tcBorders>
              <w:top w:val="single" w:sz="6" w:space="0" w:color="auto"/>
              <w:left w:val="single" w:sz="6" w:space="0" w:color="auto"/>
              <w:bottom w:val="single" w:sz="6" w:space="0" w:color="auto"/>
              <w:right w:val="single" w:sz="6" w:space="0" w:color="auto"/>
            </w:tcBorders>
          </w:tcPr>
          <w:p w14:paraId="512E44E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158C0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CEF9C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C817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65EEEE2F" w14:textId="4D6FB85A"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EBC40DE" w14:textId="00226404" w:rsidR="002163DB" w:rsidRPr="005C4C18" w:rsidRDefault="002163DB"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Pr="006A49EA">
              <w:rPr>
                <w:sz w:val="22"/>
                <w:szCs w:val="22"/>
                <w:lang w:eastAsia="en-US"/>
              </w:rPr>
              <w:t xml:space="preserve"> (SD)</w:t>
            </w:r>
          </w:p>
        </w:tc>
        <w:tc>
          <w:tcPr>
            <w:tcW w:w="426" w:type="dxa"/>
            <w:tcBorders>
              <w:top w:val="single" w:sz="6" w:space="0" w:color="auto"/>
              <w:left w:val="single" w:sz="6" w:space="0" w:color="auto"/>
              <w:bottom w:val="single" w:sz="6" w:space="0" w:color="auto"/>
              <w:right w:val="single" w:sz="6" w:space="0" w:color="auto"/>
            </w:tcBorders>
          </w:tcPr>
          <w:p w14:paraId="5711549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E7442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C9B39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033C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230AD9FF" w14:textId="6CCF4663"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254A5B0D" w14:textId="0597A3DB" w:rsidR="002163DB" w:rsidRPr="005C4C18" w:rsidRDefault="002163DB" w:rsidP="002B7AED">
            <w:pPr>
              <w:tabs>
                <w:tab w:val="left" w:pos="2268"/>
                <w:tab w:val="left" w:pos="2977"/>
                <w:tab w:val="left" w:pos="4536"/>
              </w:tabs>
              <w:spacing w:line="256" w:lineRule="auto"/>
              <w:rPr>
                <w:sz w:val="22"/>
                <w:szCs w:val="22"/>
                <w:lang w:eastAsia="en-US"/>
              </w:rPr>
            </w:pPr>
            <w:r w:rsidRPr="006A49EA">
              <w:rPr>
                <w:sz w:val="22"/>
                <w:szCs w:val="22"/>
                <w:lang w:eastAsia="en-US"/>
              </w:rPr>
              <w:t xml:space="preserve">Nadja </w:t>
            </w:r>
            <w:proofErr w:type="spellStart"/>
            <w:r w:rsidRPr="006A49EA">
              <w:rPr>
                <w:sz w:val="22"/>
                <w:szCs w:val="22"/>
                <w:lang w:eastAsia="en-US"/>
              </w:rPr>
              <w:t>Awad</w:t>
            </w:r>
            <w:proofErr w:type="spellEnd"/>
            <w:r w:rsidRPr="006A49EA">
              <w:rPr>
                <w:sz w:val="22"/>
                <w:szCs w:val="22"/>
                <w:lang w:eastAsia="en-US"/>
              </w:rPr>
              <w:t xml:space="preserve"> (V)</w:t>
            </w:r>
          </w:p>
        </w:tc>
        <w:tc>
          <w:tcPr>
            <w:tcW w:w="426" w:type="dxa"/>
            <w:tcBorders>
              <w:top w:val="single" w:sz="6" w:space="0" w:color="auto"/>
              <w:left w:val="single" w:sz="6" w:space="0" w:color="auto"/>
              <w:bottom w:val="single" w:sz="6" w:space="0" w:color="auto"/>
              <w:right w:val="single" w:sz="6" w:space="0" w:color="auto"/>
            </w:tcBorders>
          </w:tcPr>
          <w:p w14:paraId="3093B6D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DA745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445A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CC2FC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1BCA4A7E" w14:textId="42521A8B"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2B8569D1" w14:textId="595B6E04" w:rsidR="002163DB" w:rsidRPr="006A49EA" w:rsidRDefault="002163DB" w:rsidP="002B7AED">
            <w:pPr>
              <w:tabs>
                <w:tab w:val="left" w:pos="2268"/>
                <w:tab w:val="left" w:pos="2977"/>
                <w:tab w:val="left" w:pos="4536"/>
              </w:tabs>
              <w:spacing w:line="256" w:lineRule="auto"/>
              <w:rPr>
                <w:sz w:val="22"/>
                <w:szCs w:val="22"/>
              </w:rPr>
            </w:pPr>
            <w:r w:rsidRPr="006A49EA">
              <w:rPr>
                <w:sz w:val="22"/>
                <w:szCs w:val="22"/>
              </w:rPr>
              <w:t>Rickard Nordin (C)</w:t>
            </w:r>
          </w:p>
        </w:tc>
        <w:tc>
          <w:tcPr>
            <w:tcW w:w="426" w:type="dxa"/>
            <w:tcBorders>
              <w:top w:val="single" w:sz="6" w:space="0" w:color="auto"/>
              <w:left w:val="single" w:sz="6" w:space="0" w:color="auto"/>
              <w:bottom w:val="single" w:sz="6" w:space="0" w:color="auto"/>
              <w:right w:val="single" w:sz="6" w:space="0" w:color="auto"/>
            </w:tcBorders>
          </w:tcPr>
          <w:p w14:paraId="3839330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67143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D5D83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D12F3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1AF32A6" w14:textId="0E0E5B2E"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756C500B" w14:textId="7C836D99" w:rsidR="002163DB" w:rsidRPr="005C4C18" w:rsidRDefault="002163DB"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6" w:type="dxa"/>
            <w:tcBorders>
              <w:top w:val="single" w:sz="6" w:space="0" w:color="auto"/>
              <w:left w:val="single" w:sz="6" w:space="0" w:color="auto"/>
              <w:bottom w:val="single" w:sz="6" w:space="0" w:color="auto"/>
              <w:right w:val="single" w:sz="6" w:space="0" w:color="auto"/>
            </w:tcBorders>
          </w:tcPr>
          <w:p w14:paraId="5747BE1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53669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434F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CCBEA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5AA8139E" w14:textId="64BA65A1"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20B19C26" w14:textId="3E68924F" w:rsidR="002163DB" w:rsidRPr="006A49EA" w:rsidRDefault="002163DB"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Dan </w:t>
            </w:r>
            <w:proofErr w:type="spellStart"/>
            <w:r>
              <w:rPr>
                <w:sz w:val="22"/>
                <w:szCs w:val="22"/>
                <w:lang w:val="en-US" w:eastAsia="en-US"/>
              </w:rPr>
              <w:t>Hovskär</w:t>
            </w:r>
            <w:proofErr w:type="spellEnd"/>
            <w:r w:rsidRPr="006A49EA">
              <w:rPr>
                <w:sz w:val="22"/>
                <w:szCs w:val="22"/>
                <w:lang w:val="en-US" w:eastAsia="en-US"/>
              </w:rPr>
              <w:t xml:space="preserve"> (KD)</w:t>
            </w:r>
          </w:p>
        </w:tc>
        <w:tc>
          <w:tcPr>
            <w:tcW w:w="426" w:type="dxa"/>
            <w:tcBorders>
              <w:top w:val="single" w:sz="6" w:space="0" w:color="auto"/>
              <w:left w:val="single" w:sz="6" w:space="0" w:color="auto"/>
              <w:bottom w:val="single" w:sz="6" w:space="0" w:color="auto"/>
              <w:right w:val="single" w:sz="6" w:space="0" w:color="auto"/>
            </w:tcBorders>
          </w:tcPr>
          <w:p w14:paraId="58C02BF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31AC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01121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D9B95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F45591F" w14:textId="04A80F02"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B739787" w14:textId="0AC9E7EB" w:rsidR="002163DB" w:rsidRPr="006A49EA" w:rsidRDefault="002163DB"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 xml:space="preserve">Per </w:t>
            </w:r>
            <w:proofErr w:type="spellStart"/>
            <w:r w:rsidRPr="006A49EA">
              <w:rPr>
                <w:sz w:val="22"/>
                <w:szCs w:val="22"/>
                <w:lang w:val="en-US" w:eastAsia="en-US"/>
              </w:rPr>
              <w:t>Bolund</w:t>
            </w:r>
            <w:proofErr w:type="spellEnd"/>
            <w:r w:rsidRPr="006A49EA">
              <w:rPr>
                <w:sz w:val="22"/>
                <w:szCs w:val="22"/>
                <w:lang w:val="en-US" w:eastAsia="en-US"/>
              </w:rPr>
              <w:t xml:space="preserve"> (MP)</w:t>
            </w:r>
          </w:p>
        </w:tc>
        <w:tc>
          <w:tcPr>
            <w:tcW w:w="426" w:type="dxa"/>
            <w:tcBorders>
              <w:top w:val="single" w:sz="6" w:space="0" w:color="auto"/>
              <w:left w:val="single" w:sz="6" w:space="0" w:color="auto"/>
              <w:bottom w:val="single" w:sz="6" w:space="0" w:color="auto"/>
              <w:right w:val="single" w:sz="6" w:space="0" w:color="auto"/>
            </w:tcBorders>
          </w:tcPr>
          <w:p w14:paraId="3C88DCE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90437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64D20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46F6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3A26A19E" w14:textId="4841CA28"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458C16E0" w14:textId="43F414E4" w:rsidR="002163DB" w:rsidRPr="005C4C18" w:rsidRDefault="002163DB"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6" w:type="dxa"/>
            <w:tcBorders>
              <w:top w:val="single" w:sz="6" w:space="0" w:color="auto"/>
              <w:left w:val="single" w:sz="6" w:space="0" w:color="auto"/>
              <w:bottom w:val="single" w:sz="6" w:space="0" w:color="auto"/>
              <w:right w:val="single" w:sz="6" w:space="0" w:color="auto"/>
            </w:tcBorders>
          </w:tcPr>
          <w:p w14:paraId="2A566A3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492F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D91CE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F54C4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2AC8F756" w14:textId="437C2146"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F8E9E24" w14:textId="6A80C9B1" w:rsidR="002163DB" w:rsidRPr="005C4C18" w:rsidRDefault="002163DB"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6" w:type="dxa"/>
            <w:tcBorders>
              <w:top w:val="single" w:sz="6" w:space="0" w:color="auto"/>
              <w:left w:val="single" w:sz="6" w:space="0" w:color="auto"/>
              <w:bottom w:val="single" w:sz="6" w:space="0" w:color="auto"/>
              <w:right w:val="single" w:sz="6" w:space="0" w:color="auto"/>
            </w:tcBorders>
          </w:tcPr>
          <w:p w14:paraId="3D558CC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0706B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5C56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15605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5348602A" w14:textId="2B1D77EB"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9F96AA4" w14:textId="1026AE64" w:rsidR="002163DB" w:rsidRPr="005C4C18" w:rsidRDefault="002163DB"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Pr="006A49EA">
              <w:rPr>
                <w:sz w:val="22"/>
                <w:szCs w:val="22"/>
                <w:lang w:eastAsia="en-US"/>
              </w:rPr>
              <w:t xml:space="preserve"> (L)</w:t>
            </w:r>
          </w:p>
        </w:tc>
        <w:tc>
          <w:tcPr>
            <w:tcW w:w="426" w:type="dxa"/>
            <w:tcBorders>
              <w:top w:val="single" w:sz="6" w:space="0" w:color="auto"/>
              <w:left w:val="single" w:sz="6" w:space="0" w:color="auto"/>
              <w:bottom w:val="single" w:sz="6" w:space="0" w:color="auto"/>
              <w:right w:val="single" w:sz="6" w:space="0" w:color="auto"/>
            </w:tcBorders>
          </w:tcPr>
          <w:p w14:paraId="107CC65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2746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46C94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8E407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2B2E99E6" w14:textId="004B3999"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3B1B09FA" w14:textId="0FFD2B08" w:rsidR="002163DB" w:rsidRPr="006A49EA" w:rsidRDefault="002163DB" w:rsidP="002B7AED">
            <w:pPr>
              <w:tabs>
                <w:tab w:val="left" w:pos="2268"/>
                <w:tab w:val="left" w:pos="2977"/>
                <w:tab w:val="left" w:pos="4536"/>
              </w:tabs>
              <w:spacing w:line="256" w:lineRule="auto"/>
              <w:rPr>
                <w:sz w:val="22"/>
                <w:szCs w:val="22"/>
                <w:lang w:eastAsia="en-US"/>
              </w:rPr>
            </w:pPr>
            <w:r>
              <w:rPr>
                <w:sz w:val="22"/>
                <w:szCs w:val="22"/>
                <w:lang w:eastAsia="en-US"/>
              </w:rPr>
              <w:t xml:space="preserve">Håkan </w:t>
            </w:r>
            <w:proofErr w:type="spellStart"/>
            <w:r>
              <w:rPr>
                <w:sz w:val="22"/>
                <w:szCs w:val="22"/>
                <w:lang w:eastAsia="en-US"/>
              </w:rPr>
              <w:t>Svenneling</w:t>
            </w:r>
            <w:proofErr w:type="spellEnd"/>
            <w:r>
              <w:rPr>
                <w:sz w:val="22"/>
                <w:szCs w:val="22"/>
                <w:lang w:eastAsia="en-US"/>
              </w:rPr>
              <w:t xml:space="preserve"> (V)</w:t>
            </w:r>
          </w:p>
        </w:tc>
        <w:tc>
          <w:tcPr>
            <w:tcW w:w="426" w:type="dxa"/>
            <w:tcBorders>
              <w:top w:val="single" w:sz="6" w:space="0" w:color="auto"/>
              <w:left w:val="single" w:sz="6" w:space="0" w:color="auto"/>
              <w:bottom w:val="single" w:sz="6" w:space="0" w:color="auto"/>
              <w:right w:val="single" w:sz="6" w:space="0" w:color="auto"/>
            </w:tcBorders>
          </w:tcPr>
          <w:p w14:paraId="175AA0C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5B2EE"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EBF70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5070"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139DAC0E" w14:textId="0B33B8D3"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7" w:type="dxa"/>
            <w:tcBorders>
              <w:top w:val="single" w:sz="6" w:space="0" w:color="auto"/>
              <w:left w:val="single" w:sz="6" w:space="0" w:color="auto"/>
              <w:bottom w:val="single" w:sz="6" w:space="0" w:color="auto"/>
              <w:right w:val="single" w:sz="6" w:space="0" w:color="auto"/>
            </w:tcBorders>
          </w:tcPr>
          <w:p w14:paraId="12573444" w14:textId="1C166606" w:rsidR="002163DB" w:rsidRDefault="002163DB"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6" w:type="dxa"/>
            <w:tcBorders>
              <w:top w:val="single" w:sz="6" w:space="0" w:color="auto"/>
              <w:left w:val="single" w:sz="6" w:space="0" w:color="auto"/>
              <w:bottom w:val="single" w:sz="6" w:space="0" w:color="auto"/>
              <w:right w:val="single" w:sz="6" w:space="0" w:color="auto"/>
            </w:tcBorders>
          </w:tcPr>
          <w:p w14:paraId="367CD5F7" w14:textId="727B076A"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E294696"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4D86F22"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2E2C4E7C"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4B576C8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3EA73C4"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598635B6"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CF96AA" w14:textId="64DD8BE1"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A463A3D"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63DB" w:rsidRPr="00B40F4D" w14:paraId="48BA59FD" w14:textId="77777777"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7" w:type="dxa"/>
          </w:tcPr>
          <w:p w14:paraId="2D7B8B25"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426" w:type="dxa"/>
          </w:tcPr>
          <w:p w14:paraId="15795629"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4C7EC47"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7" w:type="dxa"/>
            <w:gridSpan w:val="14"/>
          </w:tcPr>
          <w:p w14:paraId="7795CBDA" w14:textId="533509DB"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2163DB" w:rsidRPr="00B40F4D" w14:paraId="0CBA6331" w14:textId="77777777" w:rsidTr="0021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7" w:type="dxa"/>
          </w:tcPr>
          <w:p w14:paraId="301B190D" w14:textId="10F32840"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426" w:type="dxa"/>
          </w:tcPr>
          <w:p w14:paraId="569559E4"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C44DAFA" w14:textId="77777777"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7" w:type="dxa"/>
            <w:gridSpan w:val="14"/>
          </w:tcPr>
          <w:p w14:paraId="1A9CCEE8" w14:textId="74C031D6" w:rsidR="002163DB" w:rsidRPr="00B40F4D" w:rsidRDefault="002163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1338726A" w14:textId="77841BAD" w:rsidR="003A2D61" w:rsidRDefault="003A2D61" w:rsidP="003A2D61">
      <w:pPr>
        <w:tabs>
          <w:tab w:val="left" w:pos="142"/>
          <w:tab w:val="left" w:pos="7655"/>
        </w:tabs>
        <w:ind w:right="-568"/>
        <w:rPr>
          <w:sz w:val="22"/>
          <w:szCs w:val="22"/>
        </w:rPr>
      </w:pPr>
      <w:bookmarkStart w:id="1" w:name="_Hlk135035590"/>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F6331" w:rsidRPr="00F01A93" w14:paraId="489A60CB" w14:textId="77777777" w:rsidTr="00AB0F41">
        <w:tc>
          <w:tcPr>
            <w:tcW w:w="6532" w:type="dxa"/>
          </w:tcPr>
          <w:p w14:paraId="0547A025" w14:textId="77777777" w:rsidR="00AF6331" w:rsidRPr="00F01A93" w:rsidRDefault="00AF6331" w:rsidP="00AB0F41">
            <w:pPr>
              <w:tabs>
                <w:tab w:val="left" w:pos="1276"/>
              </w:tabs>
              <w:rPr>
                <w:sz w:val="22"/>
                <w:szCs w:val="22"/>
              </w:rPr>
            </w:pPr>
            <w:r w:rsidRPr="00F01A93">
              <w:rPr>
                <w:sz w:val="22"/>
                <w:szCs w:val="22"/>
              </w:rPr>
              <w:lastRenderedPageBreak/>
              <w:br w:type="page"/>
              <w:t>MILJÖ- OCH JORDBRUKSUTSKOTTET</w:t>
            </w:r>
          </w:p>
        </w:tc>
        <w:tc>
          <w:tcPr>
            <w:tcW w:w="2206" w:type="dxa"/>
          </w:tcPr>
          <w:p w14:paraId="27D74DE9" w14:textId="77777777" w:rsidR="00AF6331" w:rsidRPr="00F01A93" w:rsidRDefault="00AF6331" w:rsidP="00AB0F41">
            <w:pPr>
              <w:tabs>
                <w:tab w:val="left" w:pos="1276"/>
              </w:tabs>
              <w:rPr>
                <w:sz w:val="22"/>
                <w:szCs w:val="22"/>
              </w:rPr>
            </w:pPr>
          </w:p>
        </w:tc>
        <w:tc>
          <w:tcPr>
            <w:tcW w:w="2036" w:type="dxa"/>
          </w:tcPr>
          <w:p w14:paraId="09D4AC67" w14:textId="77777777" w:rsidR="00AF6331" w:rsidRPr="00F01A93" w:rsidRDefault="00AF6331" w:rsidP="00AB0F41">
            <w:pPr>
              <w:tabs>
                <w:tab w:val="left" w:pos="1276"/>
              </w:tabs>
              <w:ind w:right="-212"/>
              <w:rPr>
                <w:b/>
                <w:sz w:val="22"/>
                <w:szCs w:val="22"/>
              </w:rPr>
            </w:pPr>
            <w:r w:rsidRPr="00F01A93">
              <w:rPr>
                <w:b/>
                <w:sz w:val="22"/>
                <w:szCs w:val="22"/>
              </w:rPr>
              <w:t>Bilaga 2</w:t>
            </w:r>
          </w:p>
          <w:p w14:paraId="3EE6AD35" w14:textId="77777777" w:rsidR="00AF6331" w:rsidRPr="00F01A93" w:rsidRDefault="00AF6331" w:rsidP="00AB0F41">
            <w:pPr>
              <w:tabs>
                <w:tab w:val="left" w:pos="1276"/>
              </w:tabs>
              <w:ind w:right="-212"/>
              <w:rPr>
                <w:sz w:val="22"/>
                <w:szCs w:val="22"/>
              </w:rPr>
            </w:pPr>
            <w:r w:rsidRPr="00F01A93">
              <w:rPr>
                <w:sz w:val="22"/>
                <w:szCs w:val="22"/>
              </w:rPr>
              <w:t>till protokoll</w:t>
            </w:r>
          </w:p>
          <w:p w14:paraId="328F902A" w14:textId="77777777" w:rsidR="00AF6331" w:rsidRPr="00F01A93" w:rsidRDefault="00AF6331" w:rsidP="00AB0F41">
            <w:pPr>
              <w:tabs>
                <w:tab w:val="left" w:pos="1276"/>
              </w:tabs>
              <w:ind w:right="-212"/>
              <w:rPr>
                <w:b/>
                <w:sz w:val="22"/>
                <w:szCs w:val="22"/>
              </w:rPr>
            </w:pPr>
            <w:r w:rsidRPr="00F01A93">
              <w:rPr>
                <w:sz w:val="22"/>
                <w:szCs w:val="22"/>
              </w:rPr>
              <w:t>2023/24:</w:t>
            </w:r>
            <w:r>
              <w:rPr>
                <w:sz w:val="22"/>
                <w:szCs w:val="22"/>
              </w:rPr>
              <w:t>16</w:t>
            </w:r>
          </w:p>
        </w:tc>
      </w:tr>
    </w:tbl>
    <w:p w14:paraId="658014CD" w14:textId="77777777" w:rsidR="00AF6331" w:rsidRPr="00F01A93" w:rsidRDefault="00AF6331" w:rsidP="00AF6331">
      <w:pPr>
        <w:rPr>
          <w:b/>
          <w:bCs/>
          <w:sz w:val="22"/>
          <w:szCs w:val="22"/>
        </w:rPr>
      </w:pPr>
    </w:p>
    <w:p w14:paraId="7DAADA21" w14:textId="77777777" w:rsidR="00AF6331" w:rsidRDefault="00AF6331" w:rsidP="00AF6331">
      <w:pPr>
        <w:rPr>
          <w:sz w:val="22"/>
          <w:szCs w:val="22"/>
        </w:rPr>
      </w:pPr>
      <w:r w:rsidRPr="00F01A93">
        <w:rPr>
          <w:b/>
          <w:sz w:val="22"/>
          <w:szCs w:val="22"/>
        </w:rPr>
        <w:t xml:space="preserve">Överläggning den </w:t>
      </w:r>
      <w:r>
        <w:rPr>
          <w:b/>
          <w:sz w:val="22"/>
          <w:szCs w:val="22"/>
        </w:rPr>
        <w:t>7 decem</w:t>
      </w:r>
      <w:r w:rsidRPr="00F01A93">
        <w:rPr>
          <w:b/>
          <w:sz w:val="22"/>
          <w:szCs w:val="22"/>
        </w:rPr>
        <w:t xml:space="preserve">ber 2023 om </w:t>
      </w:r>
      <w:r>
        <w:rPr>
          <w:b/>
          <w:snapToGrid w:val="0"/>
          <w:sz w:val="22"/>
          <w:szCs w:val="22"/>
        </w:rPr>
        <w:t>k</w:t>
      </w:r>
      <w:r w:rsidRPr="00F01A93">
        <w:rPr>
          <w:b/>
          <w:snapToGrid w:val="0"/>
          <w:sz w:val="22"/>
          <w:szCs w:val="22"/>
        </w:rPr>
        <w:t xml:space="preserve">ommissionens </w:t>
      </w:r>
      <w:r>
        <w:rPr>
          <w:b/>
          <w:snapToGrid w:val="0"/>
          <w:sz w:val="22"/>
          <w:szCs w:val="22"/>
        </w:rPr>
        <w:t>f</w:t>
      </w:r>
      <w:r w:rsidRPr="00275EEE">
        <w:rPr>
          <w:b/>
          <w:snapToGrid w:val="0"/>
          <w:sz w:val="22"/>
          <w:szCs w:val="22"/>
        </w:rPr>
        <w:t>örslag till rådets förordning om fastställande för 2024, 2025 och 2026 av fiskemöjligheterna avseende vissa fiskbestånd, i unionens vatten, och för unionsfiskefartyg, i vissa andra vatten, samt om ändring av förordning (EU) 2023/194 vad gäller djuphavsbestånd</w:t>
      </w:r>
      <w:r w:rsidRPr="00F01A93">
        <w:rPr>
          <w:sz w:val="22"/>
          <w:szCs w:val="22"/>
        </w:rPr>
        <w:tab/>
      </w:r>
    </w:p>
    <w:p w14:paraId="1E7F2624" w14:textId="77777777" w:rsidR="00AF6331" w:rsidRDefault="00AF6331" w:rsidP="00AF6331">
      <w:pPr>
        <w:rPr>
          <w:b/>
          <w:sz w:val="22"/>
          <w:szCs w:val="22"/>
        </w:rPr>
      </w:pPr>
    </w:p>
    <w:p w14:paraId="0EE6FA30" w14:textId="77777777" w:rsidR="00AF6331" w:rsidRDefault="00AF6331" w:rsidP="00AF6331">
      <w:pPr>
        <w:pStyle w:val="Brdtext"/>
        <w:rPr>
          <w:b/>
          <w:bCs/>
          <w:sz w:val="22"/>
          <w:szCs w:val="22"/>
        </w:rPr>
      </w:pPr>
      <w:r w:rsidRPr="007E7C79">
        <w:rPr>
          <w:b/>
          <w:bCs/>
          <w:sz w:val="22"/>
          <w:szCs w:val="22"/>
        </w:rPr>
        <w:t>Preliminär svensk ståndpunkt:</w:t>
      </w:r>
    </w:p>
    <w:p w14:paraId="4E18C560" w14:textId="141B9013" w:rsidR="00AF6331" w:rsidRDefault="00AF6331" w:rsidP="00AF6331">
      <w:pPr>
        <w:widowControl/>
        <w:rPr>
          <w:sz w:val="22"/>
          <w:szCs w:val="22"/>
        </w:rPr>
      </w:pPr>
      <w:r w:rsidRPr="007E7C79">
        <w:rPr>
          <w:sz w:val="22"/>
          <w:szCs w:val="22"/>
        </w:rPr>
        <w:t>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kostnadseffektivt sätt, förenligt med målen om att uppnå nytta i ekonomiskt, socialt och sysselsättningshänseende samt att bidra till att trygga livsmedels</w:t>
      </w:r>
      <w:r w:rsidR="005F4AE7">
        <w:rPr>
          <w:sz w:val="22"/>
          <w:szCs w:val="22"/>
        </w:rPr>
        <w:t>-</w:t>
      </w:r>
      <w:r w:rsidRPr="007E7C79">
        <w:rPr>
          <w:sz w:val="22"/>
          <w:szCs w:val="22"/>
        </w:rPr>
        <w:t xml:space="preserve">försörjningen som en del av ett hållbart livsmedelssystem samtidigt som det hållbara småskaliga fiskets konkurrenskraft värnas. Regeringens målsättning är därför också att åtgärderna ska vara i linje med Livsmedelsstrategin, miljökvalitetsmålen och Agenda 2030. </w:t>
      </w:r>
    </w:p>
    <w:p w14:paraId="2758C7B9" w14:textId="77777777" w:rsidR="00AF6331" w:rsidRDefault="00AF6331" w:rsidP="00AF6331">
      <w:pPr>
        <w:widowControl/>
        <w:rPr>
          <w:sz w:val="22"/>
          <w:szCs w:val="22"/>
        </w:rPr>
      </w:pPr>
    </w:p>
    <w:p w14:paraId="13F2C180" w14:textId="77777777" w:rsidR="00AF6331" w:rsidRDefault="00AF6331" w:rsidP="00AF6331">
      <w:pPr>
        <w:widowControl/>
        <w:rPr>
          <w:sz w:val="22"/>
          <w:szCs w:val="22"/>
        </w:rPr>
      </w:pPr>
      <w:r w:rsidRPr="007E7C79">
        <w:rPr>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För att uppnå detta anser regeringen att förvaltningsplaner är viktiga verktyg och att det är viktigt att fortsätta arbetet med att se över de planer som är inaktuella och upprätta nya planer för de bestånd som saknar dem. </w:t>
      </w:r>
    </w:p>
    <w:p w14:paraId="62F6154D" w14:textId="77777777" w:rsidR="00AF6331" w:rsidRDefault="00AF6331" w:rsidP="00AF6331">
      <w:pPr>
        <w:widowControl/>
        <w:rPr>
          <w:sz w:val="22"/>
          <w:szCs w:val="22"/>
        </w:rPr>
      </w:pPr>
    </w:p>
    <w:p w14:paraId="159C27F5" w14:textId="77777777" w:rsidR="00AF6331" w:rsidRDefault="00AF6331" w:rsidP="00AF6331">
      <w:pPr>
        <w:widowControl/>
        <w:rPr>
          <w:sz w:val="22"/>
          <w:szCs w:val="22"/>
        </w:rPr>
      </w:pPr>
      <w:r w:rsidRPr="007E7C79">
        <w:rPr>
          <w:sz w:val="22"/>
          <w:szCs w:val="22"/>
        </w:rPr>
        <w:t xml:space="preserve">Regeringen anser att kommissionen också bör verka för den gemensamma fiskeripolitikens mål och principer i förhandlingar om fiskemöjligheter som delas med tredjeländer. </w:t>
      </w:r>
    </w:p>
    <w:p w14:paraId="22B59495" w14:textId="77777777" w:rsidR="00AF6331" w:rsidRDefault="00AF6331" w:rsidP="00AF6331">
      <w:pPr>
        <w:widowControl/>
        <w:rPr>
          <w:sz w:val="22"/>
          <w:szCs w:val="22"/>
        </w:rPr>
      </w:pPr>
    </w:p>
    <w:p w14:paraId="683AC2C2" w14:textId="5212C02F" w:rsidR="00AF6331" w:rsidRPr="007E7C79" w:rsidRDefault="00AF6331" w:rsidP="00AF6331">
      <w:pPr>
        <w:widowControl/>
        <w:rPr>
          <w:b/>
          <w:sz w:val="22"/>
          <w:szCs w:val="22"/>
        </w:rPr>
      </w:pPr>
      <w:r w:rsidRPr="007E7C79">
        <w:rPr>
          <w:sz w:val="22"/>
          <w:szCs w:val="22"/>
        </w:rPr>
        <w:t>Regeringen delar bilden att fler insatser krävs för att värna det europeiska ålbeståndet. Eftersom ålens livscykel är lång och komplicerad kräver förvaltningen av ål en långsiktigt hållbar förvaltning. Regeringen förordar därför att EU:s ålförordning ses över som helhet eftersom förordningen täcker in hela ålens utbredningsområde, livsstadier och annan mänsklig påverkan på beståndet. Dessutom bör kontroll, övervakning, ansvarsfördelning och rapportering inom nationella ålförvaltningsplaner harmoniseras för att säkerställa förordningens genomförande. Regeringen stödjer att stängnings</w:t>
      </w:r>
      <w:r>
        <w:rPr>
          <w:sz w:val="22"/>
          <w:szCs w:val="22"/>
        </w:rPr>
        <w:t>-</w:t>
      </w:r>
      <w:r w:rsidRPr="007E7C79">
        <w:rPr>
          <w:sz w:val="22"/>
          <w:szCs w:val="22"/>
        </w:rPr>
        <w:t>perioden för ål harmoniseras med övriga medlemsstater i Östersjön och med angränsande havsområden för att maximera ålens</w:t>
      </w:r>
      <w:r>
        <w:rPr>
          <w:sz w:val="22"/>
          <w:szCs w:val="22"/>
        </w:rPr>
        <w:t xml:space="preserve"> </w:t>
      </w:r>
      <w:r w:rsidRPr="007E7C79">
        <w:rPr>
          <w:sz w:val="22"/>
          <w:szCs w:val="22"/>
        </w:rPr>
        <w:t xml:space="preserve">möjlighet att vandra till Sargassohavet utan att fiskas upp på vägen. Ansvaret för att bevara ålen behöver fördelas jämlikt bland medlemsstaterna och ge jämlika förutsättningar för ett framtida hållbart ålfiske. </w:t>
      </w:r>
      <w:r w:rsidRPr="007E7C79">
        <w:rPr>
          <w:b/>
          <w:sz w:val="22"/>
          <w:szCs w:val="22"/>
        </w:rPr>
        <w:br w:type="page"/>
      </w:r>
    </w:p>
    <w:p w14:paraId="314E7C92" w14:textId="77777777" w:rsidR="00AF6331" w:rsidRPr="00474A5C" w:rsidRDefault="00AF6331" w:rsidP="00AF6331">
      <w:pPr>
        <w:widowControl/>
        <w:rPr>
          <w:b/>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F6331" w:rsidRPr="00F01A93" w14:paraId="2EC4CF88" w14:textId="77777777" w:rsidTr="00AB0F41">
        <w:tc>
          <w:tcPr>
            <w:tcW w:w="6532" w:type="dxa"/>
          </w:tcPr>
          <w:p w14:paraId="2B0DBCB0" w14:textId="77777777" w:rsidR="00AF6331" w:rsidRPr="00F01A93" w:rsidRDefault="00AF6331" w:rsidP="00AB0F41">
            <w:pPr>
              <w:tabs>
                <w:tab w:val="left" w:pos="1276"/>
              </w:tabs>
              <w:rPr>
                <w:sz w:val="22"/>
                <w:szCs w:val="22"/>
              </w:rPr>
            </w:pPr>
            <w:r w:rsidRPr="00F01A93">
              <w:rPr>
                <w:sz w:val="22"/>
                <w:szCs w:val="22"/>
              </w:rPr>
              <w:br w:type="page"/>
              <w:t>MILJÖ- OCH JORDBRUKSUTSKOTTET</w:t>
            </w:r>
          </w:p>
        </w:tc>
        <w:tc>
          <w:tcPr>
            <w:tcW w:w="2206" w:type="dxa"/>
          </w:tcPr>
          <w:p w14:paraId="490C8900" w14:textId="77777777" w:rsidR="00AF6331" w:rsidRPr="00F01A93" w:rsidRDefault="00AF6331" w:rsidP="00AB0F41">
            <w:pPr>
              <w:tabs>
                <w:tab w:val="left" w:pos="1276"/>
              </w:tabs>
              <w:rPr>
                <w:sz w:val="22"/>
                <w:szCs w:val="22"/>
              </w:rPr>
            </w:pPr>
          </w:p>
        </w:tc>
        <w:tc>
          <w:tcPr>
            <w:tcW w:w="2036" w:type="dxa"/>
          </w:tcPr>
          <w:p w14:paraId="00F08F68" w14:textId="77777777" w:rsidR="00AF6331" w:rsidRPr="00F01A93" w:rsidRDefault="00AF6331" w:rsidP="00AB0F41">
            <w:pPr>
              <w:tabs>
                <w:tab w:val="left" w:pos="1276"/>
              </w:tabs>
              <w:ind w:right="-212"/>
              <w:rPr>
                <w:b/>
                <w:sz w:val="22"/>
                <w:szCs w:val="22"/>
              </w:rPr>
            </w:pPr>
            <w:r w:rsidRPr="00F01A93">
              <w:rPr>
                <w:b/>
                <w:sz w:val="22"/>
                <w:szCs w:val="22"/>
              </w:rPr>
              <w:t>Bilaga 3</w:t>
            </w:r>
          </w:p>
          <w:p w14:paraId="27BA4A6C" w14:textId="77777777" w:rsidR="00AF6331" w:rsidRPr="00F01A93" w:rsidRDefault="00AF6331" w:rsidP="00AB0F41">
            <w:pPr>
              <w:tabs>
                <w:tab w:val="left" w:pos="1276"/>
              </w:tabs>
              <w:ind w:right="-212"/>
              <w:rPr>
                <w:sz w:val="22"/>
                <w:szCs w:val="22"/>
              </w:rPr>
            </w:pPr>
            <w:r w:rsidRPr="00F01A93">
              <w:rPr>
                <w:sz w:val="22"/>
                <w:szCs w:val="22"/>
              </w:rPr>
              <w:t>till protokoll</w:t>
            </w:r>
          </w:p>
          <w:p w14:paraId="30C5C935" w14:textId="77777777" w:rsidR="00AF6331" w:rsidRPr="00F01A93" w:rsidRDefault="00AF6331" w:rsidP="00AB0F41">
            <w:pPr>
              <w:tabs>
                <w:tab w:val="left" w:pos="1276"/>
              </w:tabs>
              <w:ind w:right="-212"/>
              <w:rPr>
                <w:b/>
                <w:sz w:val="22"/>
                <w:szCs w:val="22"/>
                <w:highlight w:val="yellow"/>
              </w:rPr>
            </w:pPr>
            <w:r w:rsidRPr="00F01A93">
              <w:rPr>
                <w:sz w:val="22"/>
                <w:szCs w:val="22"/>
              </w:rPr>
              <w:t>2023/24:</w:t>
            </w:r>
            <w:r>
              <w:rPr>
                <w:sz w:val="22"/>
                <w:szCs w:val="22"/>
              </w:rPr>
              <w:t>16</w:t>
            </w:r>
          </w:p>
        </w:tc>
      </w:tr>
    </w:tbl>
    <w:p w14:paraId="4F5A6B5C" w14:textId="77777777" w:rsidR="00AF6331" w:rsidRPr="00F01A93" w:rsidRDefault="00AF6331" w:rsidP="00AF6331">
      <w:pPr>
        <w:widowControl/>
        <w:autoSpaceDE w:val="0"/>
        <w:autoSpaceDN w:val="0"/>
        <w:adjustRightInd w:val="0"/>
        <w:rPr>
          <w:rFonts w:eastAsia="Calibri"/>
          <w:b/>
          <w:bCs/>
          <w:color w:val="000000"/>
          <w:sz w:val="22"/>
          <w:szCs w:val="22"/>
          <w:lang w:eastAsia="en-US"/>
        </w:rPr>
      </w:pPr>
    </w:p>
    <w:p w14:paraId="5AD58D89" w14:textId="77777777" w:rsidR="00AF6331" w:rsidRDefault="00AF6331" w:rsidP="00AF6331">
      <w:pPr>
        <w:rPr>
          <w:b/>
          <w:snapToGrid w:val="0"/>
          <w:sz w:val="22"/>
          <w:szCs w:val="22"/>
        </w:rPr>
      </w:pPr>
      <w:r w:rsidRPr="00275EEE">
        <w:rPr>
          <w:b/>
          <w:snapToGrid w:val="0"/>
          <w:sz w:val="22"/>
          <w:szCs w:val="22"/>
        </w:rPr>
        <w:t>Förslag till rådets förordning om fastställande för 2024, 2025 och 2026 av fiskemöjligheterna avseende vissa fiskbestånd, i unionens vatten, och för unionsfiskefartyg, i vissa andra vatten, samt om ändring av förordning (EU) 2023/194 vad gäller djuphavsbestånd</w:t>
      </w:r>
    </w:p>
    <w:p w14:paraId="4DA3B283" w14:textId="77777777" w:rsidR="00AF6331" w:rsidRDefault="00AF6331" w:rsidP="00AF6331">
      <w:pPr>
        <w:rPr>
          <w:b/>
          <w:snapToGrid w:val="0"/>
          <w:sz w:val="22"/>
          <w:szCs w:val="22"/>
        </w:rPr>
      </w:pPr>
    </w:p>
    <w:p w14:paraId="1C041B17" w14:textId="77777777" w:rsidR="00AF6331" w:rsidRPr="00E67C15" w:rsidRDefault="00AF6331" w:rsidP="00AF6331">
      <w:pPr>
        <w:tabs>
          <w:tab w:val="left" w:pos="1701"/>
        </w:tabs>
        <w:rPr>
          <w:b/>
          <w:bCs/>
          <w:color w:val="000000"/>
          <w:sz w:val="22"/>
          <w:szCs w:val="22"/>
        </w:rPr>
      </w:pPr>
      <w:r w:rsidRPr="00E67C15">
        <w:rPr>
          <w:b/>
          <w:bCs/>
          <w:color w:val="000000"/>
          <w:sz w:val="22"/>
          <w:szCs w:val="22"/>
        </w:rPr>
        <w:t>V-ledamoten anmälde följande avvikande ståndpunkt:</w:t>
      </w:r>
    </w:p>
    <w:p w14:paraId="6490107A" w14:textId="77777777" w:rsidR="00AF6331" w:rsidRDefault="00AF6331" w:rsidP="00AF6331">
      <w:pPr>
        <w:rPr>
          <w:sz w:val="22"/>
          <w:szCs w:val="22"/>
        </w:rPr>
      </w:pPr>
      <w:r w:rsidRPr="006E1E5D">
        <w:rPr>
          <w:sz w:val="22"/>
          <w:szCs w:val="22"/>
        </w:rPr>
        <w:t xml:space="preserve">Vänsterpartiet anser att Sverige bör verka för ett totalförbud mot ålfiske inom hela EU och för alla livsstadier under hela året, i linje med ICES rekommendationer. </w:t>
      </w:r>
    </w:p>
    <w:p w14:paraId="05D51155" w14:textId="77777777" w:rsidR="00AF6331" w:rsidRPr="006E1E5D" w:rsidRDefault="00AF6331" w:rsidP="00AF6331">
      <w:pPr>
        <w:rPr>
          <w:sz w:val="22"/>
          <w:szCs w:val="22"/>
        </w:rPr>
      </w:pPr>
    </w:p>
    <w:p w14:paraId="5A06AAC4" w14:textId="77777777" w:rsidR="00AF6331" w:rsidRDefault="00AF6331" w:rsidP="00AF6331">
      <w:pPr>
        <w:rPr>
          <w:sz w:val="22"/>
          <w:szCs w:val="22"/>
        </w:rPr>
      </w:pPr>
      <w:r w:rsidRPr="006E1E5D">
        <w:rPr>
          <w:sz w:val="22"/>
          <w:szCs w:val="22"/>
        </w:rPr>
        <w:t>Den europeiska ålen är en akut hotad art som skulle gynnas av ett totalstopp av allt ålfiske inom hela EU. Annan dödlighet av ål, orsakad av människan, bör också minimeras och elimineras där så är möjligt. Med tanke på ålens akuta situation bör även andra skyddsåtgärder vidtas omgående, annars riskerar den europeiska ålen att helt försvinna.</w:t>
      </w:r>
    </w:p>
    <w:p w14:paraId="4CD20695" w14:textId="77777777" w:rsidR="00AF6331" w:rsidRPr="006E1E5D" w:rsidRDefault="00AF6331" w:rsidP="00AF6331">
      <w:pPr>
        <w:rPr>
          <w:sz w:val="22"/>
          <w:szCs w:val="22"/>
        </w:rPr>
      </w:pPr>
    </w:p>
    <w:p w14:paraId="305352C1" w14:textId="77777777" w:rsidR="00AF6331" w:rsidRDefault="00AF6331" w:rsidP="00AF6331">
      <w:pPr>
        <w:rPr>
          <w:sz w:val="22"/>
          <w:szCs w:val="22"/>
        </w:rPr>
      </w:pPr>
      <w:r w:rsidRPr="006E1E5D">
        <w:rPr>
          <w:sz w:val="22"/>
          <w:szCs w:val="22"/>
        </w:rPr>
        <w:t>Vänsterpartiet anser också att regeringen bör verka för en nollkvot för den västliga vårlekande sillen, samt för lägre kvoter för torskfisket i Skagerrak och Nordsjön.</w:t>
      </w:r>
    </w:p>
    <w:p w14:paraId="079A7AAD" w14:textId="77777777" w:rsidR="00AF6331" w:rsidRPr="006E1E5D" w:rsidRDefault="00AF6331" w:rsidP="00AF6331">
      <w:pPr>
        <w:rPr>
          <w:sz w:val="22"/>
          <w:szCs w:val="22"/>
        </w:rPr>
      </w:pPr>
    </w:p>
    <w:p w14:paraId="4C60FA0A" w14:textId="77777777" w:rsidR="00AF6331" w:rsidRPr="006E1E5D" w:rsidRDefault="00AF6331" w:rsidP="00AF6331">
      <w:pPr>
        <w:rPr>
          <w:sz w:val="22"/>
          <w:szCs w:val="22"/>
        </w:rPr>
      </w:pPr>
      <w:r w:rsidRPr="006E1E5D">
        <w:rPr>
          <w:sz w:val="22"/>
          <w:szCs w:val="22"/>
        </w:rPr>
        <w:t xml:space="preserve">Sverige bör driva följande övergripande ståndpunkter gällande fiskemöjligheter: TAC-nivåer och kvoter bör beslutas i linje med den gemensamma fiskeripolitikens mål och principer. TAC-nivåer och kvoter bör grundas på en ekosystembaserad fiskeförvaltning med betoning på resursens bevarande och dess betydelse i ekosystemets funktion. Föreslagna TAC-nivåer bör även grundas på vetenskapliga fångstråd om fiskeridödlighetsnivåer enligt maximal hållbar avkastning (MSY). De fiskemöjligheter som omfattas av flerårsplaner bör följa intervall för MSY som fastställts i planerna. För bestånd där MSY-råd inte finns att tillgå bör förslagen grundas på försiktighetsansatsen. </w:t>
      </w:r>
    </w:p>
    <w:p w14:paraId="3F653E81" w14:textId="77777777" w:rsidR="00AF6331" w:rsidRPr="00E67C15" w:rsidRDefault="00AF6331" w:rsidP="00AF6331">
      <w:pPr>
        <w:rPr>
          <w:sz w:val="22"/>
          <w:szCs w:val="22"/>
        </w:rPr>
      </w:pPr>
    </w:p>
    <w:p w14:paraId="2A1BB1C8" w14:textId="77777777" w:rsidR="00AF6331" w:rsidRDefault="00AF6331" w:rsidP="00AF6331">
      <w:pPr>
        <w:tabs>
          <w:tab w:val="left" w:pos="1701"/>
        </w:tabs>
        <w:rPr>
          <w:b/>
          <w:bCs/>
          <w:color w:val="000000"/>
          <w:sz w:val="22"/>
          <w:szCs w:val="22"/>
        </w:rPr>
      </w:pPr>
      <w:r w:rsidRPr="00E67C15">
        <w:rPr>
          <w:b/>
          <w:bCs/>
          <w:color w:val="000000"/>
          <w:sz w:val="22"/>
          <w:szCs w:val="22"/>
        </w:rPr>
        <w:t>MP-ledamoten anmälde följande avvikande ståndpunkt:</w:t>
      </w:r>
    </w:p>
    <w:p w14:paraId="0380141C" w14:textId="77777777" w:rsidR="00AF6331" w:rsidRDefault="00AF6331" w:rsidP="00AF6331">
      <w:pPr>
        <w:tabs>
          <w:tab w:val="left" w:pos="1701"/>
        </w:tabs>
        <w:rPr>
          <w:color w:val="000000"/>
          <w:sz w:val="22"/>
          <w:szCs w:val="22"/>
        </w:rPr>
      </w:pPr>
      <w:r w:rsidRPr="0044214A">
        <w:rPr>
          <w:color w:val="000000"/>
          <w:sz w:val="22"/>
          <w:szCs w:val="22"/>
        </w:rPr>
        <w:t xml:space="preserve">Vi anser att förvaltningsåtgärder ska beslutas i linje med den gemensamma fiskeripolitikens mål och principer. Således ska fiske- och vattenbruksverksamheterna ska vara miljömässigt hållbara på lång sikt och förvaltas på ett kostnadseffektivt sätt, förenligt med målen om att värna biologisk mångfald, uppnå nytta i ekonomiskt, socialt och sysselsättningshänseende samt att bidra till att trygga livsmedelsförsörjningen som en del av ett hållbart livsmedelssystem samtidigt som det hållbara småskaliga fiskets konkurrenskraft värnas. Åtgärderna ska också vara i förenliga med miljökvalitetsmålen och Agenda 2030. </w:t>
      </w:r>
    </w:p>
    <w:p w14:paraId="63903077" w14:textId="77777777" w:rsidR="00AF6331" w:rsidRPr="0044214A" w:rsidRDefault="00AF6331" w:rsidP="00AF6331">
      <w:pPr>
        <w:tabs>
          <w:tab w:val="left" w:pos="1701"/>
        </w:tabs>
        <w:rPr>
          <w:color w:val="000000"/>
          <w:sz w:val="22"/>
          <w:szCs w:val="22"/>
        </w:rPr>
      </w:pPr>
    </w:p>
    <w:p w14:paraId="2DA02B36" w14:textId="77777777" w:rsidR="00AF6331" w:rsidRDefault="00AF6331" w:rsidP="00AF6331">
      <w:pPr>
        <w:tabs>
          <w:tab w:val="left" w:pos="1701"/>
        </w:tabs>
        <w:rPr>
          <w:color w:val="000000"/>
          <w:sz w:val="22"/>
          <w:szCs w:val="22"/>
        </w:rPr>
      </w:pPr>
      <w:r w:rsidRPr="0044214A">
        <w:rPr>
          <w:color w:val="000000"/>
          <w:sz w:val="22"/>
          <w:szCs w:val="22"/>
        </w:rPr>
        <w:t xml:space="preserve">När det gäller fiskemöjligheter anser vi att det är angeläget att nå målen om beståndsstorlek över den nivå som kan ge maximalt hållbar avkastning (MSY), att den gemensamma fiskeripolitikens mål om landningsskyldighet genomförs, att fiskets negativa inverkan på de marina ekosystemen minimeras samt att den vetenskapliga rådgivningen och försiktighetsansatsen utgör grunden för besluten vilket bland annat innebär lägre kvoter än vad som framgår av MSY-ansatsen för målbestånd där betydande bifångst sker av utarmade bestånd. </w:t>
      </w:r>
    </w:p>
    <w:p w14:paraId="74A67242" w14:textId="77777777" w:rsidR="00AF6331" w:rsidRPr="0044214A" w:rsidRDefault="00AF6331" w:rsidP="00AF6331">
      <w:pPr>
        <w:tabs>
          <w:tab w:val="left" w:pos="1701"/>
        </w:tabs>
        <w:rPr>
          <w:color w:val="000000"/>
          <w:sz w:val="22"/>
          <w:szCs w:val="22"/>
        </w:rPr>
      </w:pPr>
    </w:p>
    <w:p w14:paraId="307A3E4C" w14:textId="77777777" w:rsidR="00AF6331" w:rsidRDefault="00AF6331" w:rsidP="00AF6331">
      <w:pPr>
        <w:tabs>
          <w:tab w:val="left" w:pos="1701"/>
        </w:tabs>
        <w:rPr>
          <w:color w:val="000000"/>
          <w:sz w:val="22"/>
          <w:szCs w:val="22"/>
        </w:rPr>
      </w:pPr>
      <w:r w:rsidRPr="0044214A">
        <w:rPr>
          <w:color w:val="000000"/>
          <w:sz w:val="22"/>
          <w:szCs w:val="22"/>
        </w:rPr>
        <w:t>Fångstkvoter, krav på användning och förbud mot vissa redskap och tidslig och rumslig förvaltning bör utgå från det svagaste beståndets behov för att vara livskraftigt. I den gemensamma fiskeri</w:t>
      </w:r>
      <w:r>
        <w:rPr>
          <w:color w:val="000000"/>
          <w:sz w:val="22"/>
          <w:szCs w:val="22"/>
        </w:rPr>
        <w:t>-</w:t>
      </w:r>
      <w:r w:rsidRPr="0044214A">
        <w:rPr>
          <w:color w:val="000000"/>
          <w:sz w:val="22"/>
          <w:szCs w:val="22"/>
        </w:rPr>
        <w:t>politiken, GFP, framkommer tydligt att syftet ska vara att bygga upp bestånden till FMSY.</w:t>
      </w:r>
    </w:p>
    <w:p w14:paraId="5CB4A7E0" w14:textId="77777777" w:rsidR="00AF6331" w:rsidRPr="0044214A" w:rsidRDefault="00AF6331" w:rsidP="00AF6331">
      <w:pPr>
        <w:tabs>
          <w:tab w:val="left" w:pos="1701"/>
        </w:tabs>
        <w:rPr>
          <w:color w:val="000000"/>
          <w:sz w:val="22"/>
          <w:szCs w:val="22"/>
        </w:rPr>
      </w:pPr>
      <w:r w:rsidRPr="0044214A">
        <w:rPr>
          <w:color w:val="000000"/>
          <w:sz w:val="22"/>
          <w:szCs w:val="22"/>
        </w:rPr>
        <w:t xml:space="preserve"> </w:t>
      </w:r>
    </w:p>
    <w:p w14:paraId="1999140B" w14:textId="77777777" w:rsidR="00AF6331" w:rsidRPr="0044214A" w:rsidRDefault="00AF6331" w:rsidP="00AF6331">
      <w:pPr>
        <w:tabs>
          <w:tab w:val="left" w:pos="1701"/>
        </w:tabs>
        <w:rPr>
          <w:color w:val="000000"/>
          <w:sz w:val="22"/>
          <w:szCs w:val="22"/>
        </w:rPr>
      </w:pPr>
      <w:r w:rsidRPr="0044214A">
        <w:rPr>
          <w:color w:val="000000"/>
          <w:sz w:val="22"/>
          <w:szCs w:val="22"/>
        </w:rPr>
        <w:t xml:space="preserve">Stor obalans mellan fiskemöjligheter som naturligt förekommer i samma fångst bör undvikas samt att associerade åtgärder som tekniska regleringar är viktiga i syfte att undvika oönskade bifångster. </w:t>
      </w:r>
    </w:p>
    <w:p w14:paraId="20A2B168" w14:textId="77777777" w:rsidR="00AF6331" w:rsidRDefault="00AF6331" w:rsidP="00AF6331">
      <w:pPr>
        <w:tabs>
          <w:tab w:val="left" w:pos="1701"/>
        </w:tabs>
        <w:rPr>
          <w:color w:val="000000"/>
          <w:sz w:val="22"/>
          <w:szCs w:val="22"/>
        </w:rPr>
      </w:pPr>
    </w:p>
    <w:p w14:paraId="1C7C9A3B" w14:textId="77777777" w:rsidR="00AF6331" w:rsidRDefault="00AF6331" w:rsidP="00AF6331">
      <w:pPr>
        <w:tabs>
          <w:tab w:val="left" w:pos="1701"/>
        </w:tabs>
        <w:rPr>
          <w:color w:val="000000"/>
          <w:sz w:val="22"/>
          <w:szCs w:val="22"/>
        </w:rPr>
      </w:pPr>
      <w:r w:rsidRPr="0044214A">
        <w:rPr>
          <w:color w:val="000000"/>
          <w:sz w:val="22"/>
          <w:szCs w:val="22"/>
        </w:rPr>
        <w:t>Därför är det viktigt att regeringen verkar för att minska plattfisket, där ökade fångster med vissa redskap medför att bifångsterna av torsk också ökar. De fisken som medför omfattande bifångster bör minska.</w:t>
      </w:r>
    </w:p>
    <w:p w14:paraId="73358CCB" w14:textId="77777777" w:rsidR="00AF6331" w:rsidRPr="0044214A" w:rsidRDefault="00AF6331" w:rsidP="00AF6331">
      <w:pPr>
        <w:tabs>
          <w:tab w:val="left" w:pos="1701"/>
        </w:tabs>
        <w:rPr>
          <w:color w:val="000000"/>
          <w:sz w:val="22"/>
          <w:szCs w:val="22"/>
        </w:rPr>
      </w:pPr>
    </w:p>
    <w:p w14:paraId="68672CE6" w14:textId="77777777" w:rsidR="00AF6331" w:rsidRDefault="00AF6331" w:rsidP="00AF6331">
      <w:pPr>
        <w:tabs>
          <w:tab w:val="left" w:pos="1701"/>
        </w:tabs>
        <w:rPr>
          <w:color w:val="000000"/>
          <w:sz w:val="22"/>
          <w:szCs w:val="22"/>
        </w:rPr>
      </w:pPr>
      <w:r w:rsidRPr="0044214A">
        <w:rPr>
          <w:color w:val="000000"/>
          <w:sz w:val="22"/>
          <w:szCs w:val="22"/>
        </w:rPr>
        <w:t>Sverige bör också vara drivande i arbetet med fasa ut kräfttrålarna mot burfiske. Det är inte rimligt att det redskap med de största bifångsterna av torsk ska sätta ribban för vilka redskap som får vara tillåtna.</w:t>
      </w:r>
    </w:p>
    <w:p w14:paraId="593255C9" w14:textId="77777777" w:rsidR="00AF6331" w:rsidRPr="0044214A" w:rsidRDefault="00AF6331" w:rsidP="00AF6331">
      <w:pPr>
        <w:tabs>
          <w:tab w:val="left" w:pos="1701"/>
        </w:tabs>
        <w:rPr>
          <w:color w:val="000000"/>
          <w:sz w:val="22"/>
          <w:szCs w:val="22"/>
        </w:rPr>
      </w:pPr>
    </w:p>
    <w:p w14:paraId="7B11DEE0" w14:textId="77777777" w:rsidR="00AF6331" w:rsidRPr="0044214A" w:rsidRDefault="00AF6331" w:rsidP="00AF6331">
      <w:pPr>
        <w:tabs>
          <w:tab w:val="left" w:pos="1701"/>
        </w:tabs>
        <w:rPr>
          <w:color w:val="000000"/>
          <w:sz w:val="22"/>
          <w:szCs w:val="22"/>
        </w:rPr>
      </w:pPr>
      <w:r w:rsidRPr="0044214A">
        <w:rPr>
          <w:color w:val="000000"/>
          <w:sz w:val="22"/>
          <w:szCs w:val="22"/>
        </w:rPr>
        <w:t xml:space="preserve">Regeringen anser att kommissionen också bör verka för den gemensamma fiskeripolitikens mål och principer i förhandlingar om fiskemöjligheter som delas med tredjeländer. </w:t>
      </w:r>
    </w:p>
    <w:p w14:paraId="77A035ED" w14:textId="77777777" w:rsidR="00AF6331" w:rsidRDefault="00AF6331" w:rsidP="00AF6331">
      <w:pPr>
        <w:tabs>
          <w:tab w:val="left" w:pos="1701"/>
        </w:tabs>
        <w:rPr>
          <w:color w:val="000000"/>
          <w:sz w:val="22"/>
          <w:szCs w:val="22"/>
        </w:rPr>
      </w:pPr>
    </w:p>
    <w:p w14:paraId="5841BD5B" w14:textId="77777777" w:rsidR="00AF6331" w:rsidRDefault="00AF6331" w:rsidP="00AF6331">
      <w:pPr>
        <w:tabs>
          <w:tab w:val="left" w:pos="1701"/>
        </w:tabs>
        <w:rPr>
          <w:color w:val="000000"/>
          <w:sz w:val="22"/>
          <w:szCs w:val="22"/>
        </w:rPr>
      </w:pPr>
      <w:r w:rsidRPr="0044214A">
        <w:rPr>
          <w:color w:val="000000"/>
          <w:sz w:val="22"/>
          <w:szCs w:val="22"/>
        </w:rPr>
        <w:lastRenderedPageBreak/>
        <w:t xml:space="preserve">Situationen för ålen är fortfarande alarmerande och den vetenskapliga rådgivningen har under snart 20 års tid varit nollkvot. Regeringens linje ska därför vara ett stopp för både yrkes- och fritidsfiske på ål i alla dess livsstadier i enlighet med den vetenskapliga rådgivningen. ICES förespråkar alltså även stopp för glasålsfiske för utsättning. Men trots detta förordar regeringen fortsatt fiske men med sex månaders fredningsperiod. Det anser vi i miljöpartiet är fel. Vi delar dock regeringens bild av att fler insatser krävs för att värna ålen och ålbeståndet. Regeringen förordar att EU:s ålförordning ses över som helhet för att även inkludera ålfiske i inlandsvatten och annan påverkan på ålbeståndet för att sammantaget värna ålbeståndet. </w:t>
      </w:r>
    </w:p>
    <w:p w14:paraId="6D0A3A6D" w14:textId="77777777" w:rsidR="00AF6331" w:rsidRPr="0044214A" w:rsidRDefault="00AF6331" w:rsidP="00AF6331">
      <w:pPr>
        <w:tabs>
          <w:tab w:val="left" w:pos="1701"/>
        </w:tabs>
        <w:rPr>
          <w:color w:val="000000"/>
          <w:sz w:val="22"/>
          <w:szCs w:val="22"/>
        </w:rPr>
      </w:pPr>
    </w:p>
    <w:p w14:paraId="3C7056CB" w14:textId="77777777" w:rsidR="00AF6331" w:rsidRDefault="00AF6331" w:rsidP="00AF6331">
      <w:pPr>
        <w:tabs>
          <w:tab w:val="left" w:pos="1701"/>
        </w:tabs>
        <w:rPr>
          <w:color w:val="000000"/>
          <w:sz w:val="22"/>
          <w:szCs w:val="22"/>
        </w:rPr>
      </w:pPr>
      <w:r w:rsidRPr="0044214A">
        <w:rPr>
          <w:color w:val="000000"/>
          <w:sz w:val="22"/>
          <w:szCs w:val="22"/>
        </w:rPr>
        <w:t>Ålförordningen inkluderar redan fiske i inlandsvatten och all annan påverkan, det framkommer också eftersom den svenska ålförvaltningsplanen fokuserar på fiskereglering i kust- och inlandsvatten. Samordning av insatser med vattendirektivet, livsmiljörestaurering och vattenkvalitet kan Sverige åtgärda utan att en omförhandling av hela förordningen på EU-nivå. Dock kan inte kommissionen lägga förslag på inlandsvatten, bara EU:s vatten inklusive kustområden. Medlemsländerna ansvarar för inlandsvatten.</w:t>
      </w:r>
    </w:p>
    <w:p w14:paraId="3CBE7281" w14:textId="77777777" w:rsidR="00AF6331" w:rsidRPr="0044214A" w:rsidRDefault="00AF6331" w:rsidP="00AF6331">
      <w:pPr>
        <w:tabs>
          <w:tab w:val="left" w:pos="1701"/>
        </w:tabs>
        <w:rPr>
          <w:color w:val="000000"/>
          <w:sz w:val="22"/>
          <w:szCs w:val="22"/>
        </w:rPr>
      </w:pPr>
    </w:p>
    <w:p w14:paraId="713B80A6" w14:textId="4D5154C6" w:rsidR="00AF6331" w:rsidRPr="0044214A" w:rsidRDefault="00AF6331" w:rsidP="00AF6331">
      <w:pPr>
        <w:tabs>
          <w:tab w:val="left" w:pos="1701"/>
        </w:tabs>
        <w:rPr>
          <w:color w:val="000000"/>
          <w:sz w:val="22"/>
          <w:szCs w:val="22"/>
        </w:rPr>
      </w:pPr>
      <w:r w:rsidRPr="0044214A">
        <w:rPr>
          <w:color w:val="000000"/>
          <w:sz w:val="22"/>
          <w:szCs w:val="22"/>
        </w:rPr>
        <w:t>Vi har också i ett sent skede fått reda på att man vid JoF den 10</w:t>
      </w:r>
      <w:r w:rsidR="005F4AE7">
        <w:rPr>
          <w:color w:val="000000"/>
          <w:sz w:val="22"/>
          <w:szCs w:val="22"/>
        </w:rPr>
        <w:t xml:space="preserve"> – </w:t>
      </w:r>
      <w:r w:rsidRPr="0044214A">
        <w:rPr>
          <w:color w:val="000000"/>
          <w:sz w:val="22"/>
          <w:szCs w:val="22"/>
        </w:rPr>
        <w:t xml:space="preserve">11 december kommer att ta upp frågan om att stryka artikel 4.6 ur </w:t>
      </w:r>
      <w:proofErr w:type="spellStart"/>
      <w:r w:rsidRPr="0044214A">
        <w:rPr>
          <w:color w:val="000000"/>
          <w:sz w:val="22"/>
          <w:szCs w:val="22"/>
        </w:rPr>
        <w:t>MAP:en</w:t>
      </w:r>
      <w:proofErr w:type="spellEnd"/>
      <w:r w:rsidRPr="0044214A">
        <w:rPr>
          <w:color w:val="000000"/>
          <w:sz w:val="22"/>
          <w:szCs w:val="22"/>
        </w:rPr>
        <w:t xml:space="preserve">. Det är en säkerhetsklausuls som ska säkerställa att fiskebestånden inte hamnar på för låga nivåer. Borttagningen av artikel 4.6 har föreslagits av kommissionen utan några stakeholderskonsultationer eller liknande förutom som en övrig punkt under förra mötet med Baltfish. Vi uppmanar regeringen att inte gå med på något på sittande möte samt att regeringen tar upp det olämpliga i att snabbehandla en så viktig fråga utan några som helst diskussioner innan. Det här är en fråga som fiskeindustrin drivit men det gynnar inte fiskarna i havet. Går man vidare med detta kommer förtroendet för fiskeripolitiken urholkas ytterligare. </w:t>
      </w:r>
    </w:p>
    <w:p w14:paraId="3051C428" w14:textId="64A50EEE" w:rsidR="006A1878" w:rsidRDefault="006A1878">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A1878" w:rsidRPr="00F01A93" w14:paraId="249F8F84" w14:textId="77777777" w:rsidTr="00AB0F41">
        <w:tc>
          <w:tcPr>
            <w:tcW w:w="6532" w:type="dxa"/>
          </w:tcPr>
          <w:p w14:paraId="511CBEB3" w14:textId="77777777" w:rsidR="006A1878" w:rsidRPr="00F01A93" w:rsidRDefault="006A1878" w:rsidP="00AB0F41">
            <w:pPr>
              <w:tabs>
                <w:tab w:val="left" w:pos="1276"/>
              </w:tabs>
              <w:rPr>
                <w:sz w:val="22"/>
                <w:szCs w:val="22"/>
              </w:rPr>
            </w:pPr>
            <w:r w:rsidRPr="00F01A93">
              <w:rPr>
                <w:sz w:val="22"/>
                <w:szCs w:val="22"/>
              </w:rPr>
              <w:lastRenderedPageBreak/>
              <w:br w:type="page"/>
              <w:t>MILJÖ- OCH JORDBRUKSUTSKOTTET</w:t>
            </w:r>
          </w:p>
        </w:tc>
        <w:tc>
          <w:tcPr>
            <w:tcW w:w="2206" w:type="dxa"/>
          </w:tcPr>
          <w:p w14:paraId="56CCB1F7" w14:textId="77777777" w:rsidR="006A1878" w:rsidRPr="00F01A93" w:rsidRDefault="006A1878" w:rsidP="00AB0F41">
            <w:pPr>
              <w:tabs>
                <w:tab w:val="left" w:pos="1276"/>
              </w:tabs>
              <w:rPr>
                <w:sz w:val="22"/>
                <w:szCs w:val="22"/>
              </w:rPr>
            </w:pPr>
          </w:p>
        </w:tc>
        <w:tc>
          <w:tcPr>
            <w:tcW w:w="2036" w:type="dxa"/>
          </w:tcPr>
          <w:p w14:paraId="05D441E0" w14:textId="77777777" w:rsidR="006A1878" w:rsidRPr="00F01A93" w:rsidRDefault="006A1878" w:rsidP="00AB0F41">
            <w:pPr>
              <w:tabs>
                <w:tab w:val="left" w:pos="1276"/>
              </w:tabs>
              <w:ind w:right="-212"/>
              <w:rPr>
                <w:b/>
                <w:sz w:val="22"/>
                <w:szCs w:val="22"/>
              </w:rPr>
            </w:pPr>
            <w:r w:rsidRPr="00F01A93">
              <w:rPr>
                <w:b/>
                <w:sz w:val="22"/>
                <w:szCs w:val="22"/>
              </w:rPr>
              <w:t xml:space="preserve">Bilaga </w:t>
            </w:r>
            <w:r w:rsidRPr="005C1E55">
              <w:rPr>
                <w:b/>
                <w:sz w:val="22"/>
                <w:szCs w:val="22"/>
              </w:rPr>
              <w:t>4</w:t>
            </w:r>
          </w:p>
          <w:p w14:paraId="3AEFEC7E" w14:textId="77777777" w:rsidR="006A1878" w:rsidRPr="00F01A93" w:rsidRDefault="006A1878" w:rsidP="00AB0F41">
            <w:pPr>
              <w:tabs>
                <w:tab w:val="left" w:pos="1276"/>
              </w:tabs>
              <w:ind w:right="-212"/>
              <w:rPr>
                <w:sz w:val="22"/>
                <w:szCs w:val="22"/>
              </w:rPr>
            </w:pPr>
            <w:r w:rsidRPr="00F01A93">
              <w:rPr>
                <w:sz w:val="22"/>
                <w:szCs w:val="22"/>
              </w:rPr>
              <w:t>till protokoll</w:t>
            </w:r>
          </w:p>
          <w:p w14:paraId="21506781" w14:textId="77777777" w:rsidR="006A1878" w:rsidRPr="00F01A93" w:rsidRDefault="006A1878" w:rsidP="00AB0F41">
            <w:pPr>
              <w:tabs>
                <w:tab w:val="left" w:pos="1276"/>
              </w:tabs>
              <w:ind w:right="-212"/>
              <w:rPr>
                <w:b/>
                <w:sz w:val="22"/>
                <w:szCs w:val="22"/>
              </w:rPr>
            </w:pPr>
            <w:r w:rsidRPr="00F01A93">
              <w:rPr>
                <w:sz w:val="22"/>
                <w:szCs w:val="22"/>
              </w:rPr>
              <w:t>2023/24:</w:t>
            </w:r>
            <w:r>
              <w:rPr>
                <w:sz w:val="22"/>
                <w:szCs w:val="22"/>
              </w:rPr>
              <w:t>16</w:t>
            </w:r>
          </w:p>
        </w:tc>
      </w:tr>
    </w:tbl>
    <w:p w14:paraId="185171A7" w14:textId="77777777" w:rsidR="006A1878" w:rsidRPr="00F01A93" w:rsidRDefault="006A1878" w:rsidP="006A1878">
      <w:pPr>
        <w:rPr>
          <w:b/>
          <w:bCs/>
          <w:sz w:val="22"/>
          <w:szCs w:val="22"/>
        </w:rPr>
      </w:pPr>
    </w:p>
    <w:p w14:paraId="0781DE13" w14:textId="77777777" w:rsidR="006A1878" w:rsidRDefault="006A1878" w:rsidP="006A1878">
      <w:pPr>
        <w:rPr>
          <w:sz w:val="22"/>
          <w:szCs w:val="22"/>
        </w:rPr>
      </w:pPr>
      <w:r w:rsidRPr="00F01A93">
        <w:rPr>
          <w:b/>
          <w:sz w:val="22"/>
          <w:szCs w:val="22"/>
        </w:rPr>
        <w:t xml:space="preserve">Överläggning den </w:t>
      </w:r>
      <w:r>
        <w:rPr>
          <w:b/>
          <w:sz w:val="22"/>
          <w:szCs w:val="22"/>
        </w:rPr>
        <w:t>7 decem</w:t>
      </w:r>
      <w:r w:rsidRPr="00F01A93">
        <w:rPr>
          <w:b/>
          <w:sz w:val="22"/>
          <w:szCs w:val="22"/>
        </w:rPr>
        <w:t xml:space="preserve">ber 2023 om </w:t>
      </w:r>
      <w:r>
        <w:rPr>
          <w:b/>
          <w:snapToGrid w:val="0"/>
          <w:sz w:val="22"/>
          <w:szCs w:val="22"/>
        </w:rPr>
        <w:t>k</w:t>
      </w:r>
      <w:r w:rsidRPr="00F01A93">
        <w:rPr>
          <w:b/>
          <w:snapToGrid w:val="0"/>
          <w:sz w:val="22"/>
          <w:szCs w:val="22"/>
        </w:rPr>
        <w:t xml:space="preserve">ommissionens </w:t>
      </w:r>
      <w:r>
        <w:rPr>
          <w:b/>
          <w:snapToGrid w:val="0"/>
          <w:sz w:val="22"/>
          <w:szCs w:val="22"/>
        </w:rPr>
        <w:t>f</w:t>
      </w:r>
      <w:r w:rsidRPr="00C73AF2">
        <w:rPr>
          <w:b/>
          <w:snapToGrid w:val="0"/>
          <w:sz w:val="22"/>
          <w:szCs w:val="22"/>
        </w:rPr>
        <w:t>örslag till Europaparlamentets och rådets förordning om växter som framställts med vissa nya genomiska metoder och därav framställda livsmedel och foder samt om ändring av förordning (EU) 2017/625</w:t>
      </w:r>
    </w:p>
    <w:p w14:paraId="1C31408B" w14:textId="77777777" w:rsidR="006A1878" w:rsidRDefault="006A1878" w:rsidP="006A1878">
      <w:pPr>
        <w:rPr>
          <w:b/>
          <w:sz w:val="22"/>
          <w:szCs w:val="22"/>
        </w:rPr>
      </w:pPr>
    </w:p>
    <w:p w14:paraId="2885CC78" w14:textId="77777777" w:rsidR="006A1878" w:rsidRDefault="006A1878" w:rsidP="006A1878">
      <w:pPr>
        <w:pStyle w:val="Brdtext"/>
        <w:rPr>
          <w:b/>
          <w:bCs/>
          <w:sz w:val="22"/>
          <w:szCs w:val="22"/>
        </w:rPr>
      </w:pPr>
      <w:r w:rsidRPr="00A55B44">
        <w:rPr>
          <w:b/>
          <w:bCs/>
          <w:sz w:val="22"/>
          <w:szCs w:val="22"/>
        </w:rPr>
        <w:t>Förslag till svensk ståndpunkt:</w:t>
      </w:r>
    </w:p>
    <w:p w14:paraId="3001E55F" w14:textId="77777777" w:rsidR="006A1878" w:rsidRPr="00A0030B" w:rsidRDefault="006A1878" w:rsidP="006A1878">
      <w:pPr>
        <w:pStyle w:val="Brdtext"/>
        <w:rPr>
          <w:bCs/>
          <w:sz w:val="22"/>
          <w:szCs w:val="22"/>
        </w:rPr>
      </w:pPr>
      <w:r w:rsidRPr="00556126">
        <w:rPr>
          <w:bCs/>
          <w:sz w:val="22"/>
          <w:szCs w:val="22"/>
        </w:rPr>
        <w:t>Regeringen anser att ordförandeskapets kompromisstext behåller de bärande delarna av förslaget och att texten har förbättrats genom ökad teknisk tydlighet och något minskad administration för forskare, företag och myndigheter. Regeringen anser att fortsatt stöd till ordförandeskapets ambition om fortsatta förhandlingar mot en allmän riktlinje kan ges.</w:t>
      </w:r>
      <w:r w:rsidRPr="00556126">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A1878" w:rsidRPr="00F01A93" w14:paraId="6ACBF337" w14:textId="77777777" w:rsidTr="00AB0F41">
        <w:tc>
          <w:tcPr>
            <w:tcW w:w="6532" w:type="dxa"/>
          </w:tcPr>
          <w:p w14:paraId="53C935D1" w14:textId="77777777" w:rsidR="006A1878" w:rsidRPr="00F01A93" w:rsidRDefault="006A1878" w:rsidP="00AB0F41">
            <w:pPr>
              <w:tabs>
                <w:tab w:val="left" w:pos="1276"/>
              </w:tabs>
              <w:rPr>
                <w:sz w:val="22"/>
                <w:szCs w:val="22"/>
              </w:rPr>
            </w:pPr>
            <w:r w:rsidRPr="00F01A93">
              <w:rPr>
                <w:sz w:val="22"/>
                <w:szCs w:val="22"/>
              </w:rPr>
              <w:lastRenderedPageBreak/>
              <w:t>MILJÖ- OCH JORDBRUKSUTSKOTTET</w:t>
            </w:r>
          </w:p>
        </w:tc>
        <w:tc>
          <w:tcPr>
            <w:tcW w:w="2206" w:type="dxa"/>
          </w:tcPr>
          <w:p w14:paraId="692277A1" w14:textId="77777777" w:rsidR="006A1878" w:rsidRPr="00F01A93" w:rsidRDefault="006A1878" w:rsidP="00AB0F41">
            <w:pPr>
              <w:tabs>
                <w:tab w:val="left" w:pos="1276"/>
              </w:tabs>
              <w:rPr>
                <w:sz w:val="22"/>
                <w:szCs w:val="22"/>
              </w:rPr>
            </w:pPr>
          </w:p>
        </w:tc>
        <w:tc>
          <w:tcPr>
            <w:tcW w:w="2036" w:type="dxa"/>
          </w:tcPr>
          <w:p w14:paraId="6A543A1F" w14:textId="77777777" w:rsidR="006A1878" w:rsidRPr="00F01A93" w:rsidRDefault="006A1878" w:rsidP="00AB0F41">
            <w:pPr>
              <w:tabs>
                <w:tab w:val="left" w:pos="1276"/>
              </w:tabs>
              <w:ind w:right="-212"/>
              <w:rPr>
                <w:b/>
                <w:sz w:val="22"/>
                <w:szCs w:val="22"/>
              </w:rPr>
            </w:pPr>
            <w:r w:rsidRPr="00F01A93">
              <w:rPr>
                <w:b/>
                <w:sz w:val="22"/>
                <w:szCs w:val="22"/>
              </w:rPr>
              <w:t xml:space="preserve">Bilaga </w:t>
            </w:r>
            <w:r w:rsidRPr="005C1E55">
              <w:rPr>
                <w:b/>
                <w:sz w:val="22"/>
                <w:szCs w:val="22"/>
              </w:rPr>
              <w:t>5</w:t>
            </w:r>
          </w:p>
          <w:p w14:paraId="3C46A0E9" w14:textId="77777777" w:rsidR="006A1878" w:rsidRPr="00F01A93" w:rsidRDefault="006A1878" w:rsidP="00AB0F41">
            <w:pPr>
              <w:tabs>
                <w:tab w:val="left" w:pos="1276"/>
              </w:tabs>
              <w:ind w:right="-212"/>
              <w:rPr>
                <w:sz w:val="22"/>
                <w:szCs w:val="22"/>
              </w:rPr>
            </w:pPr>
            <w:r w:rsidRPr="00F01A93">
              <w:rPr>
                <w:sz w:val="22"/>
                <w:szCs w:val="22"/>
              </w:rPr>
              <w:t>till protokoll</w:t>
            </w:r>
          </w:p>
          <w:p w14:paraId="7C97E8D3" w14:textId="77777777" w:rsidR="006A1878" w:rsidRPr="00F01A93" w:rsidRDefault="006A1878" w:rsidP="00AB0F41">
            <w:pPr>
              <w:tabs>
                <w:tab w:val="left" w:pos="1276"/>
              </w:tabs>
              <w:ind w:right="-212"/>
              <w:rPr>
                <w:b/>
                <w:sz w:val="22"/>
                <w:szCs w:val="22"/>
                <w:highlight w:val="yellow"/>
              </w:rPr>
            </w:pPr>
            <w:r w:rsidRPr="00F01A93">
              <w:rPr>
                <w:sz w:val="22"/>
                <w:szCs w:val="22"/>
              </w:rPr>
              <w:t>2023/24:</w:t>
            </w:r>
            <w:r>
              <w:rPr>
                <w:sz w:val="22"/>
                <w:szCs w:val="22"/>
              </w:rPr>
              <w:t>16</w:t>
            </w:r>
          </w:p>
        </w:tc>
      </w:tr>
    </w:tbl>
    <w:p w14:paraId="2D3E7BE5" w14:textId="77777777" w:rsidR="006A1878" w:rsidRPr="00F01A93" w:rsidRDefault="006A1878" w:rsidP="006A1878">
      <w:pPr>
        <w:widowControl/>
        <w:autoSpaceDE w:val="0"/>
        <w:autoSpaceDN w:val="0"/>
        <w:adjustRightInd w:val="0"/>
        <w:rPr>
          <w:rFonts w:eastAsia="Calibri"/>
          <w:b/>
          <w:bCs/>
          <w:color w:val="000000"/>
          <w:sz w:val="22"/>
          <w:szCs w:val="22"/>
          <w:lang w:eastAsia="en-US"/>
        </w:rPr>
      </w:pPr>
    </w:p>
    <w:p w14:paraId="5123BDDB" w14:textId="77777777" w:rsidR="006A1878" w:rsidRDefault="006A1878" w:rsidP="006A1878">
      <w:pPr>
        <w:rPr>
          <w:b/>
          <w:snapToGrid w:val="0"/>
          <w:sz w:val="22"/>
          <w:szCs w:val="22"/>
        </w:rPr>
      </w:pPr>
      <w:r w:rsidRPr="00C73AF2">
        <w:rPr>
          <w:b/>
          <w:snapToGrid w:val="0"/>
          <w:sz w:val="22"/>
          <w:szCs w:val="22"/>
        </w:rPr>
        <w:t>Förslag till Europaparlamentets och rådets förordning om växter som framställts med vissa nya genomiska metoder och därav framställda livsmedel och foder samt om ändring av förordning (EU) 2017/625</w:t>
      </w:r>
    </w:p>
    <w:p w14:paraId="63376734" w14:textId="77777777" w:rsidR="006A1878" w:rsidRPr="00F01A93" w:rsidRDefault="006A1878" w:rsidP="006A1878">
      <w:pPr>
        <w:rPr>
          <w:sz w:val="22"/>
          <w:szCs w:val="22"/>
        </w:rPr>
      </w:pPr>
    </w:p>
    <w:p w14:paraId="5F7F1E44" w14:textId="77777777" w:rsidR="006A1878" w:rsidRDefault="006A1878" w:rsidP="006A1878">
      <w:pPr>
        <w:tabs>
          <w:tab w:val="left" w:pos="1701"/>
        </w:tabs>
        <w:rPr>
          <w:b/>
          <w:bCs/>
          <w:color w:val="000000"/>
          <w:sz w:val="22"/>
          <w:szCs w:val="22"/>
        </w:rPr>
      </w:pPr>
      <w:r w:rsidRPr="00290876">
        <w:rPr>
          <w:b/>
          <w:bCs/>
          <w:color w:val="000000"/>
          <w:sz w:val="22"/>
          <w:szCs w:val="22"/>
        </w:rPr>
        <w:t>MP-ledamoten anmälde följande avvikande ståndpunkt:</w:t>
      </w:r>
    </w:p>
    <w:p w14:paraId="2AB8F185" w14:textId="77777777" w:rsidR="006A1878" w:rsidRPr="00384E04" w:rsidRDefault="006A1878" w:rsidP="006A1878">
      <w:pPr>
        <w:widowControl/>
        <w:rPr>
          <w:sz w:val="22"/>
          <w:szCs w:val="36"/>
        </w:rPr>
      </w:pPr>
      <w:r w:rsidRPr="00384E04">
        <w:rPr>
          <w:sz w:val="22"/>
          <w:szCs w:val="36"/>
        </w:rPr>
        <w:t>Vi står fast vi vår tidigare avvikande ståndpunkt från överläggningen 2023-09-</w:t>
      </w:r>
      <w:r>
        <w:rPr>
          <w:sz w:val="22"/>
          <w:szCs w:val="36"/>
        </w:rPr>
        <w:t>1</w:t>
      </w:r>
      <w:r w:rsidRPr="00384E04">
        <w:rPr>
          <w:sz w:val="22"/>
          <w:szCs w:val="36"/>
        </w:rPr>
        <w:t>4 som löd</w:t>
      </w:r>
      <w:r>
        <w:rPr>
          <w:sz w:val="22"/>
          <w:szCs w:val="36"/>
        </w:rPr>
        <w:t>:</w:t>
      </w:r>
    </w:p>
    <w:p w14:paraId="1416347D" w14:textId="77777777" w:rsidR="006A1878" w:rsidRPr="00384E04" w:rsidRDefault="006A1878" w:rsidP="006A1878">
      <w:pPr>
        <w:widowControl/>
        <w:rPr>
          <w:sz w:val="22"/>
          <w:szCs w:val="36"/>
        </w:rPr>
      </w:pPr>
    </w:p>
    <w:p w14:paraId="32E86997" w14:textId="77777777" w:rsidR="006A1878" w:rsidRPr="00384E04" w:rsidRDefault="006A1878" w:rsidP="006A1878">
      <w:pPr>
        <w:widowControl/>
        <w:rPr>
          <w:sz w:val="22"/>
          <w:szCs w:val="36"/>
        </w:rPr>
      </w:pPr>
      <w:r w:rsidRPr="00384E04">
        <w:rPr>
          <w:sz w:val="22"/>
          <w:szCs w:val="36"/>
        </w:rPr>
        <w:t xml:space="preserve">Miljöpartiet ser positivt att vi får ett mer modernt regelverk för GMO och NGT som tar hänsyn till de </w:t>
      </w:r>
    </w:p>
    <w:p w14:paraId="192798F4" w14:textId="77777777" w:rsidR="006A1878" w:rsidRPr="00384E04" w:rsidRDefault="006A1878" w:rsidP="006A1878">
      <w:pPr>
        <w:widowControl/>
        <w:rPr>
          <w:sz w:val="22"/>
          <w:szCs w:val="36"/>
        </w:rPr>
      </w:pPr>
      <w:r w:rsidRPr="00384E04">
        <w:rPr>
          <w:sz w:val="22"/>
          <w:szCs w:val="36"/>
        </w:rPr>
        <w:t xml:space="preserve">tekniksprång som skett sedan den nuvarande lagstiftningen togs fram. Regleringen måste vara </w:t>
      </w:r>
    </w:p>
    <w:p w14:paraId="1F238CFA" w14:textId="77777777" w:rsidR="006A1878" w:rsidRPr="00384E04" w:rsidRDefault="006A1878" w:rsidP="006A1878">
      <w:pPr>
        <w:widowControl/>
        <w:rPr>
          <w:sz w:val="22"/>
          <w:szCs w:val="36"/>
        </w:rPr>
      </w:pPr>
      <w:r w:rsidRPr="00384E04">
        <w:rPr>
          <w:sz w:val="22"/>
          <w:szCs w:val="36"/>
        </w:rPr>
        <w:t xml:space="preserve">proportionerlig mot den risk som kan föreligga, och tillsammans med övrig relevant lagstiftning, bidra </w:t>
      </w:r>
    </w:p>
    <w:p w14:paraId="31E41F79" w14:textId="77777777" w:rsidR="006A1878" w:rsidRPr="00384E04" w:rsidRDefault="006A1878" w:rsidP="006A1878">
      <w:pPr>
        <w:widowControl/>
        <w:rPr>
          <w:sz w:val="22"/>
          <w:szCs w:val="36"/>
        </w:rPr>
      </w:pPr>
      <w:r w:rsidRPr="00384E04">
        <w:rPr>
          <w:sz w:val="22"/>
          <w:szCs w:val="36"/>
        </w:rPr>
        <w:t xml:space="preserve">till en mer proportionerlig riskbedömning med ett fokus på växtens egenskaper och ge vissa incitament </w:t>
      </w:r>
    </w:p>
    <w:p w14:paraId="179837D5" w14:textId="77777777" w:rsidR="006A1878" w:rsidRPr="00384E04" w:rsidRDefault="006A1878" w:rsidP="006A1878">
      <w:pPr>
        <w:widowControl/>
        <w:rPr>
          <w:sz w:val="22"/>
          <w:szCs w:val="36"/>
        </w:rPr>
      </w:pPr>
      <w:r w:rsidRPr="00384E04">
        <w:rPr>
          <w:sz w:val="22"/>
          <w:szCs w:val="36"/>
        </w:rPr>
        <w:t xml:space="preserve">till användning av NGT för förädling för ett mer hållbart skogs- och jordbruk. Det finns dock ett antal </w:t>
      </w:r>
    </w:p>
    <w:p w14:paraId="45A295CF" w14:textId="77777777" w:rsidR="006A1878" w:rsidRPr="00384E04" w:rsidRDefault="006A1878" w:rsidP="006A1878">
      <w:pPr>
        <w:widowControl/>
        <w:rPr>
          <w:sz w:val="22"/>
          <w:szCs w:val="36"/>
        </w:rPr>
      </w:pPr>
      <w:r w:rsidRPr="00384E04">
        <w:rPr>
          <w:sz w:val="22"/>
          <w:szCs w:val="36"/>
        </w:rPr>
        <w:t xml:space="preserve">oklarheter i lagförslaget och vi ser ett behov av ett antal förändringar i förslaget. De främsta bristerna </w:t>
      </w:r>
    </w:p>
    <w:p w14:paraId="0959FF38" w14:textId="77777777" w:rsidR="006A1878" w:rsidRDefault="006A1878" w:rsidP="006A1878">
      <w:pPr>
        <w:widowControl/>
        <w:rPr>
          <w:sz w:val="22"/>
          <w:szCs w:val="36"/>
        </w:rPr>
      </w:pPr>
      <w:r w:rsidRPr="00384E04">
        <w:rPr>
          <w:sz w:val="22"/>
          <w:szCs w:val="36"/>
        </w:rPr>
        <w:t xml:space="preserve">rör konsumentinformation och konsekvenser för ekologiska odlare. </w:t>
      </w:r>
    </w:p>
    <w:p w14:paraId="5CA0B2BA" w14:textId="77777777" w:rsidR="006A1878" w:rsidRPr="00384E04" w:rsidRDefault="006A1878" w:rsidP="006A1878">
      <w:pPr>
        <w:widowControl/>
        <w:rPr>
          <w:sz w:val="22"/>
          <w:szCs w:val="36"/>
        </w:rPr>
      </w:pPr>
    </w:p>
    <w:p w14:paraId="1BF569EE" w14:textId="77777777" w:rsidR="006A1878" w:rsidRPr="00384E04" w:rsidRDefault="006A1878" w:rsidP="006A1878">
      <w:pPr>
        <w:widowControl/>
        <w:rPr>
          <w:sz w:val="22"/>
          <w:szCs w:val="36"/>
        </w:rPr>
      </w:pPr>
      <w:r w:rsidRPr="00384E04">
        <w:rPr>
          <w:sz w:val="22"/>
          <w:szCs w:val="36"/>
        </w:rPr>
        <w:t xml:space="preserve">Såväl EU-direktivet som miljöbalken definierar en GMO som: “Med genetiskt modifierad organism </w:t>
      </w:r>
    </w:p>
    <w:p w14:paraId="30ED9991" w14:textId="77777777" w:rsidR="006A1878" w:rsidRPr="00384E04" w:rsidRDefault="006A1878" w:rsidP="006A1878">
      <w:pPr>
        <w:widowControl/>
        <w:rPr>
          <w:sz w:val="22"/>
          <w:szCs w:val="36"/>
        </w:rPr>
      </w:pPr>
      <w:r w:rsidRPr="00384E04">
        <w:rPr>
          <w:sz w:val="22"/>
          <w:szCs w:val="36"/>
        </w:rPr>
        <w:t xml:space="preserve">avses en organism där det genetiska materialet har ändrats på ett sätt som inte inträffar naturligt genom </w:t>
      </w:r>
    </w:p>
    <w:p w14:paraId="26291BCE" w14:textId="77777777" w:rsidR="006A1878" w:rsidRPr="00384E04" w:rsidRDefault="006A1878" w:rsidP="006A1878">
      <w:pPr>
        <w:widowControl/>
        <w:rPr>
          <w:sz w:val="22"/>
          <w:szCs w:val="36"/>
        </w:rPr>
      </w:pPr>
      <w:r w:rsidRPr="00384E04">
        <w:rPr>
          <w:sz w:val="22"/>
          <w:szCs w:val="36"/>
        </w:rPr>
        <w:t xml:space="preserve">parning eller naturlig rekombination.” vilket också bekräftas av rättsfallet i EU-domstolen 2018 (mål </w:t>
      </w:r>
    </w:p>
    <w:p w14:paraId="121C764B" w14:textId="77777777" w:rsidR="006A1878" w:rsidRPr="00384E04" w:rsidRDefault="006A1878" w:rsidP="006A1878">
      <w:pPr>
        <w:widowControl/>
        <w:rPr>
          <w:sz w:val="22"/>
          <w:szCs w:val="36"/>
        </w:rPr>
      </w:pPr>
      <w:r w:rsidRPr="00384E04">
        <w:rPr>
          <w:sz w:val="22"/>
          <w:szCs w:val="36"/>
        </w:rPr>
        <w:t xml:space="preserve">C-528/16). EU-kommissionen bejakar också denna definition i förslaget till förordning, bland annat i </w:t>
      </w:r>
    </w:p>
    <w:p w14:paraId="68F2E785" w14:textId="77777777" w:rsidR="006A1878" w:rsidRPr="00384E04" w:rsidRDefault="006A1878" w:rsidP="006A1878">
      <w:pPr>
        <w:widowControl/>
        <w:rPr>
          <w:sz w:val="22"/>
          <w:szCs w:val="36"/>
          <w:lang w:val="en-GB"/>
        </w:rPr>
      </w:pPr>
      <w:proofErr w:type="spellStart"/>
      <w:r w:rsidRPr="00384E04">
        <w:rPr>
          <w:sz w:val="22"/>
          <w:szCs w:val="36"/>
          <w:lang w:val="en-GB"/>
        </w:rPr>
        <w:t>skäl</w:t>
      </w:r>
      <w:proofErr w:type="spellEnd"/>
      <w:r w:rsidRPr="00384E04">
        <w:rPr>
          <w:sz w:val="22"/>
          <w:szCs w:val="36"/>
          <w:lang w:val="en-GB"/>
        </w:rPr>
        <w:t xml:space="preserve"> 8 </w:t>
      </w:r>
      <w:proofErr w:type="spellStart"/>
      <w:r w:rsidRPr="00384E04">
        <w:rPr>
          <w:sz w:val="22"/>
          <w:szCs w:val="36"/>
          <w:lang w:val="en-GB"/>
        </w:rPr>
        <w:t>som</w:t>
      </w:r>
      <w:proofErr w:type="spellEnd"/>
      <w:r w:rsidRPr="00384E04">
        <w:rPr>
          <w:sz w:val="22"/>
          <w:szCs w:val="36"/>
          <w:lang w:val="en-GB"/>
        </w:rPr>
        <w:t xml:space="preserve"> </w:t>
      </w:r>
      <w:proofErr w:type="spellStart"/>
      <w:r w:rsidRPr="00384E04">
        <w:rPr>
          <w:sz w:val="22"/>
          <w:szCs w:val="36"/>
          <w:lang w:val="en-GB"/>
        </w:rPr>
        <w:t>lyder</w:t>
      </w:r>
      <w:proofErr w:type="spellEnd"/>
      <w:proofErr w:type="gramStart"/>
      <w:r w:rsidRPr="00384E04">
        <w:rPr>
          <w:sz w:val="22"/>
          <w:szCs w:val="36"/>
          <w:lang w:val="en-GB"/>
        </w:rPr>
        <w:t>: ”It</w:t>
      </w:r>
      <w:proofErr w:type="gramEnd"/>
      <w:r w:rsidRPr="00384E04">
        <w:rPr>
          <w:sz w:val="22"/>
          <w:szCs w:val="36"/>
          <w:lang w:val="en-GB"/>
        </w:rPr>
        <w:t xml:space="preserve"> is therefore necessary to adopt a specific legal framework for GMOs obtained by </w:t>
      </w:r>
    </w:p>
    <w:p w14:paraId="49A8D612" w14:textId="77777777" w:rsidR="006A1878" w:rsidRPr="00384E04" w:rsidRDefault="006A1878" w:rsidP="006A1878">
      <w:pPr>
        <w:widowControl/>
        <w:rPr>
          <w:sz w:val="22"/>
          <w:szCs w:val="36"/>
          <w:lang w:val="en-GB"/>
        </w:rPr>
      </w:pPr>
      <w:r w:rsidRPr="00384E04">
        <w:rPr>
          <w:sz w:val="22"/>
          <w:szCs w:val="36"/>
          <w:lang w:val="en-GB"/>
        </w:rPr>
        <w:t xml:space="preserve">targeted mutagenesis and cisgenesis and related products when deliberately released into the </w:t>
      </w:r>
    </w:p>
    <w:p w14:paraId="6D295AEF" w14:textId="77777777" w:rsidR="006A1878" w:rsidRDefault="006A1878" w:rsidP="006A1878">
      <w:pPr>
        <w:widowControl/>
        <w:rPr>
          <w:sz w:val="22"/>
          <w:szCs w:val="36"/>
          <w:lang w:val="en-GB"/>
        </w:rPr>
      </w:pPr>
      <w:r w:rsidRPr="00384E04">
        <w:rPr>
          <w:sz w:val="22"/>
          <w:szCs w:val="36"/>
          <w:lang w:val="en-GB"/>
        </w:rPr>
        <w:t>environment or placed on the market.”</w:t>
      </w:r>
      <w:r>
        <w:rPr>
          <w:sz w:val="22"/>
          <w:szCs w:val="36"/>
          <w:lang w:val="en-GB"/>
        </w:rPr>
        <w:t>.</w:t>
      </w:r>
    </w:p>
    <w:p w14:paraId="66928054" w14:textId="77777777" w:rsidR="006A1878" w:rsidRPr="00384E04" w:rsidRDefault="006A1878" w:rsidP="006A1878">
      <w:pPr>
        <w:widowControl/>
        <w:rPr>
          <w:sz w:val="22"/>
          <w:szCs w:val="36"/>
          <w:lang w:val="en-GB"/>
        </w:rPr>
      </w:pPr>
    </w:p>
    <w:p w14:paraId="1D51F9F3" w14:textId="77777777" w:rsidR="006A1878" w:rsidRPr="00384E04" w:rsidRDefault="006A1878" w:rsidP="006A1878">
      <w:pPr>
        <w:widowControl/>
        <w:rPr>
          <w:sz w:val="22"/>
          <w:szCs w:val="36"/>
        </w:rPr>
      </w:pPr>
      <w:r w:rsidRPr="00384E04">
        <w:rPr>
          <w:sz w:val="22"/>
          <w:szCs w:val="36"/>
        </w:rPr>
        <w:t xml:space="preserve">Det är viktigt att all genmodifiering kontrolleras, och prövningen bör vara proportionerlig utifrån </w:t>
      </w:r>
    </w:p>
    <w:p w14:paraId="6CEE942D" w14:textId="77777777" w:rsidR="006A1878" w:rsidRPr="00384E04" w:rsidRDefault="006A1878" w:rsidP="006A1878">
      <w:pPr>
        <w:widowControl/>
        <w:rPr>
          <w:sz w:val="22"/>
          <w:szCs w:val="36"/>
        </w:rPr>
      </w:pPr>
      <w:r w:rsidRPr="00384E04">
        <w:rPr>
          <w:sz w:val="22"/>
          <w:szCs w:val="36"/>
        </w:rPr>
        <w:t xml:space="preserve">vilken risk den aktuella genmodifieringen medför. Genom lagstiftning, granskning och olika slags </w:t>
      </w:r>
    </w:p>
    <w:p w14:paraId="17B76555" w14:textId="77777777" w:rsidR="006A1878" w:rsidRPr="00384E04" w:rsidRDefault="006A1878" w:rsidP="006A1878">
      <w:pPr>
        <w:widowControl/>
        <w:rPr>
          <w:sz w:val="22"/>
          <w:szCs w:val="36"/>
        </w:rPr>
      </w:pPr>
      <w:r w:rsidRPr="00384E04">
        <w:rPr>
          <w:sz w:val="22"/>
          <w:szCs w:val="36"/>
        </w:rPr>
        <w:t xml:space="preserve">kontrollmetoder ska säkerhet för människor och miljö upprätthållas. Det är därför bra att förslaget </w:t>
      </w:r>
    </w:p>
    <w:p w14:paraId="71B71F67" w14:textId="77777777" w:rsidR="006A1878" w:rsidRPr="00384E04" w:rsidRDefault="006A1878" w:rsidP="006A1878">
      <w:pPr>
        <w:widowControl/>
        <w:rPr>
          <w:sz w:val="22"/>
          <w:szCs w:val="36"/>
        </w:rPr>
      </w:pPr>
      <w:r w:rsidRPr="00384E04">
        <w:rPr>
          <w:sz w:val="22"/>
          <w:szCs w:val="36"/>
        </w:rPr>
        <w:t xml:space="preserve">differentierar mellan olika metoder och det är något som också många instanser har efterlyst. Men </w:t>
      </w:r>
    </w:p>
    <w:p w14:paraId="193CB518" w14:textId="77777777" w:rsidR="006A1878" w:rsidRPr="00384E04" w:rsidRDefault="006A1878" w:rsidP="006A1878">
      <w:pPr>
        <w:widowControl/>
        <w:rPr>
          <w:sz w:val="22"/>
          <w:szCs w:val="36"/>
        </w:rPr>
      </w:pPr>
      <w:r w:rsidRPr="00384E04">
        <w:rPr>
          <w:sz w:val="22"/>
          <w:szCs w:val="36"/>
        </w:rPr>
        <w:t xml:space="preserve">denna differentiering får inte innebära att en genmodifierad växt undkommer prövning. De krav som </w:t>
      </w:r>
    </w:p>
    <w:p w14:paraId="48FC2B2A" w14:textId="77777777" w:rsidR="006A1878" w:rsidRPr="00384E04" w:rsidRDefault="006A1878" w:rsidP="006A1878">
      <w:pPr>
        <w:widowControl/>
        <w:rPr>
          <w:sz w:val="22"/>
          <w:szCs w:val="36"/>
        </w:rPr>
      </w:pPr>
      <w:r w:rsidRPr="00384E04">
        <w:rPr>
          <w:sz w:val="22"/>
          <w:szCs w:val="36"/>
        </w:rPr>
        <w:t xml:space="preserve">finns på märkning och spårbarhet i nuvarande GMO-lagstiftning ska givetvis även gälla för dessa </w:t>
      </w:r>
    </w:p>
    <w:p w14:paraId="0D10D51C" w14:textId="77777777" w:rsidR="006A1878" w:rsidRDefault="006A1878" w:rsidP="006A1878">
      <w:pPr>
        <w:widowControl/>
        <w:rPr>
          <w:sz w:val="22"/>
          <w:szCs w:val="36"/>
        </w:rPr>
      </w:pPr>
      <w:r w:rsidRPr="00384E04">
        <w:rPr>
          <w:sz w:val="22"/>
          <w:szCs w:val="36"/>
        </w:rPr>
        <w:t xml:space="preserve">tekniker. </w:t>
      </w:r>
    </w:p>
    <w:p w14:paraId="59CC4765" w14:textId="77777777" w:rsidR="006A1878" w:rsidRPr="00384E04" w:rsidRDefault="006A1878" w:rsidP="006A1878">
      <w:pPr>
        <w:widowControl/>
        <w:rPr>
          <w:sz w:val="22"/>
          <w:szCs w:val="36"/>
        </w:rPr>
      </w:pPr>
    </w:p>
    <w:p w14:paraId="0CDBDEB0" w14:textId="77777777" w:rsidR="006A1878" w:rsidRPr="00384E04" w:rsidRDefault="006A1878" w:rsidP="006A1878">
      <w:pPr>
        <w:widowControl/>
        <w:rPr>
          <w:sz w:val="22"/>
          <w:szCs w:val="36"/>
        </w:rPr>
      </w:pPr>
      <w:r w:rsidRPr="00384E04">
        <w:rPr>
          <w:sz w:val="22"/>
          <w:szCs w:val="36"/>
        </w:rPr>
        <w:t xml:space="preserve">Vi anser att regler om spårbarhet och märkning ska omfatta samtliga kategorier. Jämfört med det </w:t>
      </w:r>
    </w:p>
    <w:p w14:paraId="69FAB61D" w14:textId="77777777" w:rsidR="006A1878" w:rsidRPr="00384E04" w:rsidRDefault="006A1878" w:rsidP="006A1878">
      <w:pPr>
        <w:widowControl/>
        <w:rPr>
          <w:sz w:val="22"/>
          <w:szCs w:val="36"/>
        </w:rPr>
      </w:pPr>
      <w:r w:rsidRPr="00384E04">
        <w:rPr>
          <w:sz w:val="22"/>
          <w:szCs w:val="36"/>
        </w:rPr>
        <w:t xml:space="preserve">liggande förslaget behöver alltså mutagenes inkluderas samt att de märknings- och spårbarhetskrav </w:t>
      </w:r>
    </w:p>
    <w:p w14:paraId="52296EDF" w14:textId="77777777" w:rsidR="006A1878" w:rsidRPr="00384E04" w:rsidRDefault="006A1878" w:rsidP="006A1878">
      <w:pPr>
        <w:widowControl/>
        <w:rPr>
          <w:sz w:val="22"/>
          <w:szCs w:val="36"/>
        </w:rPr>
      </w:pPr>
      <w:r w:rsidRPr="00384E04">
        <w:rPr>
          <w:sz w:val="22"/>
          <w:szCs w:val="36"/>
        </w:rPr>
        <w:t xml:space="preserve">som finns i nuvarande lagstiftning även inkluderas i lagförslaget. Det är viktigt att dagens definition av </w:t>
      </w:r>
    </w:p>
    <w:p w14:paraId="1A8F2FEA" w14:textId="77777777" w:rsidR="006A1878" w:rsidRDefault="006A1878" w:rsidP="006A1878">
      <w:pPr>
        <w:widowControl/>
        <w:rPr>
          <w:sz w:val="22"/>
          <w:szCs w:val="36"/>
        </w:rPr>
      </w:pPr>
      <w:r w:rsidRPr="00384E04">
        <w:rPr>
          <w:sz w:val="22"/>
          <w:szCs w:val="36"/>
        </w:rPr>
        <w:t xml:space="preserve">GMO bibehålls, och även inkluderar historiska metoder (mutagenes). Däremot kan </w:t>
      </w:r>
      <w:r>
        <w:rPr>
          <w:sz w:val="22"/>
          <w:szCs w:val="36"/>
        </w:rPr>
        <w:t>t</w:t>
      </w:r>
      <w:r w:rsidRPr="00384E04">
        <w:rPr>
          <w:sz w:val="22"/>
          <w:szCs w:val="36"/>
        </w:rPr>
        <w:t>illståndspröv</w:t>
      </w:r>
      <w:r>
        <w:rPr>
          <w:sz w:val="22"/>
          <w:szCs w:val="36"/>
        </w:rPr>
        <w:softHyphen/>
      </w:r>
      <w:r>
        <w:rPr>
          <w:sz w:val="22"/>
          <w:szCs w:val="36"/>
        </w:rPr>
        <w:softHyphen/>
      </w:r>
      <w:r w:rsidRPr="00384E04">
        <w:rPr>
          <w:sz w:val="22"/>
          <w:szCs w:val="36"/>
        </w:rPr>
        <w:t>ningen ses över i syfte att minska byråkrati och krångel och göras mer riskbaserad. Eftersom GMO är en kontroversiell fråga inom EU, är det viktigt att det även fortsättningsvis ska råda kvalificerad majoritet vid tillståndsärenden. Hänsyn måste tas till både de miljömässiga, ekonomiska och de sociala effekterna. Miljökriterier som försiktighetsprincipen och ”den som förorenar betalar”</w:t>
      </w:r>
      <w:r>
        <w:rPr>
          <w:sz w:val="22"/>
          <w:szCs w:val="36"/>
        </w:rPr>
        <w:t xml:space="preserve"> </w:t>
      </w:r>
      <w:r w:rsidRPr="00384E04">
        <w:rPr>
          <w:sz w:val="22"/>
          <w:szCs w:val="36"/>
        </w:rPr>
        <w:t>principen ska tillämpas.</w:t>
      </w:r>
    </w:p>
    <w:p w14:paraId="022DE1C1" w14:textId="77777777" w:rsidR="006A1878" w:rsidRPr="00384E04" w:rsidRDefault="006A1878" w:rsidP="006A1878">
      <w:pPr>
        <w:widowControl/>
        <w:rPr>
          <w:sz w:val="22"/>
          <w:szCs w:val="36"/>
        </w:rPr>
      </w:pPr>
    </w:p>
    <w:p w14:paraId="353A5001" w14:textId="77777777" w:rsidR="006A1878" w:rsidRPr="00384E04" w:rsidRDefault="006A1878" w:rsidP="006A1878">
      <w:pPr>
        <w:widowControl/>
        <w:rPr>
          <w:sz w:val="22"/>
          <w:szCs w:val="36"/>
        </w:rPr>
      </w:pPr>
      <w:r w:rsidRPr="00384E04">
        <w:rPr>
          <w:sz w:val="22"/>
          <w:szCs w:val="36"/>
        </w:rPr>
        <w:t xml:space="preserve">Det är också mycket tydligt att förslaget inte har tagits fram i dialog med ekologiska odlares </w:t>
      </w:r>
    </w:p>
    <w:p w14:paraId="191BF442" w14:textId="77777777" w:rsidR="006A1878" w:rsidRPr="00384E04" w:rsidRDefault="006A1878" w:rsidP="006A1878">
      <w:pPr>
        <w:widowControl/>
        <w:rPr>
          <w:sz w:val="22"/>
          <w:szCs w:val="36"/>
        </w:rPr>
      </w:pPr>
      <w:r w:rsidRPr="00384E04">
        <w:rPr>
          <w:sz w:val="22"/>
          <w:szCs w:val="36"/>
        </w:rPr>
        <w:t xml:space="preserve">organisationer då artikel 5.2 anger att kategori 1 NGT ska omfattas av artikel 5. f. iii samt artikel 11 i </w:t>
      </w:r>
    </w:p>
    <w:p w14:paraId="607653CD" w14:textId="77777777" w:rsidR="006A1878" w:rsidRPr="00384E04" w:rsidRDefault="006A1878" w:rsidP="006A1878">
      <w:pPr>
        <w:widowControl/>
        <w:rPr>
          <w:sz w:val="22"/>
          <w:szCs w:val="36"/>
        </w:rPr>
      </w:pPr>
      <w:r w:rsidRPr="00384E04">
        <w:rPr>
          <w:sz w:val="22"/>
          <w:szCs w:val="36"/>
        </w:rPr>
        <w:t xml:space="preserve">EU:s förordning om ekologisk produktion samtidigt som lagförslaget ställer mycket låga krav då det </w:t>
      </w:r>
    </w:p>
    <w:p w14:paraId="3679D8C8" w14:textId="77777777" w:rsidR="006A1878" w:rsidRPr="00384E04" w:rsidRDefault="006A1878" w:rsidP="006A1878">
      <w:pPr>
        <w:widowControl/>
        <w:rPr>
          <w:sz w:val="22"/>
          <w:szCs w:val="36"/>
        </w:rPr>
      </w:pPr>
      <w:r w:rsidRPr="00384E04">
        <w:rPr>
          <w:sz w:val="22"/>
          <w:szCs w:val="36"/>
        </w:rPr>
        <w:t xml:space="preserve">gäller spårbarhet och märkning. Givetvis måste även kategori 1 NGT omfattas av spårbarhets- och </w:t>
      </w:r>
    </w:p>
    <w:p w14:paraId="7B7E4D6A" w14:textId="77777777" w:rsidR="006A1878" w:rsidRPr="00384E04" w:rsidRDefault="006A1878" w:rsidP="006A1878">
      <w:pPr>
        <w:widowControl/>
        <w:rPr>
          <w:sz w:val="22"/>
          <w:szCs w:val="36"/>
        </w:rPr>
      </w:pPr>
      <w:r w:rsidRPr="00384E04">
        <w:rPr>
          <w:sz w:val="22"/>
          <w:szCs w:val="36"/>
        </w:rPr>
        <w:t xml:space="preserve">märkningskrav genom hela livsmedels/foderkedjan, en fråga som samtidigt är av vikt ur ett </w:t>
      </w:r>
    </w:p>
    <w:p w14:paraId="376CD6C4" w14:textId="77777777" w:rsidR="006A1878" w:rsidRDefault="006A1878" w:rsidP="006A1878">
      <w:pPr>
        <w:widowControl/>
        <w:rPr>
          <w:sz w:val="22"/>
          <w:szCs w:val="36"/>
        </w:rPr>
      </w:pPr>
      <w:r w:rsidRPr="00384E04">
        <w:rPr>
          <w:sz w:val="22"/>
          <w:szCs w:val="36"/>
        </w:rPr>
        <w:t>konsumentperspektiv.</w:t>
      </w:r>
    </w:p>
    <w:p w14:paraId="6577EF66" w14:textId="77777777" w:rsidR="006A1878" w:rsidRPr="00384E04" w:rsidRDefault="006A1878" w:rsidP="006A1878">
      <w:pPr>
        <w:widowControl/>
        <w:rPr>
          <w:sz w:val="22"/>
          <w:szCs w:val="36"/>
        </w:rPr>
      </w:pPr>
    </w:p>
    <w:p w14:paraId="4527FFDC" w14:textId="77777777" w:rsidR="006A1878" w:rsidRPr="00384E04" w:rsidRDefault="006A1878" w:rsidP="006A1878">
      <w:pPr>
        <w:widowControl/>
        <w:rPr>
          <w:sz w:val="22"/>
          <w:szCs w:val="36"/>
        </w:rPr>
      </w:pPr>
      <w:r w:rsidRPr="00384E04">
        <w:rPr>
          <w:sz w:val="22"/>
          <w:szCs w:val="36"/>
        </w:rPr>
        <w:t xml:space="preserve">Frågor som rör konsumentmakt och producenters rätt att inte lida skada av GMO-produkter saknas i </w:t>
      </w:r>
    </w:p>
    <w:p w14:paraId="2A8F72AA" w14:textId="77777777" w:rsidR="006A1878" w:rsidRPr="00384E04" w:rsidRDefault="006A1878" w:rsidP="006A1878">
      <w:pPr>
        <w:widowControl/>
        <w:rPr>
          <w:sz w:val="22"/>
          <w:szCs w:val="36"/>
        </w:rPr>
      </w:pPr>
      <w:r w:rsidRPr="00384E04">
        <w:rPr>
          <w:sz w:val="22"/>
          <w:szCs w:val="36"/>
        </w:rPr>
        <w:t xml:space="preserve">lagförslaget och här behöver komplettering ske. Dagens krav på märkning behöver också utökas då det </w:t>
      </w:r>
    </w:p>
    <w:p w14:paraId="5C2EB222" w14:textId="77777777" w:rsidR="006A1878" w:rsidRPr="00384E04" w:rsidRDefault="006A1878" w:rsidP="006A1878">
      <w:pPr>
        <w:widowControl/>
        <w:rPr>
          <w:sz w:val="22"/>
          <w:szCs w:val="36"/>
        </w:rPr>
      </w:pPr>
      <w:r w:rsidRPr="00384E04">
        <w:rPr>
          <w:sz w:val="22"/>
          <w:szCs w:val="36"/>
        </w:rPr>
        <w:t xml:space="preserve">endast omfattar produkter som innehåller GMO. Ur konsumentperspektiv är det också viktigt med </w:t>
      </w:r>
    </w:p>
    <w:p w14:paraId="06749C0B" w14:textId="77777777" w:rsidR="006A1878" w:rsidRPr="00384E04" w:rsidRDefault="006A1878" w:rsidP="006A1878">
      <w:pPr>
        <w:widowControl/>
        <w:rPr>
          <w:sz w:val="22"/>
          <w:szCs w:val="36"/>
        </w:rPr>
      </w:pPr>
      <w:r w:rsidRPr="00384E04">
        <w:rPr>
          <w:sz w:val="22"/>
          <w:szCs w:val="36"/>
        </w:rPr>
        <w:t xml:space="preserve">märkning av t.ex. livsmedel som har producerats med hjälp av GMO, t.ex. kött och mejeriprodukter </w:t>
      </w:r>
    </w:p>
    <w:p w14:paraId="429315BB" w14:textId="77777777" w:rsidR="006A1878" w:rsidRPr="00384E04" w:rsidRDefault="006A1878" w:rsidP="006A1878">
      <w:pPr>
        <w:widowControl/>
        <w:rPr>
          <w:sz w:val="22"/>
          <w:szCs w:val="36"/>
        </w:rPr>
      </w:pPr>
      <w:r w:rsidRPr="00384E04">
        <w:rPr>
          <w:sz w:val="22"/>
          <w:szCs w:val="36"/>
        </w:rPr>
        <w:t xml:space="preserve">från djur som utfodrats med foder som innehåller GMO. GMO ska vara spårbar, både för producent </w:t>
      </w:r>
    </w:p>
    <w:p w14:paraId="1FB58891" w14:textId="77777777" w:rsidR="006A1878" w:rsidRPr="00384E04" w:rsidRDefault="006A1878" w:rsidP="006A1878">
      <w:pPr>
        <w:widowControl/>
        <w:rPr>
          <w:sz w:val="22"/>
          <w:szCs w:val="36"/>
        </w:rPr>
      </w:pPr>
      <w:r w:rsidRPr="00384E04">
        <w:rPr>
          <w:sz w:val="22"/>
          <w:szCs w:val="36"/>
        </w:rPr>
        <w:t xml:space="preserve">och konsument, och tydliga regler för skadestånd ska finnas för producenter som certifierar sin vara </w:t>
      </w:r>
    </w:p>
    <w:p w14:paraId="1244F028" w14:textId="77777777" w:rsidR="006A1878" w:rsidRPr="00384E04" w:rsidRDefault="006A1878" w:rsidP="006A1878">
      <w:pPr>
        <w:widowControl/>
        <w:rPr>
          <w:sz w:val="22"/>
          <w:szCs w:val="36"/>
        </w:rPr>
      </w:pPr>
      <w:r w:rsidRPr="00384E04">
        <w:rPr>
          <w:sz w:val="22"/>
          <w:szCs w:val="36"/>
        </w:rPr>
        <w:t xml:space="preserve">som GMO-fri men som drabbas av kontamination från intilliggande odlingar med GMO eller under </w:t>
      </w:r>
    </w:p>
    <w:p w14:paraId="79BDDAF6" w14:textId="77777777" w:rsidR="006A1878" w:rsidRPr="00384E04" w:rsidRDefault="006A1878" w:rsidP="006A1878">
      <w:pPr>
        <w:widowControl/>
        <w:rPr>
          <w:sz w:val="22"/>
          <w:szCs w:val="36"/>
        </w:rPr>
      </w:pPr>
      <w:r w:rsidRPr="00384E04">
        <w:rPr>
          <w:sz w:val="22"/>
          <w:szCs w:val="36"/>
        </w:rPr>
        <w:t>vidareförädling/hantering av varan.</w:t>
      </w:r>
    </w:p>
    <w:p w14:paraId="0386048F" w14:textId="77777777" w:rsidR="006A1878" w:rsidRDefault="006A1878" w:rsidP="006A1878">
      <w:pPr>
        <w:widowControl/>
        <w:rPr>
          <w:sz w:val="22"/>
          <w:szCs w:val="36"/>
        </w:rPr>
      </w:pPr>
    </w:p>
    <w:p w14:paraId="476998B9" w14:textId="77777777" w:rsidR="006A1878" w:rsidRPr="00384E04" w:rsidRDefault="006A1878" w:rsidP="006A1878">
      <w:pPr>
        <w:widowControl/>
        <w:rPr>
          <w:sz w:val="22"/>
          <w:szCs w:val="36"/>
        </w:rPr>
      </w:pPr>
      <w:r w:rsidRPr="00384E04">
        <w:rPr>
          <w:sz w:val="22"/>
          <w:szCs w:val="36"/>
        </w:rPr>
        <w:lastRenderedPageBreak/>
        <w:t xml:space="preserve">Generellt anser vi att det är viktigt att all GMO-teknik har som syfte att bidra till hållbar utveckling. </w:t>
      </w:r>
    </w:p>
    <w:p w14:paraId="3914C294" w14:textId="77777777" w:rsidR="006A1878" w:rsidRPr="00384E04" w:rsidRDefault="006A1878" w:rsidP="006A1878">
      <w:pPr>
        <w:widowControl/>
        <w:rPr>
          <w:sz w:val="22"/>
          <w:szCs w:val="36"/>
        </w:rPr>
      </w:pPr>
      <w:r w:rsidRPr="00384E04">
        <w:rPr>
          <w:sz w:val="22"/>
          <w:szCs w:val="36"/>
        </w:rPr>
        <w:t xml:space="preserve">Det ska därför inte vara möjligt att ge tillstånd för grödor som genmodifierats för att t.ex. bli </w:t>
      </w:r>
    </w:p>
    <w:p w14:paraId="6C798BA5" w14:textId="77777777" w:rsidR="006A1878" w:rsidRPr="00384E04" w:rsidRDefault="006A1878" w:rsidP="006A1878">
      <w:pPr>
        <w:widowControl/>
        <w:rPr>
          <w:sz w:val="22"/>
          <w:szCs w:val="36"/>
        </w:rPr>
      </w:pPr>
      <w:r w:rsidRPr="00384E04">
        <w:rPr>
          <w:sz w:val="22"/>
          <w:szCs w:val="36"/>
        </w:rPr>
        <w:t xml:space="preserve">motståndskraftiga mot skadliga, kemiska bekämpningsmedel. Det finns idag ofta en övertro på att </w:t>
      </w:r>
    </w:p>
    <w:p w14:paraId="0DEF17A7" w14:textId="77777777" w:rsidR="006A1878" w:rsidRPr="00384E04" w:rsidRDefault="006A1878" w:rsidP="006A1878">
      <w:pPr>
        <w:widowControl/>
        <w:rPr>
          <w:sz w:val="22"/>
          <w:szCs w:val="36"/>
        </w:rPr>
      </w:pPr>
      <w:r w:rsidRPr="00384E04">
        <w:rPr>
          <w:sz w:val="22"/>
          <w:szCs w:val="36"/>
        </w:rPr>
        <w:t xml:space="preserve">GMO ska lösa alla problem som finns för att uppnå en hållbar utveckling, vilket lyser igenom i </w:t>
      </w:r>
    </w:p>
    <w:p w14:paraId="286B2BEC" w14:textId="77777777" w:rsidR="006A1878" w:rsidRPr="00384E04" w:rsidRDefault="006A1878" w:rsidP="006A1878">
      <w:pPr>
        <w:widowControl/>
        <w:rPr>
          <w:sz w:val="22"/>
          <w:szCs w:val="36"/>
        </w:rPr>
      </w:pPr>
      <w:r w:rsidRPr="00384E04">
        <w:rPr>
          <w:sz w:val="22"/>
          <w:szCs w:val="36"/>
        </w:rPr>
        <w:t xml:space="preserve">kommissionens argumentation för lagförslaget. Förutom risker då det gäller ekologisk hållbarhet är </w:t>
      </w:r>
    </w:p>
    <w:p w14:paraId="3280D6CD" w14:textId="77777777" w:rsidR="006A1878" w:rsidRPr="00384E04" w:rsidRDefault="006A1878" w:rsidP="006A1878">
      <w:pPr>
        <w:widowControl/>
        <w:rPr>
          <w:sz w:val="22"/>
          <w:szCs w:val="36"/>
        </w:rPr>
      </w:pPr>
      <w:r w:rsidRPr="00384E04">
        <w:rPr>
          <w:sz w:val="22"/>
          <w:szCs w:val="36"/>
        </w:rPr>
        <w:t xml:space="preserve">GMO ofta en tydlig komponent i en utveckling mot all större strukturrationalisering och allt större </w:t>
      </w:r>
    </w:p>
    <w:p w14:paraId="13BD36B0" w14:textId="77777777" w:rsidR="006A1878" w:rsidRPr="00384E04" w:rsidRDefault="006A1878" w:rsidP="006A1878">
      <w:pPr>
        <w:widowControl/>
        <w:rPr>
          <w:sz w:val="22"/>
          <w:szCs w:val="36"/>
        </w:rPr>
      </w:pPr>
      <w:r w:rsidRPr="00384E04">
        <w:rPr>
          <w:sz w:val="22"/>
          <w:szCs w:val="36"/>
        </w:rPr>
        <w:t xml:space="preserve">vertikal integrering av jordbrukssektorn, där globala agroföretag får allt större inflytande och där </w:t>
      </w:r>
    </w:p>
    <w:p w14:paraId="5CE7CAF6" w14:textId="77777777" w:rsidR="006A1878" w:rsidRPr="00384E04" w:rsidRDefault="006A1878" w:rsidP="006A1878">
      <w:pPr>
        <w:widowControl/>
        <w:rPr>
          <w:sz w:val="22"/>
          <w:szCs w:val="36"/>
        </w:rPr>
      </w:pPr>
      <w:r w:rsidRPr="00384E04">
        <w:rPr>
          <w:sz w:val="22"/>
          <w:szCs w:val="36"/>
        </w:rPr>
        <w:t xml:space="preserve">livsmedelsproduktionen blir allt mer sårbar. Det finns ytterligare problem med patent på grödor där </w:t>
      </w:r>
    </w:p>
    <w:p w14:paraId="43623514" w14:textId="77777777" w:rsidR="006A1878" w:rsidRPr="00384E04" w:rsidRDefault="006A1878" w:rsidP="006A1878">
      <w:pPr>
        <w:widowControl/>
        <w:rPr>
          <w:sz w:val="22"/>
          <w:szCs w:val="36"/>
        </w:rPr>
      </w:pPr>
      <w:r w:rsidRPr="00384E04">
        <w:rPr>
          <w:sz w:val="22"/>
          <w:szCs w:val="36"/>
        </w:rPr>
        <w:t xml:space="preserve">bönder både långsiktigt binder upp sig på grödor som de inte kan byta från och inte heller har rätt att </w:t>
      </w:r>
    </w:p>
    <w:p w14:paraId="299B27D1" w14:textId="77777777" w:rsidR="006A1878" w:rsidRPr="00384E04" w:rsidRDefault="006A1878" w:rsidP="006A1878">
      <w:pPr>
        <w:widowControl/>
        <w:rPr>
          <w:sz w:val="22"/>
          <w:szCs w:val="36"/>
        </w:rPr>
      </w:pPr>
      <w:r w:rsidRPr="00384E04">
        <w:rPr>
          <w:sz w:val="22"/>
          <w:szCs w:val="36"/>
        </w:rPr>
        <w:t xml:space="preserve">förädla. De hållbarhetsvinster som lyfts av de företag som är verksamma i GMO-sektorn inom </w:t>
      </w:r>
    </w:p>
    <w:p w14:paraId="405357D0" w14:textId="77777777" w:rsidR="006A1878" w:rsidRPr="00384E04" w:rsidRDefault="006A1878" w:rsidP="006A1878">
      <w:pPr>
        <w:widowControl/>
        <w:rPr>
          <w:sz w:val="22"/>
          <w:szCs w:val="36"/>
        </w:rPr>
      </w:pPr>
      <w:r w:rsidRPr="00384E04">
        <w:rPr>
          <w:sz w:val="22"/>
          <w:szCs w:val="36"/>
        </w:rPr>
        <w:t xml:space="preserve">jordbruket kan ofta nås både enklare och billigare på andra sätt. Grundproblemet är här ofta sociala </w:t>
      </w:r>
    </w:p>
    <w:p w14:paraId="585CAD10" w14:textId="36A2ABF0" w:rsidR="006A1878" w:rsidRPr="00384E04" w:rsidRDefault="006A1878" w:rsidP="006A1878">
      <w:pPr>
        <w:widowControl/>
        <w:rPr>
          <w:sz w:val="22"/>
          <w:szCs w:val="36"/>
        </w:rPr>
      </w:pPr>
      <w:r w:rsidRPr="00384E04">
        <w:rPr>
          <w:sz w:val="22"/>
          <w:szCs w:val="36"/>
        </w:rPr>
        <w:t>orättvisor, och för att lösa det behövs en aktiv politik för social rättvisa, inte bara tekniska punktinsatser.</w:t>
      </w:r>
    </w:p>
    <w:p w14:paraId="76682B3B" w14:textId="77777777" w:rsidR="006A1878" w:rsidRPr="00384E04" w:rsidRDefault="006A1878" w:rsidP="006A1878">
      <w:pPr>
        <w:widowControl/>
        <w:tabs>
          <w:tab w:val="left" w:pos="284"/>
        </w:tabs>
        <w:rPr>
          <w:sz w:val="22"/>
          <w:szCs w:val="36"/>
        </w:rPr>
      </w:pPr>
    </w:p>
    <w:p w14:paraId="154F7045" w14:textId="77777777" w:rsidR="006A1878" w:rsidRPr="00384E04" w:rsidRDefault="006A1878" w:rsidP="006A1878">
      <w:pPr>
        <w:widowControl/>
        <w:tabs>
          <w:tab w:val="left" w:pos="7472"/>
        </w:tabs>
        <w:rPr>
          <w:sz w:val="22"/>
          <w:szCs w:val="36"/>
        </w:rPr>
      </w:pPr>
    </w:p>
    <w:p w14:paraId="2B3ABAAC" w14:textId="77777777" w:rsidR="00C465CB" w:rsidRDefault="00C465CB" w:rsidP="00AF6331">
      <w:pPr>
        <w:widowControl/>
        <w:rPr>
          <w:sz w:val="22"/>
          <w:szCs w:val="22"/>
        </w:rPr>
      </w:pPr>
    </w:p>
    <w:bookmarkEnd w:id="1"/>
    <w:sectPr w:rsidR="00C465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0B85"/>
    <w:rsid w:val="000310B4"/>
    <w:rsid w:val="00033928"/>
    <w:rsid w:val="000340CE"/>
    <w:rsid w:val="0003479D"/>
    <w:rsid w:val="00034F00"/>
    <w:rsid w:val="00040A3C"/>
    <w:rsid w:val="00041654"/>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E402E"/>
    <w:rsid w:val="000E777E"/>
    <w:rsid w:val="000F1B6F"/>
    <w:rsid w:val="000F677B"/>
    <w:rsid w:val="000F6792"/>
    <w:rsid w:val="000F7521"/>
    <w:rsid w:val="000F7D9B"/>
    <w:rsid w:val="00102D5B"/>
    <w:rsid w:val="00102F93"/>
    <w:rsid w:val="001107C9"/>
    <w:rsid w:val="00111773"/>
    <w:rsid w:val="001201A1"/>
    <w:rsid w:val="001238B9"/>
    <w:rsid w:val="00136BAF"/>
    <w:rsid w:val="00136CC5"/>
    <w:rsid w:val="0014421B"/>
    <w:rsid w:val="00154537"/>
    <w:rsid w:val="001576B4"/>
    <w:rsid w:val="00157C48"/>
    <w:rsid w:val="00157E3A"/>
    <w:rsid w:val="00161710"/>
    <w:rsid w:val="00164491"/>
    <w:rsid w:val="00165402"/>
    <w:rsid w:val="001709AE"/>
    <w:rsid w:val="00172561"/>
    <w:rsid w:val="00176F71"/>
    <w:rsid w:val="00177FF8"/>
    <w:rsid w:val="001806D9"/>
    <w:rsid w:val="00183F5A"/>
    <w:rsid w:val="00190D5B"/>
    <w:rsid w:val="001A198D"/>
    <w:rsid w:val="001A35A0"/>
    <w:rsid w:val="001B4C64"/>
    <w:rsid w:val="001D3FD1"/>
    <w:rsid w:val="001D7100"/>
    <w:rsid w:val="001D7BA2"/>
    <w:rsid w:val="001E1F27"/>
    <w:rsid w:val="001F0044"/>
    <w:rsid w:val="001F3F30"/>
    <w:rsid w:val="001F641B"/>
    <w:rsid w:val="00200F8B"/>
    <w:rsid w:val="0021176A"/>
    <w:rsid w:val="00212A8D"/>
    <w:rsid w:val="00214162"/>
    <w:rsid w:val="002163DB"/>
    <w:rsid w:val="00216C70"/>
    <w:rsid w:val="002241EF"/>
    <w:rsid w:val="0023053D"/>
    <w:rsid w:val="00231475"/>
    <w:rsid w:val="0023528F"/>
    <w:rsid w:val="002378CC"/>
    <w:rsid w:val="00243C44"/>
    <w:rsid w:val="0025203B"/>
    <w:rsid w:val="00253506"/>
    <w:rsid w:val="00254C5A"/>
    <w:rsid w:val="0025725D"/>
    <w:rsid w:val="002625E6"/>
    <w:rsid w:val="00267A73"/>
    <w:rsid w:val="00280D54"/>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281"/>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2C9"/>
    <w:rsid w:val="004763AE"/>
    <w:rsid w:val="0047654D"/>
    <w:rsid w:val="00481A80"/>
    <w:rsid w:val="00481AE3"/>
    <w:rsid w:val="00482D9A"/>
    <w:rsid w:val="00485C5B"/>
    <w:rsid w:val="004945A7"/>
    <w:rsid w:val="004A5400"/>
    <w:rsid w:val="004A75D9"/>
    <w:rsid w:val="004B1E7E"/>
    <w:rsid w:val="004C58F4"/>
    <w:rsid w:val="004D6725"/>
    <w:rsid w:val="004E030E"/>
    <w:rsid w:val="004E0E27"/>
    <w:rsid w:val="004E4C8B"/>
    <w:rsid w:val="004E7DCE"/>
    <w:rsid w:val="004F7A9F"/>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B7BE9"/>
    <w:rsid w:val="005D2E63"/>
    <w:rsid w:val="005D7C2B"/>
    <w:rsid w:val="005E5543"/>
    <w:rsid w:val="005E6A1F"/>
    <w:rsid w:val="005F4AE7"/>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85D7C"/>
    <w:rsid w:val="00694BE5"/>
    <w:rsid w:val="0069597E"/>
    <w:rsid w:val="006A1878"/>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656AD"/>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079E6"/>
    <w:rsid w:val="008124A2"/>
    <w:rsid w:val="00821792"/>
    <w:rsid w:val="00834E22"/>
    <w:rsid w:val="0084464A"/>
    <w:rsid w:val="008458B4"/>
    <w:rsid w:val="008504EB"/>
    <w:rsid w:val="00856389"/>
    <w:rsid w:val="00865092"/>
    <w:rsid w:val="00865C85"/>
    <w:rsid w:val="00882DAB"/>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0587F"/>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633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0B5"/>
    <w:rsid w:val="00BE333D"/>
    <w:rsid w:val="00BE4890"/>
    <w:rsid w:val="00BE4A25"/>
    <w:rsid w:val="00BE7A1B"/>
    <w:rsid w:val="00BF0D09"/>
    <w:rsid w:val="00BF17F3"/>
    <w:rsid w:val="00BF4B9D"/>
    <w:rsid w:val="00C013F6"/>
    <w:rsid w:val="00C11E5F"/>
    <w:rsid w:val="00C20B9F"/>
    <w:rsid w:val="00C20F78"/>
    <w:rsid w:val="00C22E5F"/>
    <w:rsid w:val="00C3065C"/>
    <w:rsid w:val="00C367C6"/>
    <w:rsid w:val="00C465CB"/>
    <w:rsid w:val="00C55553"/>
    <w:rsid w:val="00C65F27"/>
    <w:rsid w:val="00C6697A"/>
    <w:rsid w:val="00C674DC"/>
    <w:rsid w:val="00C80EBD"/>
    <w:rsid w:val="00C843EE"/>
    <w:rsid w:val="00C97BFE"/>
    <w:rsid w:val="00CA0AAD"/>
    <w:rsid w:val="00CA60EE"/>
    <w:rsid w:val="00CA677B"/>
    <w:rsid w:val="00CA75B8"/>
    <w:rsid w:val="00CB2E80"/>
    <w:rsid w:val="00CB34A6"/>
    <w:rsid w:val="00CB5973"/>
    <w:rsid w:val="00CB71B9"/>
    <w:rsid w:val="00CC2B4B"/>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17B34"/>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480C"/>
    <w:rsid w:val="00DD7DD7"/>
    <w:rsid w:val="00DE4448"/>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5AFF"/>
    <w:rsid w:val="00F42912"/>
    <w:rsid w:val="00F52993"/>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4762C9"/>
  </w:style>
  <w:style w:type="character" w:customStyle="1" w:styleId="BrdtextChar">
    <w:name w:val="Brödtext Char"/>
    <w:basedOn w:val="Standardstycketeckensnitt"/>
    <w:link w:val="Brdtext"/>
    <w:rsid w:val="00AF63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2961</Words>
  <Characters>18089</Characters>
  <Application>Microsoft Office Word</Application>
  <DocSecurity>0</DocSecurity>
  <Lines>1205</Lines>
  <Paragraphs>478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2023-12-12T07:06:00Z</cp:lastPrinted>
  <dcterms:created xsi:type="dcterms:W3CDTF">2023-12-12T07:07:00Z</dcterms:created>
  <dcterms:modified xsi:type="dcterms:W3CDTF">2023-12-12T07:07:00Z</dcterms:modified>
</cp:coreProperties>
</file>