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FA614C">
        <w:tblPrEx>
          <w:tblCellMar>
            <w:top w:w="0" w:type="dxa"/>
            <w:bottom w:w="0" w:type="dxa"/>
          </w:tblCellMar>
        </w:tblPrEx>
        <w:tc>
          <w:tcPr>
            <w:tcW w:w="2268" w:type="dxa"/>
          </w:tcPr>
          <w:p w:rsidR="005F1820" w:rsidRPr="00FA614C" w:rsidRDefault="005F1820">
            <w:pPr>
              <w:framePr w:w="4400" w:h="1644" w:wrap="notBeside" w:vAnchor="page" w:hAnchor="page" w:x="6573" w:y="721"/>
              <w:rPr>
                <w:rFonts w:ascii="TradeGothic" w:hAnsi="TradeGothic"/>
                <w:i/>
                <w:sz w:val="18"/>
              </w:rPr>
            </w:pPr>
          </w:p>
        </w:tc>
        <w:tc>
          <w:tcPr>
            <w:tcW w:w="2347" w:type="dxa"/>
            <w:gridSpan w:val="2"/>
          </w:tcPr>
          <w:p w:rsidR="005F1820" w:rsidRPr="00FA614C" w:rsidRDefault="005F1820">
            <w:pPr>
              <w:framePr w:w="4400" w:h="1644" w:wrap="notBeside" w:vAnchor="page" w:hAnchor="page" w:x="6573" w:y="721"/>
              <w:rPr>
                <w:rFonts w:ascii="TradeGothic" w:hAnsi="TradeGothic"/>
                <w:i/>
                <w:sz w:val="18"/>
              </w:rPr>
            </w:pPr>
          </w:p>
        </w:tc>
      </w:tr>
      <w:tr w:rsidR="005F1820" w:rsidRPr="00FA614C">
        <w:tblPrEx>
          <w:tblCellMar>
            <w:top w:w="0" w:type="dxa"/>
            <w:bottom w:w="0" w:type="dxa"/>
          </w:tblCellMar>
        </w:tblPrEx>
        <w:tc>
          <w:tcPr>
            <w:tcW w:w="2268" w:type="dxa"/>
          </w:tcPr>
          <w:p w:rsidR="005F1820" w:rsidRPr="00FA614C" w:rsidRDefault="005F1820">
            <w:pPr>
              <w:framePr w:w="4400" w:h="1644" w:wrap="notBeside" w:vAnchor="page" w:hAnchor="page" w:x="6573" w:y="721"/>
              <w:rPr>
                <w:rFonts w:ascii="TradeGothic" w:hAnsi="TradeGothic"/>
                <w:b/>
                <w:sz w:val="22"/>
              </w:rPr>
            </w:pPr>
            <w:r w:rsidRPr="00FA614C">
              <w:rPr>
                <w:rFonts w:ascii="TradeGothic" w:hAnsi="TradeGothic"/>
                <w:b/>
                <w:sz w:val="22"/>
              </w:rPr>
              <w:t>Promemoria</w:t>
            </w:r>
          </w:p>
        </w:tc>
        <w:tc>
          <w:tcPr>
            <w:tcW w:w="2347" w:type="dxa"/>
            <w:gridSpan w:val="2"/>
          </w:tcPr>
          <w:p w:rsidR="005F1820" w:rsidRPr="00FA614C" w:rsidRDefault="005F1820">
            <w:pPr>
              <w:framePr w:w="4400" w:h="1644" w:wrap="notBeside" w:vAnchor="page" w:hAnchor="page" w:x="6573" w:y="721"/>
              <w:rPr>
                <w:rFonts w:ascii="TradeGothic" w:hAnsi="TradeGothic"/>
                <w:b/>
                <w:sz w:val="22"/>
              </w:rPr>
            </w:pPr>
          </w:p>
        </w:tc>
      </w:tr>
      <w:tr w:rsidR="005F1820" w:rsidRPr="00FA614C">
        <w:tblPrEx>
          <w:tblCellMar>
            <w:top w:w="0" w:type="dxa"/>
            <w:bottom w:w="0" w:type="dxa"/>
          </w:tblCellMar>
        </w:tblPrEx>
        <w:trPr>
          <w:trHeight w:val="343"/>
        </w:trPr>
        <w:tc>
          <w:tcPr>
            <w:tcW w:w="3402" w:type="dxa"/>
            <w:gridSpan w:val="2"/>
          </w:tcPr>
          <w:p w:rsidR="005F1820" w:rsidRPr="00FA614C" w:rsidRDefault="005F1820">
            <w:pPr>
              <w:framePr w:w="4400" w:h="1644" w:wrap="notBeside" w:vAnchor="page" w:hAnchor="page" w:x="6573" w:y="721"/>
            </w:pPr>
          </w:p>
        </w:tc>
        <w:tc>
          <w:tcPr>
            <w:tcW w:w="1213" w:type="dxa"/>
          </w:tcPr>
          <w:p w:rsidR="005F1820" w:rsidRPr="00FA614C" w:rsidRDefault="005F1820">
            <w:pPr>
              <w:framePr w:w="4400" w:h="1644" w:wrap="notBeside" w:vAnchor="page" w:hAnchor="page" w:x="6573" w:y="721"/>
            </w:pPr>
          </w:p>
        </w:tc>
      </w:tr>
      <w:tr w:rsidR="005F1820" w:rsidRPr="00FA614C">
        <w:tblPrEx>
          <w:tblCellMar>
            <w:top w:w="0" w:type="dxa"/>
            <w:bottom w:w="0" w:type="dxa"/>
          </w:tblCellMar>
        </w:tblPrEx>
        <w:tc>
          <w:tcPr>
            <w:tcW w:w="2268" w:type="dxa"/>
          </w:tcPr>
          <w:p w:rsidR="005F1820" w:rsidRPr="00FA614C" w:rsidRDefault="00847B54">
            <w:pPr>
              <w:framePr w:w="4400" w:h="1644" w:wrap="notBeside" w:vAnchor="page" w:hAnchor="page" w:x="6573" w:y="721"/>
            </w:pPr>
            <w:r w:rsidRPr="00FA614C">
              <w:fldChar w:fldCharType="begin" w:fldLock="1"/>
            </w:r>
            <w:r w:rsidRPr="00FA614C">
              <w:instrText xml:space="preserve"> CREATEDATE  \@ "yyyy-MM-dd"  \* MERGEFORMAT </w:instrText>
            </w:r>
            <w:r w:rsidRPr="00FA614C">
              <w:fldChar w:fldCharType="separate"/>
            </w:r>
            <w:r w:rsidR="00C91A77" w:rsidRPr="00FA614C">
              <w:t>2009-11-05</w:t>
            </w:r>
            <w:r w:rsidRPr="00FA614C">
              <w:fldChar w:fldCharType="end"/>
            </w:r>
          </w:p>
        </w:tc>
        <w:tc>
          <w:tcPr>
            <w:tcW w:w="2347" w:type="dxa"/>
            <w:gridSpan w:val="2"/>
          </w:tcPr>
          <w:p w:rsidR="005F1820" w:rsidRPr="00FA614C" w:rsidRDefault="005F1820">
            <w:pPr>
              <w:framePr w:w="4400" w:h="1644" w:wrap="notBeside" w:vAnchor="page" w:hAnchor="page" w:x="6573" w:y="721"/>
            </w:pPr>
          </w:p>
        </w:tc>
      </w:tr>
      <w:tr w:rsidR="005F1820" w:rsidRPr="00FA614C">
        <w:tblPrEx>
          <w:tblCellMar>
            <w:top w:w="0" w:type="dxa"/>
            <w:bottom w:w="0" w:type="dxa"/>
          </w:tblCellMar>
        </w:tblPrEx>
        <w:tc>
          <w:tcPr>
            <w:tcW w:w="2268" w:type="dxa"/>
          </w:tcPr>
          <w:p w:rsidR="005F1820" w:rsidRPr="00FA614C" w:rsidRDefault="005F1820">
            <w:pPr>
              <w:framePr w:w="4400" w:h="1644" w:wrap="notBeside" w:vAnchor="page" w:hAnchor="page" w:x="6573" w:y="721"/>
            </w:pPr>
          </w:p>
        </w:tc>
        <w:tc>
          <w:tcPr>
            <w:tcW w:w="2347" w:type="dxa"/>
            <w:gridSpan w:val="2"/>
          </w:tcPr>
          <w:p w:rsidR="005F1820" w:rsidRPr="00FA614C"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FA614C">
        <w:tblPrEx>
          <w:tblCellMar>
            <w:top w:w="0" w:type="dxa"/>
            <w:bottom w:w="0" w:type="dxa"/>
          </w:tblCellMar>
        </w:tblPrEx>
        <w:trPr>
          <w:trHeight w:val="2400"/>
        </w:trPr>
        <w:tc>
          <w:tcPr>
            <w:tcW w:w="4911" w:type="dxa"/>
          </w:tcPr>
          <w:p w:rsidR="005F1820" w:rsidRPr="00FA614C" w:rsidRDefault="005F1820">
            <w:pPr>
              <w:pStyle w:val="Avsndare"/>
              <w:framePr w:h="2483" w:wrap="notBeside" w:x="1504"/>
              <w:rPr>
                <w:b/>
                <w:i w:val="0"/>
                <w:sz w:val="22"/>
              </w:rPr>
            </w:pPr>
            <w:r w:rsidRPr="00FA614C">
              <w:rPr>
                <w:b/>
                <w:i w:val="0"/>
                <w:sz w:val="22"/>
              </w:rPr>
              <w:t>Statsrådsberedningen</w:t>
            </w:r>
          </w:p>
          <w:p w:rsidR="005F1820" w:rsidRPr="00FA614C" w:rsidRDefault="005F1820">
            <w:pPr>
              <w:pStyle w:val="Avsndare"/>
              <w:framePr w:h="2483" w:wrap="notBeside" w:x="1504"/>
            </w:pPr>
          </w:p>
          <w:p w:rsidR="005F1820" w:rsidRPr="00FA614C" w:rsidRDefault="005F1820">
            <w:pPr>
              <w:pStyle w:val="Avsndare"/>
              <w:framePr w:h="2483" w:wrap="notBeside" w:x="1504"/>
            </w:pPr>
            <w:r w:rsidRPr="00FA614C">
              <w:t>EU-kansliet</w:t>
            </w:r>
          </w:p>
          <w:p w:rsidR="005F1820" w:rsidRPr="00FA614C" w:rsidRDefault="005F1820">
            <w:pPr>
              <w:pStyle w:val="Avsndare"/>
              <w:framePr w:h="2483" w:wrap="notBeside" w:x="1504"/>
            </w:pPr>
          </w:p>
          <w:p w:rsidR="005F1820" w:rsidRPr="00FA614C" w:rsidRDefault="005F1820">
            <w:pPr>
              <w:pStyle w:val="Avsndare"/>
              <w:framePr w:h="2483" w:wrap="notBeside" w:x="1504"/>
            </w:pPr>
          </w:p>
          <w:p w:rsidR="005F1820" w:rsidRPr="00FA614C" w:rsidRDefault="005F1820">
            <w:pPr>
              <w:pStyle w:val="Avsndare"/>
              <w:framePr w:h="2483" w:wrap="notBeside" w:x="1504"/>
            </w:pPr>
          </w:p>
          <w:p w:rsidR="005F1820" w:rsidRPr="00FA614C" w:rsidRDefault="005F1820">
            <w:pPr>
              <w:pStyle w:val="Avsndare"/>
              <w:framePr w:h="2483" w:wrap="notBeside" w:x="1504"/>
              <w:rPr>
                <w:b/>
                <w:i w:val="0"/>
                <w:sz w:val="22"/>
              </w:rPr>
            </w:pPr>
          </w:p>
        </w:tc>
      </w:tr>
    </w:tbl>
    <w:p w:rsidR="005F1820" w:rsidRPr="00FA614C" w:rsidRDefault="005F1820">
      <w:pPr>
        <w:framePr w:w="4400" w:h="2523" w:wrap="notBeside" w:vAnchor="page" w:hAnchor="page" w:x="6453" w:y="2445"/>
        <w:ind w:left="142"/>
      </w:pPr>
    </w:p>
    <w:p w:rsidR="005F1820" w:rsidRPr="00FA614C" w:rsidRDefault="005F1820">
      <w:pPr>
        <w:pStyle w:val="UDrubrik"/>
        <w:tabs>
          <w:tab w:val="left" w:pos="1701"/>
          <w:tab w:val="left" w:pos="1985"/>
        </w:tabs>
        <w:rPr>
          <w:rFonts w:cs="Arial"/>
          <w:sz w:val="28"/>
        </w:rPr>
      </w:pPr>
      <w:bookmarkStart w:id="0" w:name="_Toc67391946"/>
      <w:bookmarkStart w:id="1" w:name="_Toc70473239"/>
      <w:r w:rsidRPr="00FA614C">
        <w:rPr>
          <w:rFonts w:cs="Arial"/>
          <w:sz w:val="28"/>
        </w:rPr>
        <w:t>Troliga A-punkter inför kommande rådsmöten som godkändes vid Coreper I och Coreper II</w:t>
      </w:r>
      <w:bookmarkEnd w:id="0"/>
      <w:bookmarkEnd w:id="1"/>
      <w:r w:rsidR="000D4C9B" w:rsidRPr="00FA614C">
        <w:rPr>
          <w:rFonts w:cs="Arial"/>
          <w:sz w:val="28"/>
        </w:rPr>
        <w:t xml:space="preserve"> vecka 45</w:t>
      </w:r>
    </w:p>
    <w:p w:rsidR="000D4C9B" w:rsidRPr="00FA614C" w:rsidRDefault="000D4C9B" w:rsidP="000D4C9B">
      <w:pPr>
        <w:pStyle w:val="Brdtext1"/>
        <w:rPr>
          <w:lang w:val="sv-SE"/>
        </w:rPr>
      </w:pPr>
    </w:p>
    <w:p w:rsidR="000D4C9B" w:rsidRPr="00FA614C" w:rsidRDefault="000D4C9B" w:rsidP="000D4C9B">
      <w:pPr>
        <w:pStyle w:val="Brdtext1"/>
        <w:rPr>
          <w:lang w:val="sv-SE"/>
        </w:rPr>
      </w:pPr>
    </w:p>
    <w:p w:rsidR="000D4C9B" w:rsidRPr="00FA614C" w:rsidRDefault="000D4C9B" w:rsidP="000D4C9B">
      <w:r w:rsidRPr="00FA614C">
        <w:t>Överlämnas för skriftligt samråd vecka 45</w:t>
      </w:r>
    </w:p>
    <w:p w:rsidR="000D4C9B" w:rsidRPr="00FA614C" w:rsidRDefault="000D4C9B" w:rsidP="000D4C9B">
      <w:pPr>
        <w:pStyle w:val="Brdtext1"/>
        <w:rPr>
          <w:lang w:val="sv-SE"/>
        </w:rPr>
      </w:pPr>
    </w:p>
    <w:p w:rsidR="005F1820" w:rsidRPr="00FA614C"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0D4C9B" w:rsidRPr="00FA614C" w:rsidRDefault="000D4C9B">
      <w:pPr>
        <w:pStyle w:val="RKnormal"/>
        <w:ind w:left="0"/>
        <w:rPr>
          <w:b/>
          <w:bCs/>
        </w:rPr>
      </w:pPr>
    </w:p>
    <w:p w:rsidR="000D4C9B" w:rsidRPr="00FA614C" w:rsidRDefault="000D4C9B" w:rsidP="000D4C9B">
      <w:pPr>
        <w:pStyle w:val="UDrubrik"/>
        <w:tabs>
          <w:tab w:val="left" w:pos="1701"/>
          <w:tab w:val="left" w:pos="1985"/>
        </w:tabs>
      </w:pPr>
      <w:r w:rsidRPr="00FA614C">
        <w:rPr>
          <w:rFonts w:cs="Arial"/>
          <w:sz w:val="28"/>
        </w:rPr>
        <w:br w:type="page"/>
      </w:r>
      <w:r w:rsidRPr="00FA614C">
        <w:rPr>
          <w:rFonts w:cs="Arial"/>
          <w:sz w:val="28"/>
        </w:rPr>
        <w:lastRenderedPageBreak/>
        <w:t>Troliga A-punkter inför kommande rådsmöten som godkändes vid Coreper I och Coreper II</w:t>
      </w:r>
    </w:p>
    <w:p w:rsidR="000D4C9B" w:rsidRPr="00FA614C" w:rsidRDefault="000D4C9B">
      <w:pPr>
        <w:pStyle w:val="RKnormal"/>
        <w:ind w:left="0"/>
        <w:rPr>
          <w:b/>
          <w:bCs/>
        </w:rPr>
      </w:pPr>
    </w:p>
    <w:p w:rsidR="00E1673B" w:rsidRPr="00FA614C" w:rsidRDefault="005F1820">
      <w:pPr>
        <w:pStyle w:val="Innehll1"/>
        <w:tabs>
          <w:tab w:val="right" w:leader="dot" w:pos="7644"/>
        </w:tabs>
        <w:rPr>
          <w:rFonts w:ascii="Times New Roman" w:hAnsi="Times New Roman"/>
          <w:b w:val="0"/>
          <w:bCs w:val="0"/>
          <w:caps w:val="0"/>
          <w:szCs w:val="24"/>
          <w:lang w:eastAsia="sv-SE"/>
        </w:rPr>
      </w:pPr>
      <w:r w:rsidRPr="00FA614C">
        <w:rPr>
          <w:b w:val="0"/>
          <w:bCs w:val="0"/>
        </w:rPr>
        <w:fldChar w:fldCharType="begin" w:fldLock="1"/>
      </w:r>
      <w:r w:rsidRPr="00FA614C">
        <w:rPr>
          <w:b w:val="0"/>
          <w:bCs w:val="0"/>
        </w:rPr>
        <w:instrText xml:space="preserve"> TOC \o "1-3" \h \z </w:instrText>
      </w:r>
      <w:r w:rsidRPr="00FA614C">
        <w:rPr>
          <w:b w:val="0"/>
          <w:bCs w:val="0"/>
        </w:rPr>
        <w:fldChar w:fldCharType="separate"/>
      </w:r>
      <w:hyperlink w:anchor="_Toc245182002" w:history="1">
        <w:r w:rsidR="00E1673B" w:rsidRPr="00FA614C">
          <w:rPr>
            <w:rStyle w:val="Hyperlnk"/>
          </w:rPr>
          <w:t>Frågor som lösts i förberedande instanser</w:t>
        </w:r>
        <w:r w:rsidR="00E1673B" w:rsidRPr="00FA614C">
          <w:rPr>
            <w:webHidden/>
          </w:rPr>
          <w:tab/>
        </w:r>
        <w:r w:rsidR="00E1673B" w:rsidRPr="00FA614C">
          <w:rPr>
            <w:webHidden/>
          </w:rPr>
          <w:fldChar w:fldCharType="begin" w:fldLock="1"/>
        </w:r>
        <w:r w:rsidR="00E1673B" w:rsidRPr="00FA614C">
          <w:rPr>
            <w:webHidden/>
          </w:rPr>
          <w:instrText xml:space="preserve"> PAGEREF _Toc245182002 \h </w:instrText>
        </w:r>
        <w:r w:rsidR="00E1673B" w:rsidRPr="00FA614C">
          <w:rPr>
            <w:webHidden/>
          </w:rPr>
          <w:fldChar w:fldCharType="separate"/>
        </w:r>
        <w:r w:rsidR="00E1673B" w:rsidRPr="00FA614C">
          <w:rPr>
            <w:webHidden/>
          </w:rPr>
          <w:t>6</w:t>
        </w:r>
        <w:r w:rsidR="00E1673B" w:rsidRPr="00FA614C">
          <w:rPr>
            <w:webHidden/>
          </w:rPr>
          <w:fldChar w:fldCharType="end"/>
        </w:r>
      </w:hyperlink>
    </w:p>
    <w:p w:rsidR="00E1673B" w:rsidRPr="00FA614C" w:rsidRDefault="00E1673B">
      <w:pPr>
        <w:pStyle w:val="Innehll1"/>
        <w:tabs>
          <w:tab w:val="right" w:leader="dot" w:pos="7644"/>
        </w:tabs>
        <w:rPr>
          <w:rFonts w:ascii="Times New Roman" w:hAnsi="Times New Roman"/>
          <w:b w:val="0"/>
          <w:bCs w:val="0"/>
          <w:caps w:val="0"/>
          <w:szCs w:val="24"/>
          <w:lang w:eastAsia="sv-SE"/>
        </w:rPr>
      </w:pPr>
      <w:hyperlink w:anchor="_Toc245182003" w:history="1">
        <w:r w:rsidRPr="00FA614C">
          <w:rPr>
            <w:rStyle w:val="Hyperlnk"/>
          </w:rPr>
          <w:t>Punkter som godkändes vid Coreper I 2009-11-04</w:t>
        </w:r>
        <w:r w:rsidRPr="00FA614C">
          <w:rPr>
            <w:webHidden/>
          </w:rPr>
          <w:tab/>
        </w:r>
        <w:r w:rsidRPr="00FA614C">
          <w:rPr>
            <w:webHidden/>
          </w:rPr>
          <w:fldChar w:fldCharType="begin" w:fldLock="1"/>
        </w:r>
        <w:r w:rsidRPr="00FA614C">
          <w:rPr>
            <w:webHidden/>
          </w:rPr>
          <w:instrText xml:space="preserve"> PAGEREF _Toc245182003 \h </w:instrText>
        </w:r>
        <w:r w:rsidRPr="00FA614C">
          <w:rPr>
            <w:webHidden/>
          </w:rPr>
          <w:fldChar w:fldCharType="separate"/>
        </w:r>
        <w:r w:rsidRPr="00FA614C">
          <w:rPr>
            <w:webHidden/>
          </w:rPr>
          <w:t>6</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04" w:history="1">
        <w:r w:rsidRPr="00FA614C">
          <w:rPr>
            <w:rStyle w:val="Hyperlnk"/>
          </w:rPr>
          <w:t>1.  Reply to written question put to the Council by Members of the European Parliament (+)(a) n° E-4476/09 put by Martin Ehrenhauser "Galileo - use by armed forces and intelligence services and partnerships with third countries"  (b) n° E-4556/09 put by Charles Tannock "Operation Atalanta"(c) n° E-4587/09 put by John Bufton "Discrimination against people who suffer from lung conditions by airlines in the EU"  (d) n° E-4594/09 put by Izaskun Bilbao Barandica "Incorporation of the Basque police force into the Schengen Protocol"  (e) n° E-4695/09 put by Gianluca Susta "Tax shelter rules in Italy"</w:t>
        </w:r>
        <w:r w:rsidRPr="00FA614C">
          <w:rPr>
            <w:webHidden/>
          </w:rPr>
          <w:tab/>
        </w:r>
        <w:r w:rsidRPr="00FA614C">
          <w:rPr>
            <w:webHidden/>
          </w:rPr>
          <w:fldChar w:fldCharType="begin" w:fldLock="1"/>
        </w:r>
        <w:r w:rsidRPr="00FA614C">
          <w:rPr>
            <w:webHidden/>
          </w:rPr>
          <w:instrText xml:space="preserve"> PAGEREF _Toc245182004 \h </w:instrText>
        </w:r>
        <w:r w:rsidRPr="00FA614C">
          <w:rPr>
            <w:webHidden/>
          </w:rPr>
          <w:fldChar w:fldCharType="separate"/>
        </w:r>
        <w:r w:rsidRPr="00FA614C">
          <w:rPr>
            <w:webHidden/>
          </w:rPr>
          <w:t>6</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05" w:history="1">
        <w:r w:rsidRPr="00FA614C">
          <w:rPr>
            <w:rStyle w:val="Hyperlnk"/>
          </w:rPr>
          <w:t>2.  Draft agenda for the forthcoming part-session of the European Parliament in Brussels from 11 to 12 November 2009</w:t>
        </w:r>
        <w:r w:rsidRPr="00FA614C">
          <w:rPr>
            <w:webHidden/>
          </w:rPr>
          <w:tab/>
        </w:r>
        <w:r w:rsidRPr="00FA614C">
          <w:rPr>
            <w:webHidden/>
          </w:rPr>
          <w:fldChar w:fldCharType="begin" w:fldLock="1"/>
        </w:r>
        <w:r w:rsidRPr="00FA614C">
          <w:rPr>
            <w:webHidden/>
          </w:rPr>
          <w:instrText xml:space="preserve"> PAGEREF _Toc245182005 \h </w:instrText>
        </w:r>
        <w:r w:rsidRPr="00FA614C">
          <w:rPr>
            <w:webHidden/>
          </w:rPr>
          <w:fldChar w:fldCharType="separate"/>
        </w:r>
        <w:r w:rsidRPr="00FA614C">
          <w:rPr>
            <w:webHidden/>
          </w:rPr>
          <w:t>6</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06" w:history="1">
        <w:r w:rsidRPr="00FA614C">
          <w:rPr>
            <w:rStyle w:val="Hyperlnk"/>
          </w:rPr>
          <w:t>3. Draft Commission Directive ../.../EC of [...] amending, for the purposes of their adaptation to technical progress, Council Directives 80/720/EEC, 86/298/EEC, 86/415/EEC and 87/402/EEC and Directives 2000/25/EC and 2003/37/EC of the European Parliament and of the Council relating to the type-approval of agricultural or forestry tractors - Decision not to oppose adoption</w:t>
        </w:r>
        <w:r w:rsidRPr="00FA614C">
          <w:rPr>
            <w:webHidden/>
          </w:rPr>
          <w:tab/>
        </w:r>
        <w:r w:rsidRPr="00FA614C">
          <w:rPr>
            <w:webHidden/>
          </w:rPr>
          <w:fldChar w:fldCharType="begin" w:fldLock="1"/>
        </w:r>
        <w:r w:rsidRPr="00FA614C">
          <w:rPr>
            <w:webHidden/>
          </w:rPr>
          <w:instrText xml:space="preserve"> PAGEREF _Toc245182006 \h </w:instrText>
        </w:r>
        <w:r w:rsidRPr="00FA614C">
          <w:rPr>
            <w:webHidden/>
          </w:rPr>
          <w:fldChar w:fldCharType="separate"/>
        </w:r>
        <w:r w:rsidRPr="00FA614C">
          <w:rPr>
            <w:webHidden/>
          </w:rPr>
          <w:t>7</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07" w:history="1">
        <w:r w:rsidRPr="00FA614C">
          <w:rPr>
            <w:rStyle w:val="Hyperlnk"/>
          </w:rPr>
          <w:t>4. Recommendation from the Commission to the Council to authorise the Commission to open negotiations on an agreement on scientific and technological cooperation between the European Community and the People's Democratic Republic of Algeria- Adoption</w:t>
        </w:r>
        <w:r w:rsidRPr="00FA614C">
          <w:rPr>
            <w:webHidden/>
          </w:rPr>
          <w:tab/>
        </w:r>
        <w:r w:rsidRPr="00FA614C">
          <w:rPr>
            <w:webHidden/>
          </w:rPr>
          <w:fldChar w:fldCharType="begin" w:fldLock="1"/>
        </w:r>
        <w:r w:rsidRPr="00FA614C">
          <w:rPr>
            <w:webHidden/>
          </w:rPr>
          <w:instrText xml:space="preserve"> PAGEREF _Toc245182007 \h </w:instrText>
        </w:r>
        <w:r w:rsidRPr="00FA614C">
          <w:rPr>
            <w:webHidden/>
          </w:rPr>
          <w:fldChar w:fldCharType="separate"/>
        </w:r>
        <w:r w:rsidRPr="00FA614C">
          <w:rPr>
            <w:webHidden/>
          </w:rPr>
          <w:t>8</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08" w:history="1">
        <w:r w:rsidRPr="00FA614C">
          <w:rPr>
            <w:rStyle w:val="Hyperlnk"/>
          </w:rPr>
          <w:t>5. Proposal for a Council Decision on the conclusion, by the Commission, of the Agreement for co-operation between the European Atomic Energy Community and the Government of the Federative Republic of Brazil in the field of fusion energy research- Adoption</w:t>
        </w:r>
        <w:r w:rsidRPr="00FA614C">
          <w:rPr>
            <w:webHidden/>
          </w:rPr>
          <w:tab/>
        </w:r>
        <w:r w:rsidRPr="00FA614C">
          <w:rPr>
            <w:webHidden/>
          </w:rPr>
          <w:fldChar w:fldCharType="begin" w:fldLock="1"/>
        </w:r>
        <w:r w:rsidRPr="00FA614C">
          <w:rPr>
            <w:webHidden/>
          </w:rPr>
          <w:instrText xml:space="preserve"> PAGEREF _Toc245182008 \h </w:instrText>
        </w:r>
        <w:r w:rsidRPr="00FA614C">
          <w:rPr>
            <w:webHidden/>
          </w:rPr>
          <w:fldChar w:fldCharType="separate"/>
        </w:r>
        <w:r w:rsidRPr="00FA614C">
          <w:rPr>
            <w:webHidden/>
          </w:rPr>
          <w:t>8</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09" w:history="1">
        <w:r w:rsidRPr="00FA614C">
          <w:rPr>
            <w:rStyle w:val="Hyperlnk"/>
          </w:rPr>
          <w:t>6. Proposal for a Directive of the European Parliament and of the Council on statutory markings for two- or three-wheel motor vehicles (codified version) (LA) (First reading)- Adoption of legislative act</w:t>
        </w:r>
        <w:r w:rsidRPr="00FA614C">
          <w:rPr>
            <w:webHidden/>
          </w:rPr>
          <w:tab/>
        </w:r>
        <w:r w:rsidRPr="00FA614C">
          <w:rPr>
            <w:webHidden/>
          </w:rPr>
          <w:fldChar w:fldCharType="begin" w:fldLock="1"/>
        </w:r>
        <w:r w:rsidRPr="00FA614C">
          <w:rPr>
            <w:webHidden/>
          </w:rPr>
          <w:instrText xml:space="preserve"> PAGEREF _Toc245182009 \h </w:instrText>
        </w:r>
        <w:r w:rsidRPr="00FA614C">
          <w:rPr>
            <w:webHidden/>
          </w:rPr>
          <w:fldChar w:fldCharType="separate"/>
        </w:r>
        <w:r w:rsidRPr="00FA614C">
          <w:rPr>
            <w:webHidden/>
          </w:rPr>
          <w:t>8</w:t>
        </w:r>
        <w:r w:rsidRPr="00FA614C">
          <w:rPr>
            <w:webHidden/>
          </w:rPr>
          <w:fldChar w:fldCharType="end"/>
        </w:r>
      </w:hyperlink>
    </w:p>
    <w:p w:rsidR="00E1673B" w:rsidRPr="00FA614C" w:rsidRDefault="00E1673B">
      <w:pPr>
        <w:pStyle w:val="Innehll1"/>
        <w:tabs>
          <w:tab w:val="right" w:leader="dot" w:pos="7644"/>
        </w:tabs>
        <w:rPr>
          <w:rFonts w:ascii="Times New Roman" w:hAnsi="Times New Roman"/>
          <w:b w:val="0"/>
          <w:bCs w:val="0"/>
          <w:caps w:val="0"/>
          <w:szCs w:val="24"/>
          <w:lang w:eastAsia="sv-SE"/>
        </w:rPr>
      </w:pPr>
      <w:hyperlink w:anchor="_Toc245182010" w:history="1">
        <w:r w:rsidRPr="00FA614C">
          <w:rPr>
            <w:rStyle w:val="Hyperlnk"/>
          </w:rPr>
          <w:t>Punkter som godkändes vid Coreper II 2009-11-04</w:t>
        </w:r>
        <w:r w:rsidRPr="00FA614C">
          <w:rPr>
            <w:webHidden/>
          </w:rPr>
          <w:tab/>
        </w:r>
        <w:r w:rsidRPr="00FA614C">
          <w:rPr>
            <w:webHidden/>
          </w:rPr>
          <w:fldChar w:fldCharType="begin" w:fldLock="1"/>
        </w:r>
        <w:r w:rsidRPr="00FA614C">
          <w:rPr>
            <w:webHidden/>
          </w:rPr>
          <w:instrText xml:space="preserve"> PAGEREF _Toc245182010 \h </w:instrText>
        </w:r>
        <w:r w:rsidRPr="00FA614C">
          <w:rPr>
            <w:webHidden/>
          </w:rPr>
          <w:fldChar w:fldCharType="separate"/>
        </w:r>
        <w:r w:rsidRPr="00FA614C">
          <w:rPr>
            <w:webHidden/>
          </w:rPr>
          <w:t>10</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11" w:history="1">
        <w:r w:rsidRPr="00FA614C">
          <w:rPr>
            <w:rStyle w:val="Hyperlnk"/>
          </w:rPr>
          <w:t>7. Integrated Maritime Policy- Draft Council conclusions</w:t>
        </w:r>
        <w:r w:rsidRPr="00FA614C">
          <w:rPr>
            <w:webHidden/>
          </w:rPr>
          <w:tab/>
        </w:r>
        <w:r w:rsidRPr="00FA614C">
          <w:rPr>
            <w:webHidden/>
          </w:rPr>
          <w:fldChar w:fldCharType="begin" w:fldLock="1"/>
        </w:r>
        <w:r w:rsidRPr="00FA614C">
          <w:rPr>
            <w:webHidden/>
          </w:rPr>
          <w:instrText xml:space="preserve"> PAGEREF _Toc245182011 \h </w:instrText>
        </w:r>
        <w:r w:rsidRPr="00FA614C">
          <w:rPr>
            <w:webHidden/>
          </w:rPr>
          <w:fldChar w:fldCharType="separate"/>
        </w:r>
        <w:r w:rsidRPr="00FA614C">
          <w:rPr>
            <w:webHidden/>
          </w:rPr>
          <w:t>10</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12" w:history="1">
        <w:r w:rsidRPr="00FA614C">
          <w:rPr>
            <w:rStyle w:val="Hyperlnk"/>
          </w:rPr>
          <w:t>8. Integration of maritime surveillance- Draft Council conclusions</w:t>
        </w:r>
        <w:r w:rsidRPr="00FA614C">
          <w:rPr>
            <w:webHidden/>
          </w:rPr>
          <w:tab/>
        </w:r>
        <w:r w:rsidRPr="00FA614C">
          <w:rPr>
            <w:webHidden/>
          </w:rPr>
          <w:fldChar w:fldCharType="begin" w:fldLock="1"/>
        </w:r>
        <w:r w:rsidRPr="00FA614C">
          <w:rPr>
            <w:webHidden/>
          </w:rPr>
          <w:instrText xml:space="preserve"> PAGEREF _Toc245182012 \h </w:instrText>
        </w:r>
        <w:r w:rsidRPr="00FA614C">
          <w:rPr>
            <w:webHidden/>
          </w:rPr>
          <w:fldChar w:fldCharType="separate"/>
        </w:r>
        <w:r w:rsidRPr="00FA614C">
          <w:rPr>
            <w:webHidden/>
          </w:rPr>
          <w:t>11</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13" w:history="1">
        <w:r w:rsidRPr="00FA614C">
          <w:rPr>
            <w:rStyle w:val="Hyperlnk"/>
          </w:rPr>
          <w:t>9. Council Joint Action amending Joint Action 2005/889/CFSP on establishing a European Union Border Assistance Mission for the Rafah Crossing Point (EUBAM Rafah)</w:t>
        </w:r>
        <w:r w:rsidRPr="00FA614C">
          <w:rPr>
            <w:webHidden/>
          </w:rPr>
          <w:tab/>
        </w:r>
        <w:r w:rsidRPr="00FA614C">
          <w:rPr>
            <w:webHidden/>
          </w:rPr>
          <w:fldChar w:fldCharType="begin" w:fldLock="1"/>
        </w:r>
        <w:r w:rsidRPr="00FA614C">
          <w:rPr>
            <w:webHidden/>
          </w:rPr>
          <w:instrText xml:space="preserve"> PAGEREF _Toc245182013 \h </w:instrText>
        </w:r>
        <w:r w:rsidRPr="00FA614C">
          <w:rPr>
            <w:webHidden/>
          </w:rPr>
          <w:fldChar w:fldCharType="separate"/>
        </w:r>
        <w:r w:rsidRPr="00FA614C">
          <w:rPr>
            <w:webHidden/>
          </w:rPr>
          <w:t>12</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14" w:history="1">
        <w:r w:rsidRPr="00FA614C">
          <w:rPr>
            <w:rStyle w:val="Hyperlnk"/>
          </w:rPr>
          <w:t>10. Council Joint Action amending Joint Action 2009/131/CFSP extending the mandate of the European Union Special Representative for the crisis in Georgia</w:t>
        </w:r>
        <w:r w:rsidRPr="00FA614C">
          <w:rPr>
            <w:webHidden/>
          </w:rPr>
          <w:tab/>
        </w:r>
        <w:r w:rsidRPr="00FA614C">
          <w:rPr>
            <w:webHidden/>
          </w:rPr>
          <w:fldChar w:fldCharType="begin" w:fldLock="1"/>
        </w:r>
        <w:r w:rsidRPr="00FA614C">
          <w:rPr>
            <w:webHidden/>
          </w:rPr>
          <w:instrText xml:space="preserve"> PAGEREF _Toc245182014 \h </w:instrText>
        </w:r>
        <w:r w:rsidRPr="00FA614C">
          <w:rPr>
            <w:webHidden/>
          </w:rPr>
          <w:fldChar w:fldCharType="separate"/>
        </w:r>
        <w:r w:rsidRPr="00FA614C">
          <w:rPr>
            <w:webHidden/>
          </w:rPr>
          <w:t>13</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15" w:history="1">
        <w:r w:rsidRPr="00FA614C">
          <w:rPr>
            <w:rStyle w:val="Hyperlnk"/>
          </w:rPr>
          <w:t>11. Council Joint Action amending Joint Action 2001/555/CFSP on the establishment of a European Union Satellite Centre</w:t>
        </w:r>
        <w:r w:rsidRPr="00FA614C">
          <w:rPr>
            <w:webHidden/>
          </w:rPr>
          <w:tab/>
        </w:r>
        <w:r w:rsidRPr="00FA614C">
          <w:rPr>
            <w:webHidden/>
          </w:rPr>
          <w:fldChar w:fldCharType="begin" w:fldLock="1"/>
        </w:r>
        <w:r w:rsidRPr="00FA614C">
          <w:rPr>
            <w:webHidden/>
          </w:rPr>
          <w:instrText xml:space="preserve"> PAGEREF _Toc245182015 \h </w:instrText>
        </w:r>
        <w:r w:rsidRPr="00FA614C">
          <w:rPr>
            <w:webHidden/>
          </w:rPr>
          <w:fldChar w:fldCharType="separate"/>
        </w:r>
        <w:r w:rsidRPr="00FA614C">
          <w:rPr>
            <w:webHidden/>
          </w:rPr>
          <w:t>13</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16" w:history="1">
        <w:r w:rsidRPr="00FA614C">
          <w:rPr>
            <w:rStyle w:val="Hyperlnk"/>
          </w:rPr>
          <w:t>12. Single Progress Report on the Development of Military Capabilities for the Second Semester of 2009</w:t>
        </w:r>
        <w:r w:rsidRPr="00FA614C">
          <w:rPr>
            <w:webHidden/>
          </w:rPr>
          <w:tab/>
        </w:r>
        <w:r w:rsidRPr="00FA614C">
          <w:rPr>
            <w:webHidden/>
          </w:rPr>
          <w:fldChar w:fldCharType="begin" w:fldLock="1"/>
        </w:r>
        <w:r w:rsidRPr="00FA614C">
          <w:rPr>
            <w:webHidden/>
          </w:rPr>
          <w:instrText xml:space="preserve"> PAGEREF _Toc245182016 \h </w:instrText>
        </w:r>
        <w:r w:rsidRPr="00FA614C">
          <w:rPr>
            <w:webHidden/>
          </w:rPr>
          <w:fldChar w:fldCharType="separate"/>
        </w:r>
        <w:r w:rsidRPr="00FA614C">
          <w:rPr>
            <w:webHidden/>
          </w:rPr>
          <w:t>14</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17" w:history="1">
        <w:r w:rsidRPr="00FA614C">
          <w:rPr>
            <w:rStyle w:val="Hyperlnk"/>
          </w:rPr>
          <w:t>13. Levels of security co-operation with third States and international organisations- Update</w:t>
        </w:r>
        <w:r w:rsidRPr="00FA614C">
          <w:rPr>
            <w:webHidden/>
          </w:rPr>
          <w:tab/>
        </w:r>
        <w:r w:rsidRPr="00FA614C">
          <w:rPr>
            <w:webHidden/>
          </w:rPr>
          <w:fldChar w:fldCharType="begin" w:fldLock="1"/>
        </w:r>
        <w:r w:rsidRPr="00FA614C">
          <w:rPr>
            <w:webHidden/>
          </w:rPr>
          <w:instrText xml:space="preserve"> PAGEREF _Toc245182017 \h </w:instrText>
        </w:r>
        <w:r w:rsidRPr="00FA614C">
          <w:rPr>
            <w:webHidden/>
          </w:rPr>
          <w:fldChar w:fldCharType="separate"/>
        </w:r>
        <w:r w:rsidRPr="00FA614C">
          <w:rPr>
            <w:webHidden/>
          </w:rPr>
          <w:t>14</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18" w:history="1">
        <w:r w:rsidRPr="00FA614C">
          <w:rPr>
            <w:rStyle w:val="Hyperlnk"/>
          </w:rPr>
          <w:t>14. Council Decision concerning the conclusion of the Agreement between the Government of the Russian Federation and the European Union on the protection of classified information</w:t>
        </w:r>
        <w:r w:rsidRPr="00FA614C">
          <w:rPr>
            <w:webHidden/>
          </w:rPr>
          <w:tab/>
        </w:r>
        <w:r w:rsidRPr="00FA614C">
          <w:rPr>
            <w:webHidden/>
          </w:rPr>
          <w:fldChar w:fldCharType="begin" w:fldLock="1"/>
        </w:r>
        <w:r w:rsidRPr="00FA614C">
          <w:rPr>
            <w:webHidden/>
          </w:rPr>
          <w:instrText xml:space="preserve"> PAGEREF _Toc245182018 \h </w:instrText>
        </w:r>
        <w:r w:rsidRPr="00FA614C">
          <w:rPr>
            <w:webHidden/>
          </w:rPr>
          <w:fldChar w:fldCharType="separate"/>
        </w:r>
        <w:r w:rsidRPr="00FA614C">
          <w:rPr>
            <w:webHidden/>
          </w:rPr>
          <w:t>15</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19" w:history="1">
        <w:r w:rsidRPr="00FA614C">
          <w:rPr>
            <w:rStyle w:val="Hyperlnk"/>
          </w:rPr>
          <w:t>15. Council Decision concerning the conclusion of the Agreement between Australia and the European Union on the security of classified information</w:t>
        </w:r>
        <w:r w:rsidRPr="00FA614C">
          <w:rPr>
            <w:webHidden/>
          </w:rPr>
          <w:tab/>
        </w:r>
        <w:r w:rsidRPr="00FA614C">
          <w:rPr>
            <w:webHidden/>
          </w:rPr>
          <w:fldChar w:fldCharType="begin" w:fldLock="1"/>
        </w:r>
        <w:r w:rsidRPr="00FA614C">
          <w:rPr>
            <w:webHidden/>
          </w:rPr>
          <w:instrText xml:space="preserve"> PAGEREF _Toc245182019 \h </w:instrText>
        </w:r>
        <w:r w:rsidRPr="00FA614C">
          <w:rPr>
            <w:webHidden/>
          </w:rPr>
          <w:fldChar w:fldCharType="separate"/>
        </w:r>
        <w:r w:rsidRPr="00FA614C">
          <w:rPr>
            <w:webHidden/>
          </w:rPr>
          <w:t>15</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20" w:history="1">
        <w:r w:rsidRPr="00FA614C">
          <w:rPr>
            <w:rStyle w:val="Hyperlnk"/>
          </w:rPr>
          <w:t>16. Negotiation of a security of information Agreement with Montenegro</w:t>
        </w:r>
        <w:r w:rsidRPr="00FA614C">
          <w:rPr>
            <w:webHidden/>
          </w:rPr>
          <w:tab/>
        </w:r>
        <w:r w:rsidRPr="00FA614C">
          <w:rPr>
            <w:webHidden/>
          </w:rPr>
          <w:fldChar w:fldCharType="begin" w:fldLock="1"/>
        </w:r>
        <w:r w:rsidRPr="00FA614C">
          <w:rPr>
            <w:webHidden/>
          </w:rPr>
          <w:instrText xml:space="preserve"> PAGEREF _Toc245182020 \h </w:instrText>
        </w:r>
        <w:r w:rsidRPr="00FA614C">
          <w:rPr>
            <w:webHidden/>
          </w:rPr>
          <w:fldChar w:fldCharType="separate"/>
        </w:r>
        <w:r w:rsidRPr="00FA614C">
          <w:rPr>
            <w:webHidden/>
          </w:rPr>
          <w:t>16</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21" w:history="1">
        <w:r w:rsidRPr="00FA614C">
          <w:rPr>
            <w:rStyle w:val="Hyperlnk"/>
          </w:rPr>
          <w:t>17. Council Decision authorising Portugal to apply reduced rates of excise duty in the autonomous region of Madeira on locally produced and consumed rum and liqueurs and in the autonomous region of the Azores on locally produced and consumed liqueurs and eaux-de-vie</w:t>
        </w:r>
        <w:r w:rsidRPr="00FA614C">
          <w:rPr>
            <w:webHidden/>
          </w:rPr>
          <w:tab/>
        </w:r>
        <w:r w:rsidRPr="00FA614C">
          <w:rPr>
            <w:webHidden/>
          </w:rPr>
          <w:fldChar w:fldCharType="begin" w:fldLock="1"/>
        </w:r>
        <w:r w:rsidRPr="00FA614C">
          <w:rPr>
            <w:webHidden/>
          </w:rPr>
          <w:instrText xml:space="preserve"> PAGEREF _Toc245182021 \h </w:instrText>
        </w:r>
        <w:r w:rsidRPr="00FA614C">
          <w:rPr>
            <w:webHidden/>
          </w:rPr>
          <w:fldChar w:fldCharType="separate"/>
        </w:r>
        <w:r w:rsidRPr="00FA614C">
          <w:rPr>
            <w:webHidden/>
          </w:rPr>
          <w:t>16</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22" w:history="1">
        <w:r w:rsidRPr="00FA614C">
          <w:rPr>
            <w:rStyle w:val="Hyperlnk"/>
          </w:rPr>
          <w:t>18. Proposal for a Directive of the European Parliament and of the Council amending Directives 2006/48/EC and 2006/49/EC as regards capital requirements for the trading book and for re-securisations, and the supervisory review of remuneration policies (LA) - General approach</w:t>
        </w:r>
        <w:r w:rsidRPr="00FA614C">
          <w:rPr>
            <w:webHidden/>
          </w:rPr>
          <w:tab/>
        </w:r>
        <w:r w:rsidRPr="00FA614C">
          <w:rPr>
            <w:webHidden/>
          </w:rPr>
          <w:fldChar w:fldCharType="begin" w:fldLock="1"/>
        </w:r>
        <w:r w:rsidRPr="00FA614C">
          <w:rPr>
            <w:webHidden/>
          </w:rPr>
          <w:instrText xml:space="preserve"> PAGEREF _Toc245182022 \h </w:instrText>
        </w:r>
        <w:r w:rsidRPr="00FA614C">
          <w:rPr>
            <w:webHidden/>
          </w:rPr>
          <w:fldChar w:fldCharType="separate"/>
        </w:r>
        <w:r w:rsidRPr="00FA614C">
          <w:rPr>
            <w:webHidden/>
          </w:rPr>
          <w:t>17</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23" w:history="1">
        <w:r w:rsidRPr="00FA614C">
          <w:rPr>
            <w:rStyle w:val="Hyperlnk"/>
          </w:rPr>
          <w:t>19. Special report No. 8/2009 on "Networks of excellence" and "Integrated projects" in Community Research policy: did they achieve their objectives</w:t>
        </w:r>
        <w:r w:rsidRPr="00FA614C">
          <w:rPr>
            <w:webHidden/>
          </w:rPr>
          <w:tab/>
        </w:r>
        <w:r w:rsidRPr="00FA614C">
          <w:rPr>
            <w:webHidden/>
          </w:rPr>
          <w:fldChar w:fldCharType="begin" w:fldLock="1"/>
        </w:r>
        <w:r w:rsidRPr="00FA614C">
          <w:rPr>
            <w:webHidden/>
          </w:rPr>
          <w:instrText xml:space="preserve"> PAGEREF _Toc245182023 \h </w:instrText>
        </w:r>
        <w:r w:rsidRPr="00FA614C">
          <w:rPr>
            <w:webHidden/>
          </w:rPr>
          <w:fldChar w:fldCharType="separate"/>
        </w:r>
        <w:r w:rsidRPr="00FA614C">
          <w:rPr>
            <w:webHidden/>
          </w:rPr>
          <w:t>18</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24" w:history="1">
        <w:r w:rsidRPr="00FA614C">
          <w:rPr>
            <w:rStyle w:val="Hyperlnk"/>
          </w:rPr>
          <w:t>20. Special report No.12/2009 on the effectiveness of the Commission's projects in the area of Justice and Home Affairs for the western Balkans</w:t>
        </w:r>
        <w:r w:rsidRPr="00FA614C">
          <w:rPr>
            <w:webHidden/>
          </w:rPr>
          <w:tab/>
        </w:r>
        <w:r w:rsidRPr="00FA614C">
          <w:rPr>
            <w:webHidden/>
          </w:rPr>
          <w:fldChar w:fldCharType="begin" w:fldLock="1"/>
        </w:r>
        <w:r w:rsidRPr="00FA614C">
          <w:rPr>
            <w:webHidden/>
          </w:rPr>
          <w:instrText xml:space="preserve"> PAGEREF _Toc245182024 \h </w:instrText>
        </w:r>
        <w:r w:rsidRPr="00FA614C">
          <w:rPr>
            <w:webHidden/>
          </w:rPr>
          <w:fldChar w:fldCharType="separate"/>
        </w:r>
        <w:r w:rsidRPr="00FA614C">
          <w:rPr>
            <w:webHidden/>
          </w:rPr>
          <w:t>18</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25" w:history="1">
        <w:r w:rsidRPr="00FA614C">
          <w:rPr>
            <w:rStyle w:val="Hyperlnk"/>
          </w:rPr>
          <w:t>21. Special report No. 14/2009 "Have the management instruments applied to the market in milk and milk products achieved their main objectives?"</w:t>
        </w:r>
        <w:r w:rsidRPr="00FA614C">
          <w:rPr>
            <w:webHidden/>
          </w:rPr>
          <w:tab/>
        </w:r>
        <w:r w:rsidRPr="00FA614C">
          <w:rPr>
            <w:webHidden/>
          </w:rPr>
          <w:fldChar w:fldCharType="begin" w:fldLock="1"/>
        </w:r>
        <w:r w:rsidRPr="00FA614C">
          <w:rPr>
            <w:webHidden/>
          </w:rPr>
          <w:instrText xml:space="preserve"> PAGEREF _Toc245182025 \h </w:instrText>
        </w:r>
        <w:r w:rsidRPr="00FA614C">
          <w:rPr>
            <w:webHidden/>
          </w:rPr>
          <w:fldChar w:fldCharType="separate"/>
        </w:r>
        <w:r w:rsidRPr="00FA614C">
          <w:rPr>
            <w:webHidden/>
          </w:rPr>
          <w:t>20</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26" w:history="1">
        <w:r w:rsidRPr="00FA614C">
          <w:rPr>
            <w:rStyle w:val="Hyperlnk"/>
          </w:rPr>
          <w:t>22. a) Proposal for a Decision of the European Parliament and of the Council on the mobilisation of the European Globalisation Adjustment Fundb) Proposal for transfer of appropriations No. DEC32/2009 within Section III - Commission - of the general budget for 2009 (NCE)</w:t>
        </w:r>
        <w:r w:rsidRPr="00FA614C">
          <w:rPr>
            <w:webHidden/>
          </w:rPr>
          <w:tab/>
        </w:r>
        <w:r w:rsidRPr="00FA614C">
          <w:rPr>
            <w:webHidden/>
          </w:rPr>
          <w:fldChar w:fldCharType="begin" w:fldLock="1"/>
        </w:r>
        <w:r w:rsidRPr="00FA614C">
          <w:rPr>
            <w:webHidden/>
          </w:rPr>
          <w:instrText xml:space="preserve"> PAGEREF _Toc245182026 \h </w:instrText>
        </w:r>
        <w:r w:rsidRPr="00FA614C">
          <w:rPr>
            <w:webHidden/>
          </w:rPr>
          <w:fldChar w:fldCharType="separate"/>
        </w:r>
        <w:r w:rsidRPr="00FA614C">
          <w:rPr>
            <w:webHidden/>
          </w:rPr>
          <w:t>20</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27" w:history="1">
        <w:r w:rsidRPr="00FA614C">
          <w:rPr>
            <w:rStyle w:val="Hyperlnk"/>
          </w:rPr>
          <w:t>23. Proposal for transfer of appropriations No. DEC35/2009 within Section III - Commission - of the general budget for 2009 (CE/NCE)</w:t>
        </w:r>
        <w:r w:rsidRPr="00FA614C">
          <w:rPr>
            <w:webHidden/>
          </w:rPr>
          <w:tab/>
        </w:r>
        <w:r w:rsidRPr="00FA614C">
          <w:rPr>
            <w:webHidden/>
          </w:rPr>
          <w:fldChar w:fldCharType="begin" w:fldLock="1"/>
        </w:r>
        <w:r w:rsidRPr="00FA614C">
          <w:rPr>
            <w:webHidden/>
          </w:rPr>
          <w:instrText xml:space="preserve"> PAGEREF _Toc245182027 \h </w:instrText>
        </w:r>
        <w:r w:rsidRPr="00FA614C">
          <w:rPr>
            <w:webHidden/>
          </w:rPr>
          <w:fldChar w:fldCharType="separate"/>
        </w:r>
        <w:r w:rsidRPr="00FA614C">
          <w:rPr>
            <w:webHidden/>
          </w:rPr>
          <w:t>21</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28" w:history="1">
        <w:r w:rsidRPr="00FA614C">
          <w:rPr>
            <w:rStyle w:val="Hyperlnk"/>
          </w:rPr>
          <w:t>24. Proposal for transfer of appropriations No. DEC36/2009 within Section III - Commission - of the general budget for 2009 (CE/NCE)</w:t>
        </w:r>
        <w:r w:rsidRPr="00FA614C">
          <w:rPr>
            <w:webHidden/>
          </w:rPr>
          <w:tab/>
        </w:r>
        <w:r w:rsidRPr="00FA614C">
          <w:rPr>
            <w:webHidden/>
          </w:rPr>
          <w:fldChar w:fldCharType="begin" w:fldLock="1"/>
        </w:r>
        <w:r w:rsidRPr="00FA614C">
          <w:rPr>
            <w:webHidden/>
          </w:rPr>
          <w:instrText xml:space="preserve"> PAGEREF _Toc245182028 \h </w:instrText>
        </w:r>
        <w:r w:rsidRPr="00FA614C">
          <w:rPr>
            <w:webHidden/>
          </w:rPr>
          <w:fldChar w:fldCharType="separate"/>
        </w:r>
        <w:r w:rsidRPr="00FA614C">
          <w:rPr>
            <w:webHidden/>
          </w:rPr>
          <w:t>21</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29" w:history="1">
        <w:r w:rsidRPr="00FA614C">
          <w:rPr>
            <w:rStyle w:val="Hyperlnk"/>
          </w:rPr>
          <w:t>25. Proposal for transfer of appropriations No. DEC40/2009 within Section III - Commission - of the general budget for 2009 (NCE)</w:t>
        </w:r>
        <w:r w:rsidRPr="00FA614C">
          <w:rPr>
            <w:webHidden/>
          </w:rPr>
          <w:tab/>
        </w:r>
        <w:r w:rsidRPr="00FA614C">
          <w:rPr>
            <w:webHidden/>
          </w:rPr>
          <w:fldChar w:fldCharType="begin" w:fldLock="1"/>
        </w:r>
        <w:r w:rsidRPr="00FA614C">
          <w:rPr>
            <w:webHidden/>
          </w:rPr>
          <w:instrText xml:space="preserve"> PAGEREF _Toc245182029 \h </w:instrText>
        </w:r>
        <w:r w:rsidRPr="00FA614C">
          <w:rPr>
            <w:webHidden/>
          </w:rPr>
          <w:fldChar w:fldCharType="separate"/>
        </w:r>
        <w:r w:rsidRPr="00FA614C">
          <w:rPr>
            <w:webHidden/>
          </w:rPr>
          <w:t>21</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30" w:history="1">
        <w:r w:rsidRPr="00FA614C">
          <w:rPr>
            <w:rStyle w:val="Hyperlnk"/>
          </w:rPr>
          <w:t>26. Proposal for transfer of appropriations No. DEC41/2009 within Section III - Commission - of the general budget for 2009 (NCE)</w:t>
        </w:r>
        <w:r w:rsidRPr="00FA614C">
          <w:rPr>
            <w:webHidden/>
          </w:rPr>
          <w:tab/>
        </w:r>
        <w:r w:rsidRPr="00FA614C">
          <w:rPr>
            <w:webHidden/>
          </w:rPr>
          <w:fldChar w:fldCharType="begin" w:fldLock="1"/>
        </w:r>
        <w:r w:rsidRPr="00FA614C">
          <w:rPr>
            <w:webHidden/>
          </w:rPr>
          <w:instrText xml:space="preserve"> PAGEREF _Toc245182030 \h </w:instrText>
        </w:r>
        <w:r w:rsidRPr="00FA614C">
          <w:rPr>
            <w:webHidden/>
          </w:rPr>
          <w:fldChar w:fldCharType="separate"/>
        </w:r>
        <w:r w:rsidRPr="00FA614C">
          <w:rPr>
            <w:webHidden/>
          </w:rPr>
          <w:t>22</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31" w:history="1">
        <w:r w:rsidRPr="00FA614C">
          <w:rPr>
            <w:rStyle w:val="Hyperlnk"/>
          </w:rPr>
          <w:t>27. Proposal for transfer of appropriations No. DEC42/2009 within Section III - Commission - of the general budget for 2009 (NCE)</w:t>
        </w:r>
        <w:r w:rsidRPr="00FA614C">
          <w:rPr>
            <w:webHidden/>
          </w:rPr>
          <w:tab/>
        </w:r>
        <w:r w:rsidRPr="00FA614C">
          <w:rPr>
            <w:webHidden/>
          </w:rPr>
          <w:fldChar w:fldCharType="begin" w:fldLock="1"/>
        </w:r>
        <w:r w:rsidRPr="00FA614C">
          <w:rPr>
            <w:webHidden/>
          </w:rPr>
          <w:instrText xml:space="preserve"> PAGEREF _Toc245182031 \h </w:instrText>
        </w:r>
        <w:r w:rsidRPr="00FA614C">
          <w:rPr>
            <w:webHidden/>
          </w:rPr>
          <w:fldChar w:fldCharType="separate"/>
        </w:r>
        <w:r w:rsidRPr="00FA614C">
          <w:rPr>
            <w:webHidden/>
          </w:rPr>
          <w:t>22</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32" w:history="1">
        <w:r w:rsidRPr="00FA614C">
          <w:rPr>
            <w:rStyle w:val="Hyperlnk"/>
          </w:rPr>
          <w:t>28. Proposal for transfer of appropriations No. DEC27/2009 within Section III - Commission - of the general budget for 2009 (Global transfer) (NCE)</w:t>
        </w:r>
        <w:r w:rsidRPr="00FA614C">
          <w:rPr>
            <w:webHidden/>
          </w:rPr>
          <w:tab/>
        </w:r>
        <w:r w:rsidRPr="00FA614C">
          <w:rPr>
            <w:webHidden/>
          </w:rPr>
          <w:fldChar w:fldCharType="begin" w:fldLock="1"/>
        </w:r>
        <w:r w:rsidRPr="00FA614C">
          <w:rPr>
            <w:webHidden/>
          </w:rPr>
          <w:instrText xml:space="preserve"> PAGEREF _Toc245182032 \h </w:instrText>
        </w:r>
        <w:r w:rsidRPr="00FA614C">
          <w:rPr>
            <w:webHidden/>
          </w:rPr>
          <w:fldChar w:fldCharType="separate"/>
        </w:r>
        <w:r w:rsidRPr="00FA614C">
          <w:rPr>
            <w:webHidden/>
          </w:rPr>
          <w:t>23</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33" w:history="1">
        <w:r w:rsidRPr="00FA614C">
          <w:rPr>
            <w:rStyle w:val="Hyperlnk"/>
          </w:rPr>
          <w:t>29. Proposal for transfer of appropriations No. DEC37/2009 within Section III - Commission - of the general budget for 2009 (NCE)</w:t>
        </w:r>
        <w:r w:rsidRPr="00FA614C">
          <w:rPr>
            <w:webHidden/>
          </w:rPr>
          <w:tab/>
        </w:r>
        <w:r w:rsidRPr="00FA614C">
          <w:rPr>
            <w:webHidden/>
          </w:rPr>
          <w:fldChar w:fldCharType="begin" w:fldLock="1"/>
        </w:r>
        <w:r w:rsidRPr="00FA614C">
          <w:rPr>
            <w:webHidden/>
          </w:rPr>
          <w:instrText xml:space="preserve"> PAGEREF _Toc245182033 \h </w:instrText>
        </w:r>
        <w:r w:rsidRPr="00FA614C">
          <w:rPr>
            <w:webHidden/>
          </w:rPr>
          <w:fldChar w:fldCharType="separate"/>
        </w:r>
        <w:r w:rsidRPr="00FA614C">
          <w:rPr>
            <w:webHidden/>
          </w:rPr>
          <w:t>23</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34" w:history="1">
        <w:r w:rsidRPr="00FA614C">
          <w:rPr>
            <w:rStyle w:val="Hyperlnk"/>
          </w:rPr>
          <w:t>30. Proposal for transfer of appropriations No.DEC43/2009 within Section III - Commission - of the general budget for 2009 (NCE)</w:t>
        </w:r>
        <w:r w:rsidRPr="00FA614C">
          <w:rPr>
            <w:webHidden/>
          </w:rPr>
          <w:tab/>
        </w:r>
        <w:r w:rsidRPr="00FA614C">
          <w:rPr>
            <w:webHidden/>
          </w:rPr>
          <w:fldChar w:fldCharType="begin" w:fldLock="1"/>
        </w:r>
        <w:r w:rsidRPr="00FA614C">
          <w:rPr>
            <w:webHidden/>
          </w:rPr>
          <w:instrText xml:space="preserve"> PAGEREF _Toc245182034 \h </w:instrText>
        </w:r>
        <w:r w:rsidRPr="00FA614C">
          <w:rPr>
            <w:webHidden/>
          </w:rPr>
          <w:fldChar w:fldCharType="separate"/>
        </w:r>
        <w:r w:rsidRPr="00FA614C">
          <w:rPr>
            <w:webHidden/>
          </w:rPr>
          <w:t>23</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35" w:history="1">
        <w:r w:rsidRPr="00FA614C">
          <w:rPr>
            <w:rStyle w:val="Hyperlnk"/>
          </w:rPr>
          <w:t>31. Proposal for transfer of appropriations No. DEC45/2009 within Section III - Commission - of the general budget for 2009 (NCE)</w:t>
        </w:r>
        <w:r w:rsidRPr="00FA614C">
          <w:rPr>
            <w:webHidden/>
          </w:rPr>
          <w:tab/>
        </w:r>
        <w:r w:rsidRPr="00FA614C">
          <w:rPr>
            <w:webHidden/>
          </w:rPr>
          <w:fldChar w:fldCharType="begin" w:fldLock="1"/>
        </w:r>
        <w:r w:rsidRPr="00FA614C">
          <w:rPr>
            <w:webHidden/>
          </w:rPr>
          <w:instrText xml:space="preserve"> PAGEREF _Toc245182035 \h </w:instrText>
        </w:r>
        <w:r w:rsidRPr="00FA614C">
          <w:rPr>
            <w:webHidden/>
          </w:rPr>
          <w:fldChar w:fldCharType="separate"/>
        </w:r>
        <w:r w:rsidRPr="00FA614C">
          <w:rPr>
            <w:webHidden/>
          </w:rPr>
          <w:t>24</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36" w:history="1">
        <w:r w:rsidRPr="00FA614C">
          <w:rPr>
            <w:rStyle w:val="Hyperlnk"/>
          </w:rPr>
          <w:t>32. Proposal for transfer of appropriations No. DEC51/2009 within Section III - Commission - of the general budget for 2009 (NCE)</w:t>
        </w:r>
        <w:r w:rsidRPr="00FA614C">
          <w:rPr>
            <w:webHidden/>
          </w:rPr>
          <w:tab/>
        </w:r>
        <w:r w:rsidRPr="00FA614C">
          <w:rPr>
            <w:webHidden/>
          </w:rPr>
          <w:fldChar w:fldCharType="begin" w:fldLock="1"/>
        </w:r>
        <w:r w:rsidRPr="00FA614C">
          <w:rPr>
            <w:webHidden/>
          </w:rPr>
          <w:instrText xml:space="preserve"> PAGEREF _Toc245182036 \h </w:instrText>
        </w:r>
        <w:r w:rsidRPr="00FA614C">
          <w:rPr>
            <w:webHidden/>
          </w:rPr>
          <w:fldChar w:fldCharType="separate"/>
        </w:r>
        <w:r w:rsidRPr="00FA614C">
          <w:rPr>
            <w:webHidden/>
          </w:rPr>
          <w:t>24</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37" w:history="1">
        <w:r w:rsidRPr="00FA614C">
          <w:rPr>
            <w:rStyle w:val="Hyperlnk"/>
          </w:rPr>
          <w:t>33. Case before the Court of First Instance of the European Communities- Case T-359/09 (Ivan Jurasinovic against Council of the European Union)</w:t>
        </w:r>
        <w:r w:rsidRPr="00FA614C">
          <w:rPr>
            <w:webHidden/>
          </w:rPr>
          <w:tab/>
        </w:r>
        <w:r w:rsidRPr="00FA614C">
          <w:rPr>
            <w:webHidden/>
          </w:rPr>
          <w:fldChar w:fldCharType="begin" w:fldLock="1"/>
        </w:r>
        <w:r w:rsidRPr="00FA614C">
          <w:rPr>
            <w:webHidden/>
          </w:rPr>
          <w:instrText xml:space="preserve"> PAGEREF _Toc245182037 \h </w:instrText>
        </w:r>
        <w:r w:rsidRPr="00FA614C">
          <w:rPr>
            <w:webHidden/>
          </w:rPr>
          <w:fldChar w:fldCharType="separate"/>
        </w:r>
        <w:r w:rsidRPr="00FA614C">
          <w:rPr>
            <w:webHidden/>
          </w:rPr>
          <w:t>25</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38" w:history="1">
        <w:r w:rsidRPr="00FA614C">
          <w:rPr>
            <w:rStyle w:val="Hyperlnk"/>
          </w:rPr>
          <w:t>34. Draft Decision of the EEA Joint Committee amending Protocol 31 to the EEA Agreement, on cooperation in specific fields outside the four freedoms- Community position</w:t>
        </w:r>
        <w:r w:rsidRPr="00FA614C">
          <w:rPr>
            <w:webHidden/>
          </w:rPr>
          <w:tab/>
        </w:r>
        <w:r w:rsidRPr="00FA614C">
          <w:rPr>
            <w:webHidden/>
          </w:rPr>
          <w:fldChar w:fldCharType="begin" w:fldLock="1"/>
        </w:r>
        <w:r w:rsidRPr="00FA614C">
          <w:rPr>
            <w:webHidden/>
          </w:rPr>
          <w:instrText xml:space="preserve"> PAGEREF _Toc245182038 \h </w:instrText>
        </w:r>
        <w:r w:rsidRPr="00FA614C">
          <w:rPr>
            <w:webHidden/>
          </w:rPr>
          <w:fldChar w:fldCharType="separate"/>
        </w:r>
        <w:r w:rsidRPr="00FA614C">
          <w:rPr>
            <w:webHidden/>
          </w:rPr>
          <w:t>25</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39" w:history="1">
        <w:r w:rsidRPr="00FA614C">
          <w:rPr>
            <w:rStyle w:val="Hyperlnk"/>
          </w:rPr>
          <w:t>35. European Economic Area- Establishment of the European Union's common position for the 32nd meeting of the EEA Council</w:t>
        </w:r>
        <w:r w:rsidRPr="00FA614C">
          <w:rPr>
            <w:webHidden/>
          </w:rPr>
          <w:tab/>
        </w:r>
        <w:r w:rsidRPr="00FA614C">
          <w:rPr>
            <w:webHidden/>
          </w:rPr>
          <w:fldChar w:fldCharType="begin" w:fldLock="1"/>
        </w:r>
        <w:r w:rsidRPr="00FA614C">
          <w:rPr>
            <w:webHidden/>
          </w:rPr>
          <w:instrText xml:space="preserve"> PAGEREF _Toc245182039 \h </w:instrText>
        </w:r>
        <w:r w:rsidRPr="00FA614C">
          <w:rPr>
            <w:webHidden/>
          </w:rPr>
          <w:fldChar w:fldCharType="separate"/>
        </w:r>
        <w:r w:rsidRPr="00FA614C">
          <w:rPr>
            <w:webHidden/>
          </w:rPr>
          <w:t>26</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40" w:history="1">
        <w:r w:rsidRPr="00FA614C">
          <w:rPr>
            <w:rStyle w:val="Hyperlnk"/>
          </w:rPr>
          <w:t>36. Proposal for a Council Decision on the conclusion of an Agreement in the form of a Protocol establishing a dispute settlement mechanism applicable to disputes under the trade provisions of the Euro-Mediterranean Agreement establishing an association between the European Community and its Member States, of the one part, and the Republic of Lebanon, of the other part</w:t>
        </w:r>
        <w:r w:rsidRPr="00FA614C">
          <w:rPr>
            <w:webHidden/>
          </w:rPr>
          <w:tab/>
        </w:r>
        <w:r w:rsidRPr="00FA614C">
          <w:rPr>
            <w:webHidden/>
          </w:rPr>
          <w:fldChar w:fldCharType="begin" w:fldLock="1"/>
        </w:r>
        <w:r w:rsidRPr="00FA614C">
          <w:rPr>
            <w:webHidden/>
          </w:rPr>
          <w:instrText xml:space="preserve"> PAGEREF _Toc245182040 \h </w:instrText>
        </w:r>
        <w:r w:rsidRPr="00FA614C">
          <w:rPr>
            <w:webHidden/>
          </w:rPr>
          <w:fldChar w:fldCharType="separate"/>
        </w:r>
        <w:r w:rsidRPr="00FA614C">
          <w:rPr>
            <w:webHidden/>
          </w:rPr>
          <w:t>26</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41" w:history="1">
        <w:r w:rsidRPr="00FA614C">
          <w:rPr>
            <w:rStyle w:val="Hyperlnk"/>
          </w:rPr>
          <w:t>37. Proposal for a Council Decision on the conclusion of an Agreement in the form of a Protocol establishing a dispute settlement mechanism applicable to disputes under the trade provisions of the Euro-Mediterranean Agreement establishing an association between the European Communities and their member States, of the one part, and the Republic of Tunisia, of the other part</w:t>
        </w:r>
        <w:r w:rsidRPr="00FA614C">
          <w:rPr>
            <w:webHidden/>
          </w:rPr>
          <w:tab/>
        </w:r>
        <w:r w:rsidRPr="00FA614C">
          <w:rPr>
            <w:webHidden/>
          </w:rPr>
          <w:fldChar w:fldCharType="begin" w:fldLock="1"/>
        </w:r>
        <w:r w:rsidRPr="00FA614C">
          <w:rPr>
            <w:webHidden/>
          </w:rPr>
          <w:instrText xml:space="preserve"> PAGEREF _Toc245182041 \h </w:instrText>
        </w:r>
        <w:r w:rsidRPr="00FA614C">
          <w:rPr>
            <w:webHidden/>
          </w:rPr>
          <w:fldChar w:fldCharType="separate"/>
        </w:r>
        <w:r w:rsidRPr="00FA614C">
          <w:rPr>
            <w:webHidden/>
          </w:rPr>
          <w:t>27</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42" w:history="1">
        <w:r w:rsidRPr="00FA614C">
          <w:rPr>
            <w:rStyle w:val="Hyperlnk"/>
          </w:rPr>
          <w:t>38. Draft Council conclusions on Policy Coherence for Development (PCD)- Adoption</w:t>
        </w:r>
        <w:r w:rsidRPr="00FA614C">
          <w:rPr>
            <w:webHidden/>
          </w:rPr>
          <w:tab/>
        </w:r>
        <w:r w:rsidRPr="00FA614C">
          <w:rPr>
            <w:webHidden/>
          </w:rPr>
          <w:fldChar w:fldCharType="begin" w:fldLock="1"/>
        </w:r>
        <w:r w:rsidRPr="00FA614C">
          <w:rPr>
            <w:webHidden/>
          </w:rPr>
          <w:instrText xml:space="preserve"> PAGEREF _Toc245182042 \h </w:instrText>
        </w:r>
        <w:r w:rsidRPr="00FA614C">
          <w:rPr>
            <w:webHidden/>
          </w:rPr>
          <w:fldChar w:fldCharType="separate"/>
        </w:r>
        <w:r w:rsidRPr="00FA614C">
          <w:rPr>
            <w:webHidden/>
          </w:rPr>
          <w:t>27</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43" w:history="1">
        <w:r w:rsidRPr="00FA614C">
          <w:rPr>
            <w:rStyle w:val="Hyperlnk"/>
          </w:rPr>
          <w:t>39. CTA - Draft Decision of the ACP-EC Committee of Ambassadors adopting the programme of activities and budget of the Technical Centre for Agricultural and Rural Cooperation (CTA) for 2010</w:t>
        </w:r>
        <w:r w:rsidRPr="00FA614C">
          <w:rPr>
            <w:webHidden/>
          </w:rPr>
          <w:tab/>
        </w:r>
        <w:r w:rsidRPr="00FA614C">
          <w:rPr>
            <w:webHidden/>
          </w:rPr>
          <w:fldChar w:fldCharType="begin" w:fldLock="1"/>
        </w:r>
        <w:r w:rsidRPr="00FA614C">
          <w:rPr>
            <w:webHidden/>
          </w:rPr>
          <w:instrText xml:space="preserve"> PAGEREF _Toc245182043 \h </w:instrText>
        </w:r>
        <w:r w:rsidRPr="00FA614C">
          <w:rPr>
            <w:webHidden/>
          </w:rPr>
          <w:fldChar w:fldCharType="separate"/>
        </w:r>
        <w:r w:rsidRPr="00FA614C">
          <w:rPr>
            <w:webHidden/>
          </w:rPr>
          <w:t>28</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44" w:history="1">
        <w:r w:rsidRPr="00FA614C">
          <w:rPr>
            <w:rStyle w:val="Hyperlnk"/>
          </w:rPr>
          <w:t>40. Proposal for a Directive of the European Parliament and of the Council on the taking-up and pursuit of the business of Insurance and Reinsurance - SOLVENCY II (first reading) (LA)- Adoption of legislative act</w:t>
        </w:r>
        <w:r w:rsidRPr="00FA614C">
          <w:rPr>
            <w:webHidden/>
          </w:rPr>
          <w:tab/>
        </w:r>
        <w:r w:rsidRPr="00FA614C">
          <w:rPr>
            <w:webHidden/>
          </w:rPr>
          <w:fldChar w:fldCharType="begin" w:fldLock="1"/>
        </w:r>
        <w:r w:rsidRPr="00FA614C">
          <w:rPr>
            <w:webHidden/>
          </w:rPr>
          <w:instrText xml:space="preserve"> PAGEREF _Toc245182044 \h </w:instrText>
        </w:r>
        <w:r w:rsidRPr="00FA614C">
          <w:rPr>
            <w:webHidden/>
          </w:rPr>
          <w:fldChar w:fldCharType="separate"/>
        </w:r>
        <w:r w:rsidRPr="00FA614C">
          <w:rPr>
            <w:webHidden/>
          </w:rPr>
          <w:t>28</w:t>
        </w:r>
        <w:r w:rsidRPr="00FA614C">
          <w:rPr>
            <w:webHidden/>
          </w:rPr>
          <w:fldChar w:fldCharType="end"/>
        </w:r>
      </w:hyperlink>
    </w:p>
    <w:p w:rsidR="00E1673B" w:rsidRPr="00FA614C" w:rsidRDefault="00E1673B">
      <w:pPr>
        <w:pStyle w:val="Innehll1"/>
        <w:tabs>
          <w:tab w:val="right" w:leader="dot" w:pos="7644"/>
        </w:tabs>
        <w:rPr>
          <w:rFonts w:ascii="Times New Roman" w:hAnsi="Times New Roman"/>
          <w:b w:val="0"/>
          <w:bCs w:val="0"/>
          <w:caps w:val="0"/>
          <w:szCs w:val="24"/>
          <w:lang w:eastAsia="sv-SE"/>
        </w:rPr>
      </w:pPr>
      <w:hyperlink w:anchor="_Toc245182045" w:history="1">
        <w:r w:rsidRPr="00FA614C">
          <w:rPr>
            <w:rStyle w:val="Hyperlnk"/>
          </w:rPr>
          <w:t>Färdigförhandlad II-punkter från möte i Coreper II 2009-11-04 som kan tas som A-punkt vid kommande rådsmöte</w:t>
        </w:r>
        <w:r w:rsidRPr="00FA614C">
          <w:rPr>
            <w:webHidden/>
          </w:rPr>
          <w:tab/>
        </w:r>
        <w:r w:rsidRPr="00FA614C">
          <w:rPr>
            <w:webHidden/>
          </w:rPr>
          <w:fldChar w:fldCharType="begin" w:fldLock="1"/>
        </w:r>
        <w:r w:rsidRPr="00FA614C">
          <w:rPr>
            <w:webHidden/>
          </w:rPr>
          <w:instrText xml:space="preserve"> PAGEREF _Toc245182045 \h </w:instrText>
        </w:r>
        <w:r w:rsidRPr="00FA614C">
          <w:rPr>
            <w:webHidden/>
          </w:rPr>
          <w:fldChar w:fldCharType="separate"/>
        </w:r>
        <w:r w:rsidRPr="00FA614C">
          <w:rPr>
            <w:webHidden/>
          </w:rPr>
          <w:t>30</w:t>
        </w:r>
        <w:r w:rsidRPr="00FA614C">
          <w:rPr>
            <w:webHidden/>
          </w:rPr>
          <w:fldChar w:fldCharType="end"/>
        </w:r>
      </w:hyperlink>
    </w:p>
    <w:p w:rsidR="00E1673B" w:rsidRPr="00FA614C" w:rsidRDefault="00E1673B">
      <w:pPr>
        <w:pStyle w:val="Innehll2"/>
        <w:tabs>
          <w:tab w:val="right" w:leader="dot" w:pos="7644"/>
        </w:tabs>
        <w:rPr>
          <w:b w:val="0"/>
          <w:bCs w:val="0"/>
          <w:lang w:eastAsia="sv-SE"/>
        </w:rPr>
      </w:pPr>
      <w:hyperlink w:anchor="_Toc245182046" w:history="1">
        <w:r w:rsidRPr="00FA614C">
          <w:rPr>
            <w:rStyle w:val="Hyperlnk"/>
          </w:rPr>
          <w:t>41. ITER - Draft Council conclusions on the next steps in the ITER project</w:t>
        </w:r>
        <w:r w:rsidRPr="00FA614C">
          <w:rPr>
            <w:webHidden/>
          </w:rPr>
          <w:tab/>
        </w:r>
        <w:r w:rsidRPr="00FA614C">
          <w:rPr>
            <w:webHidden/>
          </w:rPr>
          <w:fldChar w:fldCharType="begin" w:fldLock="1"/>
        </w:r>
        <w:r w:rsidRPr="00FA614C">
          <w:rPr>
            <w:webHidden/>
          </w:rPr>
          <w:instrText xml:space="preserve"> PAGEREF _Toc245182046 \h </w:instrText>
        </w:r>
        <w:r w:rsidRPr="00FA614C">
          <w:rPr>
            <w:webHidden/>
          </w:rPr>
          <w:fldChar w:fldCharType="separate"/>
        </w:r>
        <w:r w:rsidRPr="00FA614C">
          <w:rPr>
            <w:webHidden/>
          </w:rPr>
          <w:t>30</w:t>
        </w:r>
        <w:r w:rsidRPr="00FA614C">
          <w:rPr>
            <w:webHidden/>
          </w:rPr>
          <w:fldChar w:fldCharType="end"/>
        </w:r>
      </w:hyperlink>
    </w:p>
    <w:p w:rsidR="005F1820" w:rsidRPr="00FA614C" w:rsidRDefault="005F1820">
      <w:pPr>
        <w:pStyle w:val="RKnormal"/>
        <w:ind w:left="0"/>
        <w:rPr>
          <w:b/>
          <w:bCs/>
        </w:rPr>
      </w:pPr>
      <w:r w:rsidRPr="00FA614C">
        <w:rPr>
          <w:b/>
          <w:bCs/>
        </w:rPr>
        <w:fldChar w:fldCharType="end"/>
      </w:r>
    </w:p>
    <w:p w:rsidR="005F1820" w:rsidRPr="00FA614C" w:rsidRDefault="005F1820">
      <w:pPr>
        <w:pStyle w:val="Rubrik1"/>
        <w:tabs>
          <w:tab w:val="clear" w:pos="1134"/>
          <w:tab w:val="left" w:pos="0"/>
        </w:tabs>
      </w:pPr>
      <w:r w:rsidRPr="00FA614C">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5182002"/>
      <w:r w:rsidRPr="00FA614C">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FA614C" w:rsidRDefault="005F1820">
      <w:pPr>
        <w:tabs>
          <w:tab w:val="left" w:pos="1843"/>
        </w:tabs>
      </w:pPr>
      <w:r w:rsidRPr="00FA614C">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FA614C" w:rsidRDefault="005F1820">
      <w:pPr>
        <w:pStyle w:val="Rubrik1"/>
        <w:spacing w:before="0" w:after="0"/>
      </w:pPr>
      <w:r w:rsidRPr="00FA614C">
        <w:t xml:space="preserve"> </w:t>
      </w:r>
      <w:bookmarkStart w:id="54" w:name="Punkt"/>
      <w:bookmarkEnd w:id="54"/>
    </w:p>
    <w:p w:rsidR="00C91A77" w:rsidRPr="00FA614C" w:rsidRDefault="00C91A77">
      <w:pPr>
        <w:pStyle w:val="RKnormal"/>
        <w:tabs>
          <w:tab w:val="clear" w:pos="1843"/>
          <w:tab w:val="left" w:pos="0"/>
        </w:tabs>
        <w:ind w:left="0"/>
      </w:pPr>
      <w:r w:rsidRPr="00FA614C">
        <w:t xml:space="preserve"> </w:t>
      </w:r>
    </w:p>
    <w:p w:rsidR="000D4C9B" w:rsidRPr="00FA614C" w:rsidRDefault="000D4C9B" w:rsidP="000D4C9B">
      <w:pPr>
        <w:pStyle w:val="Rubrik1"/>
        <w:tabs>
          <w:tab w:val="clear" w:pos="1134"/>
          <w:tab w:val="left" w:pos="0"/>
        </w:tabs>
      </w:pPr>
      <w:bookmarkStart w:id="55" w:name="_Toc243380174"/>
      <w:bookmarkStart w:id="56" w:name="_Toc245182003"/>
      <w:r w:rsidRPr="00FA614C">
        <w:t xml:space="preserve">Punkter som godkändes vid Coreper I </w:t>
      </w:r>
      <w:bookmarkEnd w:id="55"/>
      <w:r w:rsidRPr="00FA614C">
        <w:t>2009-11-04</w:t>
      </w:r>
      <w:bookmarkEnd w:id="56"/>
    </w:p>
    <w:p w:rsidR="00C91A77" w:rsidRPr="00FA614C" w:rsidRDefault="00C91A77">
      <w:pPr>
        <w:pStyle w:val="RKnormal"/>
        <w:tabs>
          <w:tab w:val="clear" w:pos="1843"/>
          <w:tab w:val="left" w:pos="0"/>
        </w:tabs>
        <w:ind w:left="0"/>
      </w:pPr>
    </w:p>
    <w:p w:rsidR="00C91A77" w:rsidRPr="00FA614C" w:rsidRDefault="000D4C9B" w:rsidP="00C91A77">
      <w:pPr>
        <w:pStyle w:val="Rubrik2"/>
      </w:pPr>
      <w:bookmarkStart w:id="57" w:name="_Toc245182004"/>
      <w:r w:rsidRPr="00FA614C">
        <w:t xml:space="preserve">1. </w:t>
      </w:r>
      <w:r w:rsidR="00C91A77" w:rsidRPr="00FA614C">
        <w:t xml:space="preserve"> Reply to written question put to the Council by Members of the European Parliament (+)(a) n° E-4476/09 put by Martin Ehrenhauser "Galileo - use by armed forces and intelligence services and partnerships with third countries"  (b) n° E-4556/09 put by Charles Tannock "Operation Atalanta"(c) n° E-4587/09 put by John Bufton "Discrimination against people who suffer from lung conditions by airlines in the EU"  (d) n° E-4594/09 put by Izaskun Bilbao Barandica "Incorporation of the Basque police force into the Schengen Protocol"  (e) n° E-4695/09 put by Gianluca Susta "Tax shelter rules in Italy"</w:t>
      </w:r>
      <w:bookmarkEnd w:id="57"/>
    </w:p>
    <w:p w:rsidR="00C91A77" w:rsidRPr="00FA614C" w:rsidRDefault="00C91A77">
      <w:pPr>
        <w:pStyle w:val="RKnormal"/>
        <w:tabs>
          <w:tab w:val="clear" w:pos="1843"/>
          <w:tab w:val="left" w:pos="0"/>
        </w:tabs>
        <w:ind w:left="0"/>
      </w:pPr>
    </w:p>
    <w:p w:rsidR="00C91A77" w:rsidRPr="00FA614C" w:rsidRDefault="00C91A77" w:rsidP="00C91A77">
      <w:r w:rsidRPr="00FA614C">
        <w:t>14377/09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Statsrådsberedningen</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Cecilia Malmström</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Föranleder ingen annotering.</w:t>
      </w:r>
    </w:p>
    <w:p w:rsidR="00C91A77" w:rsidRPr="00FA614C" w:rsidRDefault="00C91A77">
      <w:pPr>
        <w:pStyle w:val="RKnormal"/>
        <w:tabs>
          <w:tab w:val="clear" w:pos="1843"/>
          <w:tab w:val="left" w:pos="0"/>
        </w:tabs>
        <w:ind w:left="0"/>
      </w:pPr>
      <w:r w:rsidRPr="00FA614C">
        <w:t xml:space="preserve"> </w:t>
      </w:r>
    </w:p>
    <w:p w:rsidR="00C91A77" w:rsidRPr="00FA614C" w:rsidRDefault="000D4C9B" w:rsidP="00C91A77">
      <w:pPr>
        <w:pStyle w:val="Rubrik2"/>
      </w:pPr>
      <w:bookmarkStart w:id="58" w:name="_Toc245182005"/>
      <w:r w:rsidRPr="00FA614C">
        <w:t xml:space="preserve">2. </w:t>
      </w:r>
      <w:r w:rsidR="00C91A77" w:rsidRPr="00FA614C">
        <w:t xml:space="preserve"> Draft agenda for the forthcoming part-session of the European Parliament in Brussels from 11 to 12 November 2009</w:t>
      </w:r>
      <w:bookmarkEnd w:id="58"/>
    </w:p>
    <w:p w:rsidR="00C91A77" w:rsidRPr="00FA614C" w:rsidRDefault="00C91A77">
      <w:pPr>
        <w:pStyle w:val="RKnormal"/>
        <w:tabs>
          <w:tab w:val="clear" w:pos="1843"/>
          <w:tab w:val="left" w:pos="0"/>
        </w:tabs>
        <w:ind w:left="0"/>
      </w:pPr>
    </w:p>
    <w:p w:rsidR="00C91A77" w:rsidRPr="00FA614C" w:rsidRDefault="00C91A77" w:rsidP="00C91A77">
      <w:r w:rsidRPr="00FA614C">
        <w:t>15247/09, 15250/09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Statsrådsberedningen</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Cecilia Malmström</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 xml:space="preserve">Föranleder ingen </w:t>
      </w:r>
      <w:r w:rsidR="00681942" w:rsidRPr="00FA614C">
        <w:t>annotering</w:t>
      </w:r>
      <w:r w:rsidRPr="00FA614C">
        <w:t>.</w:t>
      </w:r>
    </w:p>
    <w:p w:rsidR="005C42CC" w:rsidRPr="00FA614C" w:rsidRDefault="005C42CC" w:rsidP="00C91A77"/>
    <w:p w:rsidR="00C91A77" w:rsidRPr="00FA614C" w:rsidRDefault="000D4C9B" w:rsidP="00C91A77">
      <w:pPr>
        <w:pStyle w:val="Rubrik2"/>
      </w:pPr>
      <w:bookmarkStart w:id="59" w:name="_Toc245182006"/>
      <w:r w:rsidRPr="00FA614C">
        <w:t>3.</w:t>
      </w:r>
      <w:r w:rsidR="00C91A77" w:rsidRPr="00FA614C">
        <w:t xml:space="preserve"> Draft Commission Directive ../.../EC of [...] amending, for the purposes of their adaptation to technical progress, Council Directives 80/720/EEC, 86/298/EEC, 86/415/EEC and 87/402/EEC and Directives 2000/25/EC and 2003/37/EC of the European Parliament and of the Council relating to the type-approval of agricultural or forestry tractors - Decision not to oppose adoption</w:t>
      </w:r>
      <w:bookmarkEnd w:id="59"/>
    </w:p>
    <w:p w:rsidR="00C91A77" w:rsidRPr="00FA614C" w:rsidRDefault="00C91A77">
      <w:pPr>
        <w:pStyle w:val="RKnormal"/>
        <w:tabs>
          <w:tab w:val="clear" w:pos="1843"/>
          <w:tab w:val="left" w:pos="0"/>
        </w:tabs>
        <w:ind w:left="0"/>
      </w:pPr>
    </w:p>
    <w:p w:rsidR="00C91A77" w:rsidRPr="00FA614C" w:rsidRDefault="00C91A77" w:rsidP="00C91A77">
      <w:r w:rsidRPr="00FA614C">
        <w:t>13936/09, 15092/09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Näringsdepartementet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Åsa Torstensson</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Förslaget innebär att direktiven 80/720/EEG, 86/298/EEG, 86/415/EEG, 87/402/EEG, 2000/25/EG och 2003/37/EG ändras för att bland annat förtydliga vilka fönster som får anges som nödutgångar, ange säkerhetskrav för utvändiga manöverorgan för kraftuttag i syfte att f</w:t>
      </w:r>
      <w:r w:rsidR="00336C92" w:rsidRPr="00FA614C">
        <w:t xml:space="preserve">örbättra traktorernas säkerhet </w:t>
      </w:r>
      <w:r w:rsidRPr="00FA614C">
        <w:t>ISO-standardiserade bilder ska också få användas som symboler för manöverorgan så att gemenskapens standarder anpassas till de standarder för manöverorgan på jordbruks- och skogsbrukstraktorer med hjul som gäller internationellt.</w:t>
      </w:r>
    </w:p>
    <w:p w:rsidR="00C91A77" w:rsidRPr="00FA614C" w:rsidRDefault="00C91A77" w:rsidP="00C91A77"/>
    <w:p w:rsidR="00C91A77" w:rsidRPr="00FA614C" w:rsidRDefault="00C91A77" w:rsidP="00C91A77">
      <w:r w:rsidRPr="00FA614C">
        <w:t>Vissa ytterligare uppgifter anges som en anpassning till införandet av nya steg av begränsningar genom direktiv 2005/13/EG om utsläpp av gas- och partikelformiga föroreningar från motorer avsedda för jordbruks- eller skogsbrukstraktorer.</w:t>
      </w:r>
    </w:p>
    <w:p w:rsidR="00C91A77" w:rsidRPr="00FA614C" w:rsidRDefault="00C91A77" w:rsidP="00C91A77"/>
    <w:p w:rsidR="00C91A77" w:rsidRPr="00FA614C" w:rsidRDefault="00C91A77" w:rsidP="00C91A77">
      <w:r w:rsidRPr="00FA614C">
        <w:t>Mer exakt ordalydelse införs på vissa punkter i informationsdokumenten för tydlighetens skull och hänvisningarna till relevanta OECD-koder uppdateras.</w:t>
      </w:r>
    </w:p>
    <w:p w:rsidR="00C91A77" w:rsidRPr="00FA614C" w:rsidRDefault="00C91A77">
      <w:pPr>
        <w:pStyle w:val="RKnormal"/>
        <w:tabs>
          <w:tab w:val="clear" w:pos="1843"/>
          <w:tab w:val="left" w:pos="0"/>
        </w:tabs>
        <w:ind w:left="0"/>
      </w:pPr>
      <w:r w:rsidRPr="00FA614C">
        <w:t xml:space="preserve"> </w:t>
      </w:r>
    </w:p>
    <w:p w:rsidR="00C91A77" w:rsidRPr="00FA614C" w:rsidRDefault="000D4C9B" w:rsidP="00C91A77">
      <w:pPr>
        <w:pStyle w:val="Rubrik2"/>
      </w:pPr>
      <w:bookmarkStart w:id="60" w:name="_Toc245182007"/>
      <w:r w:rsidRPr="00FA614C">
        <w:t>4.</w:t>
      </w:r>
      <w:r w:rsidR="00C91A77" w:rsidRPr="00FA614C">
        <w:t xml:space="preserve"> Recommendation from the Commission to the Council to authorise the Commission to open negotiations on an agreement on scientific and technological cooperation between the European Community and the People's Democratic Republic of Algeria- Adoption</w:t>
      </w:r>
      <w:bookmarkEnd w:id="60"/>
    </w:p>
    <w:p w:rsidR="00C91A77" w:rsidRPr="00FA614C" w:rsidRDefault="00C91A77">
      <w:pPr>
        <w:pStyle w:val="RKnormal"/>
        <w:tabs>
          <w:tab w:val="clear" w:pos="1843"/>
          <w:tab w:val="left" w:pos="0"/>
        </w:tabs>
        <w:ind w:left="0"/>
      </w:pPr>
    </w:p>
    <w:p w:rsidR="00C91A77" w:rsidRPr="00FA614C" w:rsidRDefault="00C91A77" w:rsidP="00C91A77">
      <w:r w:rsidRPr="00FA614C">
        <w:t>14727/09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Utbildningsdepartementet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Tobias Krantz</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Beslutet gäller en rekommendation från kommissionen till rådet att ge kommissionen mandat att inleda förhandlingar med Algeriet om ett avtal inom forskning och teknik. Rekommendationen bygger på fördragets artiklar 170 och 300.</w:t>
      </w:r>
    </w:p>
    <w:p w:rsidR="00C91A77" w:rsidRPr="00FA614C" w:rsidRDefault="00C91A77">
      <w:pPr>
        <w:pStyle w:val="RKnormal"/>
        <w:tabs>
          <w:tab w:val="clear" w:pos="1843"/>
          <w:tab w:val="left" w:pos="0"/>
        </w:tabs>
        <w:ind w:left="0"/>
      </w:pPr>
      <w:r w:rsidRPr="00FA614C">
        <w:t xml:space="preserve"> </w:t>
      </w:r>
    </w:p>
    <w:p w:rsidR="00C91A77" w:rsidRPr="00FA614C" w:rsidRDefault="000D4C9B" w:rsidP="00C91A77">
      <w:pPr>
        <w:pStyle w:val="Rubrik2"/>
      </w:pPr>
      <w:bookmarkStart w:id="61" w:name="_Toc245182008"/>
      <w:r w:rsidRPr="00FA614C">
        <w:t>5.</w:t>
      </w:r>
      <w:r w:rsidR="00C91A77" w:rsidRPr="00FA614C">
        <w:t xml:space="preserve"> Proposal for a Council Decision on the conclusion, by the Commission, of the Agreement for co-operation between the European Atomic Energy Community and the Government of the Federative Republic of Brazil in the field of fusion energy research- Adoption</w:t>
      </w:r>
      <w:bookmarkEnd w:id="61"/>
    </w:p>
    <w:p w:rsidR="00C91A77" w:rsidRPr="00FA614C" w:rsidRDefault="00C91A77">
      <w:pPr>
        <w:pStyle w:val="RKnormal"/>
        <w:tabs>
          <w:tab w:val="clear" w:pos="1843"/>
          <w:tab w:val="left" w:pos="0"/>
        </w:tabs>
        <w:ind w:left="0"/>
      </w:pPr>
    </w:p>
    <w:p w:rsidR="00C91A77" w:rsidRPr="00FA614C" w:rsidRDefault="00C91A77" w:rsidP="00C91A77">
      <w:r w:rsidRPr="00FA614C">
        <w:t>15084/09, 14268/09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Utbildningsdepartementet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Tobias Krantz</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 xml:space="preserve">Den 16 september 2009 överlämnade kommissionen sitt förslag till rådet gällande ett avtal mellan Europeiska atomenergigemenskapen och Brasilien avseende forskning inom området fusionsenergi. Avtalet har förhandlats fram med utgångspunkt i de direktiv som rådet beslutade om den 22 juli 2008. </w:t>
      </w:r>
    </w:p>
    <w:p w:rsidR="00C91A77" w:rsidRPr="00FA614C" w:rsidRDefault="00C91A77" w:rsidP="00C91A77"/>
    <w:p w:rsidR="00C91A77" w:rsidRPr="00FA614C" w:rsidRDefault="00C91A77" w:rsidP="00C91A77"/>
    <w:p w:rsidR="00C91A77" w:rsidRPr="00FA614C" w:rsidRDefault="00C91A77">
      <w:pPr>
        <w:pStyle w:val="RKnormal"/>
        <w:tabs>
          <w:tab w:val="clear" w:pos="1843"/>
          <w:tab w:val="left" w:pos="0"/>
        </w:tabs>
        <w:ind w:left="0"/>
      </w:pPr>
      <w:r w:rsidRPr="00FA614C">
        <w:t xml:space="preserve"> </w:t>
      </w:r>
    </w:p>
    <w:p w:rsidR="00C91A77" w:rsidRPr="00FA614C" w:rsidRDefault="000D4C9B" w:rsidP="00C91A77">
      <w:pPr>
        <w:pStyle w:val="Rubrik2"/>
      </w:pPr>
      <w:bookmarkStart w:id="62" w:name="_Toc245182009"/>
      <w:r w:rsidRPr="00FA614C">
        <w:t xml:space="preserve">6. </w:t>
      </w:r>
      <w:r w:rsidR="00C91A77" w:rsidRPr="00FA614C">
        <w:t>Proposal for a Directive of the European Parliament and of the Council on statutory markings for two- or three-wheel motor vehicles (codified version) (LA) (First reading)- Adoption of legislative act</w:t>
      </w:r>
      <w:bookmarkEnd w:id="62"/>
    </w:p>
    <w:p w:rsidR="00C91A77" w:rsidRPr="00FA614C" w:rsidRDefault="00C91A77">
      <w:pPr>
        <w:pStyle w:val="RKnormal"/>
        <w:tabs>
          <w:tab w:val="clear" w:pos="1843"/>
          <w:tab w:val="left" w:pos="0"/>
        </w:tabs>
        <w:ind w:left="0"/>
      </w:pPr>
    </w:p>
    <w:p w:rsidR="00C91A77" w:rsidRPr="00FA614C" w:rsidRDefault="00C91A77" w:rsidP="00C91A77">
      <w:r w:rsidRPr="00FA614C">
        <w:t>3635/09, 11220/09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Näringsdepartementet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Åsa Torstensson</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Då rådets direktiv 93/34/EEG av den 14 juni 1993 om föreskrivna märkningar på två- och trehjuliga motorfordon ändrats flera gånger på väsentliga punkter, har det för att skapa klarhet och överskådlighet kodifierats. Direktivet är ett av särdirektiven i det system för EG-typgodkännande som föreskrivs i rådets direktiv 92/61/EEG av den 30 juni 1992 om typgodkännande av två eller trehjuliga motorfordon, ersatt av Europaparlamentets och rådets direktiv 2002/24/EG av den 18 mars 2002 om typgodkännande av två- och trehjuliga motorfordon. Det fastställer tekniska föreskrifter om utformning och konstruktion av två  och trehjuliga motorfordon vad gäller föreskrivna märkningar. Vad gäller föreskrivna märkningar på två- och trehjuliga motorfordon kan medlemsstater på icke-diskriminerande grund behålla särskilda föreskrifter under förutsättning att sådana särskilda krav avser användningen av dessa fordon och inte innebär några ändringar i deras konstruktion som kan förorsaka hinder för gemenskapstypgodkännande av denna fordonstyp.</w:t>
      </w:r>
    </w:p>
    <w:p w:rsidR="00C91A77" w:rsidRPr="00FA614C" w:rsidRDefault="00C91A77">
      <w:pPr>
        <w:pStyle w:val="RKnormal"/>
        <w:tabs>
          <w:tab w:val="clear" w:pos="1843"/>
          <w:tab w:val="left" w:pos="0"/>
        </w:tabs>
        <w:ind w:left="0"/>
      </w:pPr>
      <w:r w:rsidRPr="00FA614C">
        <w:t xml:space="preserve"> </w:t>
      </w:r>
    </w:p>
    <w:p w:rsidR="000D4C9B" w:rsidRPr="00FA614C" w:rsidRDefault="000D4C9B" w:rsidP="000D4C9B">
      <w:pPr>
        <w:pStyle w:val="Rubrik1"/>
        <w:tabs>
          <w:tab w:val="clear" w:pos="1134"/>
          <w:tab w:val="left" w:pos="0"/>
        </w:tabs>
      </w:pPr>
      <w:r w:rsidRPr="00FA614C">
        <w:br w:type="page"/>
      </w:r>
      <w:bookmarkStart w:id="63" w:name="_Toc245182010"/>
      <w:r w:rsidRPr="00FA614C">
        <w:t>Punkter som godkändes vid Coreper II 2009-11-04</w:t>
      </w:r>
      <w:bookmarkEnd w:id="63"/>
    </w:p>
    <w:p w:rsidR="000D4C9B" w:rsidRPr="00FA614C" w:rsidRDefault="000D4C9B" w:rsidP="000D4C9B">
      <w:pPr>
        <w:pStyle w:val="RKnormal"/>
      </w:pPr>
    </w:p>
    <w:p w:rsidR="00C91A77" w:rsidRPr="00FA614C" w:rsidRDefault="00C91A77" w:rsidP="00C91A77">
      <w:pPr>
        <w:pStyle w:val="Rubrik2"/>
      </w:pPr>
      <w:bookmarkStart w:id="64" w:name="_Toc245182011"/>
      <w:r w:rsidRPr="00FA614C">
        <w:t>7. Integrated Maritime Policy- Draft Council conclusions</w:t>
      </w:r>
      <w:bookmarkEnd w:id="64"/>
    </w:p>
    <w:p w:rsidR="00C91A77" w:rsidRPr="00FA614C" w:rsidRDefault="00C91A77">
      <w:pPr>
        <w:pStyle w:val="RKnormal"/>
        <w:tabs>
          <w:tab w:val="clear" w:pos="1843"/>
          <w:tab w:val="left" w:pos="0"/>
        </w:tabs>
        <w:ind w:left="0"/>
      </w:pPr>
    </w:p>
    <w:p w:rsidR="00C91A77" w:rsidRPr="00FA614C" w:rsidRDefault="00C91A77" w:rsidP="00C91A77">
      <w:r w:rsidRPr="00FA614C">
        <w:t>15187/09, 15175/09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Näringsdepartementet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Åsa Torstensson</w:t>
      </w:r>
    </w:p>
    <w:p w:rsidR="00C91A77" w:rsidRPr="00FA614C" w:rsidRDefault="00C91A77">
      <w:pPr>
        <w:pStyle w:val="RKnormal"/>
        <w:tabs>
          <w:tab w:val="clear" w:pos="1843"/>
          <w:tab w:val="left" w:pos="0"/>
        </w:tabs>
        <w:ind w:left="0"/>
      </w:pPr>
    </w:p>
    <w:p w:rsidR="00C91A77" w:rsidRPr="00FA614C" w:rsidRDefault="00C91A77" w:rsidP="00C91A77">
      <w:r w:rsidRPr="00FA614C">
        <w:t>Tidigare behandling vid rådsmöte: Allmänna frågor och yttre förbindelser</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 xml:space="preserve">EU:s havspolitik, presenterad i den så kallade ”Blåboken”, bygger på ansatsen att olika politikområden som påverkar EU:s havsområden hittills har utvecklats oberoende av varandra, utan hänsyn till hur helheten påverkas. Dagens fragmentering har lett till att olika politiska mål har kolliderat med varandra, att synergier mellan olika områden inte kunnat utnyttjas samt att bristande koordinering mellan olika områden fått negativa konsekvenser för havsmiljön eller havsrelaterade aktiviteter. Behovet av en samordnad havspolitik har påkallats. </w:t>
      </w:r>
    </w:p>
    <w:p w:rsidR="00C91A77" w:rsidRPr="00FA614C" w:rsidRDefault="00C91A77" w:rsidP="00C91A77"/>
    <w:p w:rsidR="00C91A77" w:rsidRPr="00FA614C" w:rsidRDefault="00C91A77" w:rsidP="00C91A77">
      <w:r w:rsidRPr="00FA614C">
        <w:t>Den gemensamma havspolitiken spänner över alla politikområden som har</w:t>
      </w:r>
      <w:r w:rsidR="0019653A" w:rsidRPr="00FA614C">
        <w:t xml:space="preserve"> bäring på haven som resurs. Kommissionen (KOM)</w:t>
      </w:r>
      <w:r w:rsidRPr="00FA614C">
        <w:t xml:space="preserve"> lade under hösten 2007 fram en åtgärdsplan (med tidshorisonten fram till och med 2009) som syftar till att skapa länkar mellan olika politikområden. Avsikten är att i ett första steg utforma verktyg för att planera resursanvändning, inhämta samt bearbeta data och skapa övervakningssystem. Syftet är att med stöd av dessa verktyg utforma en gemensam havspolitik genom samverkan </w:t>
      </w:r>
      <w:r w:rsidR="0019653A" w:rsidRPr="00FA614C">
        <w:t>mellan medlemsstaterna. Medlemsstaterna</w:t>
      </w:r>
      <w:r w:rsidRPr="00FA614C">
        <w:t xml:space="preserve"> har uppmanats att utveckla egna nationella integrerade havspolitik (jfr den svenska ”havsproppen”). Åtgärdsplanen är indelad i ett antal projekt som har eller kommer att mynna ut i förslag från KOM. Utöver de sektorsåtgärder som återfinns inom ramen för den maritima politiken återfinns fyra övergripande områden inom vilka KOM har varit aktiv; ”governance”, fysisk planering, data och information (om havet) och sjöövervakning (surveilance).</w:t>
      </w:r>
    </w:p>
    <w:p w:rsidR="00C91A77" w:rsidRPr="00FA614C" w:rsidRDefault="00C91A77" w:rsidP="00C91A77"/>
    <w:p w:rsidR="00C91A77" w:rsidRPr="00FA614C" w:rsidRDefault="00C91A77" w:rsidP="00C91A77">
      <w:r w:rsidRPr="00FA614C">
        <w:t>Kommissionen skall - i enlighet med Europeiska rådets slutsatser den 14 december 2007 - till rådet i december redovisa vilka framsteg som gjorts sedan Blåbokens antagande. Den 15 oktober 2009 presenterade KOM sin framstegsrapport (”progress report”). I meddelandet beskriver KOM vad som hittills uppnåtts, men blickar också framåt och presenterar tankar vad man anser bör göras under den kommande femårsperioden. Mot bakgrund av denna framstegsrapport har rå</w:t>
      </w:r>
      <w:r w:rsidR="00681942" w:rsidRPr="00FA614C">
        <w:t>dsslutsatser arbetats</w:t>
      </w:r>
      <w:r w:rsidRPr="00FA614C">
        <w:t xml:space="preserve"> fram. </w:t>
      </w:r>
      <w:r w:rsidR="00681942" w:rsidRPr="00FA614C">
        <w:t xml:space="preserve">Av slutsatserna framgår bland annat att ett fortsatt arbete kring en gemensam integrerad maritim politik välkomnas, att utveckling av regionala strategier uppmuntras, att KOM inbjuds att lägga fram förslag under 2010 med bl.a. ett förnyat fokus på hållbar ekonomisk tillväxt, arbete och innovation på ett eko-effektivt sätt. </w:t>
      </w:r>
      <w:r w:rsidRPr="00FA614C">
        <w:t>KOM uppmanas slutligen att lägga fram en framstegsrapport i god till Europeiska rådets möte i december 2012</w:t>
      </w:r>
    </w:p>
    <w:p w:rsidR="00C91A77" w:rsidRPr="00FA614C" w:rsidRDefault="00C91A77" w:rsidP="00C91A77"/>
    <w:p w:rsidR="00C91A77" w:rsidRPr="00FA614C" w:rsidRDefault="00C91A77">
      <w:pPr>
        <w:pStyle w:val="RKnormal"/>
        <w:tabs>
          <w:tab w:val="clear" w:pos="1843"/>
          <w:tab w:val="left" w:pos="0"/>
        </w:tabs>
        <w:ind w:left="0"/>
      </w:pPr>
      <w:r w:rsidRPr="00FA614C">
        <w:t xml:space="preserve"> </w:t>
      </w:r>
    </w:p>
    <w:p w:rsidR="00C91A77" w:rsidRPr="00FA614C" w:rsidRDefault="00C91A77" w:rsidP="00C91A77">
      <w:pPr>
        <w:pStyle w:val="Rubrik2"/>
      </w:pPr>
      <w:bookmarkStart w:id="65" w:name="_Toc245182012"/>
      <w:r w:rsidRPr="00FA614C">
        <w:t>8. Integration of maritime surveillance- Draft Council conclusions</w:t>
      </w:r>
      <w:bookmarkEnd w:id="65"/>
    </w:p>
    <w:p w:rsidR="00C91A77" w:rsidRPr="00FA614C" w:rsidRDefault="00C91A77">
      <w:pPr>
        <w:pStyle w:val="RKnormal"/>
        <w:tabs>
          <w:tab w:val="clear" w:pos="1843"/>
          <w:tab w:val="left" w:pos="0"/>
        </w:tabs>
        <w:ind w:left="0"/>
      </w:pPr>
    </w:p>
    <w:p w:rsidR="00C91A77" w:rsidRPr="00FA614C" w:rsidRDefault="00C91A77" w:rsidP="00C91A77">
      <w:r w:rsidRPr="00FA614C">
        <w:t>15188/09, 15176/09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Näringsdepartementet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Åsa Torstensson</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Kommissionen presenterade den 15 oktober 2009 med</w:t>
      </w:r>
      <w:r w:rsidR="00681942" w:rsidRPr="00FA614C">
        <w:t>d</w:t>
      </w:r>
      <w:r w:rsidRPr="00FA614C">
        <w:t xml:space="preserve">elandet </w:t>
      </w:r>
      <w:r w:rsidRPr="00FA614C">
        <w:rPr>
          <w:i/>
        </w:rPr>
        <w:t xml:space="preserve">För </w:t>
      </w:r>
      <w:r w:rsidR="0019653A" w:rsidRPr="00FA614C">
        <w:rPr>
          <w:i/>
        </w:rPr>
        <w:t xml:space="preserve">en </w:t>
      </w:r>
      <w:r w:rsidRPr="00FA614C">
        <w:rPr>
          <w:i/>
        </w:rPr>
        <w:t>integrerad övervakning till sjöss: En gemensam miljö för informationsutbyte för EU:s sjöbevakningsområde</w:t>
      </w:r>
      <w:r w:rsidRPr="00FA614C">
        <w:t xml:space="preserve"> (KOM(2009) 538). Meddelandet beskriver ett antal principer som kommissionen anser ska vara vägledande för det fortsatta integreringsarbetet. </w:t>
      </w:r>
    </w:p>
    <w:p w:rsidR="00C91A77" w:rsidRPr="00FA614C" w:rsidRDefault="00C91A77" w:rsidP="00C91A77"/>
    <w:p w:rsidR="00C91A77" w:rsidRPr="00FA614C" w:rsidRDefault="00C91A77" w:rsidP="00C91A77">
      <w:r w:rsidRPr="00FA614C">
        <w:t xml:space="preserve">Med utgångspunkt från meddelandet har det svenska </w:t>
      </w:r>
      <w:r w:rsidR="00681942" w:rsidRPr="00FA614C">
        <w:t>ordförandeskapet</w:t>
      </w:r>
      <w:r w:rsidRPr="00FA614C">
        <w:t xml:space="preserve"> förhandlat fram rådsslutsatser avseende det fortsatta arbetet med integrerad sjöövervakning. Rådsslutsatserna stödjer etablering av en integrerad sjöövervakning genom ett utökat utbyte av information mellan relevanta myndigheter. Vidare uppmanas kommissionen att i samarbete med medlemsstaterna ta fram en färdplan, med en stegvis process för utveckling och genomförande. Planen ska presenteras före utgången av 2010. Vidare innehåller slutsatserna i korthet följande principer: </w:t>
      </w:r>
    </w:p>
    <w:p w:rsidR="00C91A77" w:rsidRPr="00FA614C" w:rsidRDefault="00C91A77" w:rsidP="00C91A77">
      <w:r w:rsidRPr="00FA614C">
        <w:t>•</w:t>
      </w:r>
      <w:r w:rsidRPr="00FA614C">
        <w:tab/>
        <w:t>en uppmaning att öka samordning mellan olika sektorer samt mellan Kommissionen och relevanta institutioner,</w:t>
      </w:r>
    </w:p>
    <w:p w:rsidR="00C91A77" w:rsidRPr="00FA614C" w:rsidRDefault="00C91A77" w:rsidP="00C91A77">
      <w:r w:rsidRPr="00FA614C">
        <w:t>•</w:t>
      </w:r>
      <w:r w:rsidRPr="00FA614C">
        <w:tab/>
        <w:t>att möjliga områden för samarbeten med tredje land och andra relevanta organisationer ska beaktas,</w:t>
      </w:r>
    </w:p>
    <w:p w:rsidR="00C91A77" w:rsidRPr="00FA614C" w:rsidRDefault="00C91A77" w:rsidP="00C91A77">
      <w:r w:rsidRPr="00FA614C">
        <w:t>•</w:t>
      </w:r>
      <w:r w:rsidRPr="00FA614C">
        <w:tab/>
        <w:t xml:space="preserve">att interoperabiliteten mellan existerande system, såväl civila som militära, bör öka och </w:t>
      </w:r>
    </w:p>
    <w:p w:rsidR="00C91A77" w:rsidRPr="00FA614C" w:rsidRDefault="00C91A77" w:rsidP="00C91A77">
      <w:r w:rsidRPr="00FA614C">
        <w:t>•</w:t>
      </w:r>
      <w:r w:rsidRPr="00FA614C">
        <w:tab/>
        <w:t xml:space="preserve">behovet av ett rättsligt ramverk för utbyte av information. </w:t>
      </w:r>
    </w:p>
    <w:p w:rsidR="00C91A77" w:rsidRPr="00FA614C" w:rsidRDefault="00C91A77" w:rsidP="00C91A77"/>
    <w:p w:rsidR="00C91A77" w:rsidRPr="00FA614C" w:rsidRDefault="00C91A77" w:rsidP="00C91A77"/>
    <w:p w:rsidR="00C91A77" w:rsidRPr="00FA614C" w:rsidRDefault="00C91A77">
      <w:pPr>
        <w:pStyle w:val="RKnormal"/>
        <w:tabs>
          <w:tab w:val="clear" w:pos="1843"/>
          <w:tab w:val="left" w:pos="0"/>
        </w:tabs>
        <w:ind w:left="0"/>
      </w:pPr>
      <w:r w:rsidRPr="00FA614C">
        <w:t xml:space="preserve"> </w:t>
      </w:r>
    </w:p>
    <w:p w:rsidR="00C91A77" w:rsidRPr="00FA614C" w:rsidRDefault="00C91A77" w:rsidP="00C91A77">
      <w:pPr>
        <w:pStyle w:val="Rubrik2"/>
      </w:pPr>
      <w:bookmarkStart w:id="66" w:name="_Toc245182013"/>
      <w:r w:rsidRPr="00FA614C">
        <w:t>9. Council Joint Action amending Joint Action 2005/889/CFSP on establishing a European Union Border Assistance Mission for the Rafah Crossing Point (EUBAM Rafah)</w:t>
      </w:r>
      <w:bookmarkEnd w:id="66"/>
    </w:p>
    <w:p w:rsidR="00C91A77" w:rsidRPr="00FA614C" w:rsidRDefault="00C91A77">
      <w:pPr>
        <w:pStyle w:val="RKnormal"/>
        <w:tabs>
          <w:tab w:val="clear" w:pos="1843"/>
          <w:tab w:val="left" w:pos="0"/>
        </w:tabs>
        <w:ind w:left="0"/>
      </w:pPr>
    </w:p>
    <w:p w:rsidR="00C91A77" w:rsidRPr="00FA614C" w:rsidRDefault="00C91A77" w:rsidP="00C91A77">
      <w:r w:rsidRPr="00FA614C">
        <w:t>15045/09, 14702/09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Utrikesdepartementet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Carl Bildt</w:t>
      </w:r>
    </w:p>
    <w:p w:rsidR="00C91A77" w:rsidRPr="00FA614C" w:rsidRDefault="00C91A77">
      <w:pPr>
        <w:pStyle w:val="RKnormal"/>
        <w:tabs>
          <w:tab w:val="clear" w:pos="1843"/>
          <w:tab w:val="left" w:pos="0"/>
        </w:tabs>
        <w:ind w:left="0"/>
      </w:pPr>
    </w:p>
    <w:p w:rsidR="00C91A77" w:rsidRPr="00FA614C" w:rsidRDefault="00C91A77" w:rsidP="00C91A77">
      <w:r w:rsidRPr="00FA614C">
        <w:t>Tidigare behandling i EU -nämnden: 2008-10-31</w:t>
      </w:r>
    </w:p>
    <w:p w:rsidR="00C91A77" w:rsidRPr="00FA614C" w:rsidRDefault="00C91A77">
      <w:pPr>
        <w:pStyle w:val="RKnormal"/>
        <w:tabs>
          <w:tab w:val="clear" w:pos="1843"/>
          <w:tab w:val="left" w:pos="0"/>
        </w:tabs>
        <w:ind w:left="0"/>
      </w:pPr>
    </w:p>
    <w:p w:rsidR="00C91A77" w:rsidRPr="00FA614C" w:rsidRDefault="00C91A77" w:rsidP="00C91A77">
      <w:r w:rsidRPr="00FA614C">
        <w:t>Tidigare behandling vid rådsmöte: Ekonomiska och finansiella frågor</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 xml:space="preserve">Europeiska unionens råd beslutade i december 2005 i en gemensam åtgärd att inom ramen för den europeiska säkerhets- och försvarspolitiken inrätta en insats för stöd till gränsstationen i Rafah, vid gränsen mellan den palestinska myndigheten i Gaza och Egypten. Insatsens syfte är att bidra till att gränsstationen hålls öppen och till att förtroendet stärks mellan den palestinska myndigheten och Israel. </w:t>
      </w:r>
    </w:p>
    <w:p w:rsidR="00C91A77" w:rsidRPr="00FA614C" w:rsidRDefault="00C91A77" w:rsidP="00C91A77"/>
    <w:p w:rsidR="00C91A77" w:rsidRPr="00FA614C" w:rsidRDefault="00C91A77" w:rsidP="00C91A77">
      <w:r w:rsidRPr="00FA614C">
        <w:t>Insatsens mandat har förlängts ett flertal gånger sedan dess, senast i november 2008 med ett mandat som löper ut 24 november i år. Det nya mandatet gäller fram till den 24 maj 2010.</w:t>
      </w:r>
    </w:p>
    <w:p w:rsidR="00C91A77" w:rsidRPr="00FA614C" w:rsidRDefault="00C91A77" w:rsidP="00C91A77"/>
    <w:p w:rsidR="00C91A77" w:rsidRPr="00FA614C" w:rsidRDefault="00C91A77" w:rsidP="00C91A77">
      <w:r w:rsidRPr="00FA614C">
        <w:t xml:space="preserve">Regeringen avser att i rådet rösta för ett antagande av en förlängning av den gemensamma åtgärden. </w:t>
      </w:r>
    </w:p>
    <w:p w:rsidR="00C91A77" w:rsidRPr="00FA614C" w:rsidRDefault="00C91A77" w:rsidP="00C91A77"/>
    <w:p w:rsidR="00C91A77" w:rsidRPr="00FA614C" w:rsidRDefault="00C91A77" w:rsidP="00C91A77">
      <w:r w:rsidRPr="00FA614C">
        <w:t>Coreper II: 4 november</w:t>
      </w:r>
    </w:p>
    <w:p w:rsidR="00C91A77" w:rsidRPr="00FA614C" w:rsidRDefault="00C91A77" w:rsidP="00C91A77">
      <w:r w:rsidRPr="00FA614C">
        <w:t>Regeringsbeslut: 5 november</w:t>
      </w:r>
    </w:p>
    <w:p w:rsidR="00C91A77" w:rsidRPr="00FA614C" w:rsidRDefault="00C91A77" w:rsidP="00C91A77">
      <w:r w:rsidRPr="00FA614C">
        <w:t>Rådsbeslut: 10 november</w:t>
      </w:r>
    </w:p>
    <w:p w:rsidR="00C91A77" w:rsidRPr="00FA614C" w:rsidRDefault="00C91A77" w:rsidP="00C91A77"/>
    <w:p w:rsidR="00C91A77" w:rsidRPr="00FA614C" w:rsidRDefault="00C91A77">
      <w:pPr>
        <w:pStyle w:val="RKnormal"/>
        <w:tabs>
          <w:tab w:val="clear" w:pos="1843"/>
          <w:tab w:val="left" w:pos="0"/>
        </w:tabs>
        <w:ind w:left="0"/>
      </w:pPr>
      <w:r w:rsidRPr="00FA614C">
        <w:t xml:space="preserve"> </w:t>
      </w:r>
    </w:p>
    <w:p w:rsidR="00C91A77" w:rsidRPr="00FA614C" w:rsidRDefault="00C91A77" w:rsidP="00C91A77">
      <w:pPr>
        <w:pStyle w:val="Rubrik2"/>
      </w:pPr>
      <w:bookmarkStart w:id="67" w:name="_Toc245182014"/>
      <w:r w:rsidRPr="00FA614C">
        <w:t>10. Council Joint Action amending Joint Action 2009/131/CFSP extending the mandate of the European Union Special Representative for the crisis in Georgia</w:t>
      </w:r>
      <w:bookmarkEnd w:id="67"/>
    </w:p>
    <w:p w:rsidR="00C91A77" w:rsidRPr="00FA614C" w:rsidRDefault="00C91A77">
      <w:pPr>
        <w:pStyle w:val="RKnormal"/>
        <w:tabs>
          <w:tab w:val="clear" w:pos="1843"/>
          <w:tab w:val="left" w:pos="0"/>
        </w:tabs>
        <w:ind w:left="0"/>
      </w:pPr>
    </w:p>
    <w:p w:rsidR="00C91A77" w:rsidRPr="00FA614C" w:rsidRDefault="00C91A77" w:rsidP="00C91A77">
      <w:r w:rsidRPr="00FA614C">
        <w:t>15034/09, 14468/09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Utrikesdepartementet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Carl Bildt</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Vid möte i arbetsgruppen Relex den 22 oktober godkändes den gemensamma åtgärden inklusive budgetunderlag som innebär att 72.000 euro kommer att läggas till de 445 000 euro som redan avsatts from 1 mars 2009 för att EUSR-teamet ska kunna fungera t</w:t>
      </w:r>
      <w:r w:rsidR="00480719" w:rsidRPr="00FA614C">
        <w:t>.</w:t>
      </w:r>
      <w:r w:rsidRPr="00FA614C">
        <w:t>o</w:t>
      </w:r>
      <w:r w:rsidR="00480719" w:rsidRPr="00FA614C">
        <w:t>.</w:t>
      </w:r>
      <w:r w:rsidRPr="00FA614C">
        <w:t>m</w:t>
      </w:r>
      <w:r w:rsidR="00480719" w:rsidRPr="00FA614C">
        <w:t>.</w:t>
      </w:r>
      <w:r w:rsidRPr="00FA614C">
        <w:t xml:space="preserve"> 28 februari 2010.</w:t>
      </w:r>
    </w:p>
    <w:p w:rsidR="00C91A77" w:rsidRPr="00FA614C" w:rsidRDefault="00C91A77" w:rsidP="00C91A77"/>
    <w:p w:rsidR="00C91A77" w:rsidRPr="00FA614C" w:rsidRDefault="00C91A77" w:rsidP="00C91A77"/>
    <w:p w:rsidR="00C91A77" w:rsidRPr="00FA614C" w:rsidRDefault="00C91A77">
      <w:pPr>
        <w:pStyle w:val="RKnormal"/>
        <w:tabs>
          <w:tab w:val="clear" w:pos="1843"/>
          <w:tab w:val="left" w:pos="0"/>
        </w:tabs>
        <w:ind w:left="0"/>
      </w:pPr>
      <w:r w:rsidRPr="00FA614C">
        <w:t xml:space="preserve"> </w:t>
      </w:r>
    </w:p>
    <w:p w:rsidR="00C91A77" w:rsidRPr="00FA614C" w:rsidRDefault="00C91A77" w:rsidP="00C91A77">
      <w:pPr>
        <w:pStyle w:val="Rubrik2"/>
      </w:pPr>
      <w:bookmarkStart w:id="68" w:name="_Toc245182015"/>
      <w:r w:rsidRPr="00FA614C">
        <w:t>11. Council Joint Action amending Joint Action 2001/555/CFSP on the establishment of a European Union Satellite Centre</w:t>
      </w:r>
      <w:bookmarkEnd w:id="68"/>
    </w:p>
    <w:p w:rsidR="00C91A77" w:rsidRPr="00FA614C" w:rsidRDefault="00C91A77">
      <w:pPr>
        <w:pStyle w:val="RKnormal"/>
        <w:tabs>
          <w:tab w:val="clear" w:pos="1843"/>
          <w:tab w:val="left" w:pos="0"/>
        </w:tabs>
        <w:ind w:left="0"/>
      </w:pPr>
    </w:p>
    <w:p w:rsidR="00C91A77" w:rsidRPr="00FA614C" w:rsidRDefault="00C91A77" w:rsidP="00C91A77">
      <w:r w:rsidRPr="00FA614C">
        <w:t>13225/09, 13224/09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Försvarsdepartementet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Sten Tolgfors</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EU:s Satellitcentrum (SATCEN) avser inleda samarbete med US National Geointelligence Agency (NGA). Samarbetet kommer att inledas med ett pilotprojekt tillsammans med NGA, vilket går ut på att gemensamt skapa ett informationsläge i samband med fotbolls VM i Sydafrika 2010, med det vidare syftet att klarlägga förutsättningarna för ett i framtiden mer vittgående samarbete.</w:t>
      </w:r>
    </w:p>
    <w:p w:rsidR="00C91A77" w:rsidRPr="00FA614C" w:rsidRDefault="00C91A77" w:rsidP="00C91A77"/>
    <w:p w:rsidR="00C91A77" w:rsidRPr="00FA614C" w:rsidRDefault="00C91A77" w:rsidP="00C91A77">
      <w:r w:rsidRPr="00FA614C">
        <w:t xml:space="preserve">Det har funnits en del legala frågor att hantera för att samarbetet ska komma till stånd. Ett är att den gemensamma </w:t>
      </w:r>
      <w:r w:rsidR="00681942" w:rsidRPr="00FA614C">
        <w:t>åtgärden</w:t>
      </w:r>
      <w:r w:rsidRPr="00FA614C">
        <w:t xml:space="preserve"> (Joint Action) inte medger samarbete med ett tredje land utanför Europa. </w:t>
      </w:r>
    </w:p>
    <w:p w:rsidR="00C91A77" w:rsidRPr="00FA614C" w:rsidRDefault="00C91A77" w:rsidP="00C91A77"/>
    <w:p w:rsidR="00C91A77" w:rsidRPr="00FA614C" w:rsidRDefault="00C91A77" w:rsidP="00C91A77">
      <w:r w:rsidRPr="00FA614C">
        <w:t xml:space="preserve">För att kunna inleda samarbetsprogrammet med NGA behöver den gemensamma åtgärden för SATCEN ändras enligt följande: </w:t>
      </w:r>
    </w:p>
    <w:p w:rsidR="00C91A77" w:rsidRPr="00FA614C" w:rsidRDefault="00C91A77" w:rsidP="00C91A77"/>
    <w:p w:rsidR="00C91A77" w:rsidRPr="00FA614C" w:rsidRDefault="00C91A77" w:rsidP="00C91A77">
      <w:r w:rsidRPr="00FA614C">
        <w:t>- artikel 5: att Kommittén för utrikes- och säkerhetspolitik i fall till fall ska kunna bestämma huruvida tredje land ska få ta del av SATCEN:s analyser av satellitbilder</w:t>
      </w:r>
    </w:p>
    <w:p w:rsidR="00C91A77" w:rsidRPr="00FA614C" w:rsidRDefault="00C91A77" w:rsidP="00C91A77"/>
    <w:p w:rsidR="00C91A77" w:rsidRPr="00FA614C" w:rsidRDefault="00C91A77" w:rsidP="00C91A77">
      <w:r w:rsidRPr="00FA614C">
        <w:t>- artikel 21: att medlemmar i NATO som inte är EU-medlemmar ska kunna associeras till SATCEN:s aktiviteter.</w:t>
      </w:r>
    </w:p>
    <w:p w:rsidR="00C91A77" w:rsidRPr="00FA614C" w:rsidRDefault="00C91A77" w:rsidP="00C91A77"/>
    <w:p w:rsidR="00C91A77" w:rsidRPr="00FA614C" w:rsidRDefault="00C91A77">
      <w:pPr>
        <w:pStyle w:val="RKnormal"/>
        <w:tabs>
          <w:tab w:val="clear" w:pos="1843"/>
          <w:tab w:val="left" w:pos="0"/>
        </w:tabs>
        <w:ind w:left="0"/>
      </w:pPr>
      <w:r w:rsidRPr="00FA614C">
        <w:t xml:space="preserve"> </w:t>
      </w:r>
    </w:p>
    <w:p w:rsidR="00C91A77" w:rsidRPr="00FA614C" w:rsidRDefault="00C91A77" w:rsidP="00C91A77">
      <w:pPr>
        <w:pStyle w:val="Rubrik2"/>
      </w:pPr>
      <w:bookmarkStart w:id="69" w:name="_Toc245182016"/>
      <w:r w:rsidRPr="00FA614C">
        <w:t>12. Single Progress Report on the Development of Military Capabilities for the Second Semester of 2009</w:t>
      </w:r>
      <w:bookmarkEnd w:id="69"/>
    </w:p>
    <w:p w:rsidR="00C91A77" w:rsidRPr="00FA614C" w:rsidRDefault="00C91A77">
      <w:pPr>
        <w:pStyle w:val="RKnormal"/>
        <w:tabs>
          <w:tab w:val="clear" w:pos="1843"/>
          <w:tab w:val="left" w:pos="0"/>
        </w:tabs>
        <w:ind w:left="0"/>
      </w:pPr>
    </w:p>
    <w:p w:rsidR="00C91A77" w:rsidRPr="00FA614C" w:rsidRDefault="00C91A77" w:rsidP="00C91A77">
      <w:r w:rsidRPr="00FA614C">
        <w:t>Ansvarigt departement: Försvarsdepartementet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Sten Tolgfors</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I enlighet med överenskomna dokument för kapacitetsutveckling skall EU:s Militärkommitté (EUMC) varje halvår/ordförandeskap producera en rapport - Single Progress Report on the Development of the EU Capabilities (SPR) - som beskriver arbetsläget vad gäller EU:s kapacitetsutveckling. Den förra rapporten skrevs i maj 2009.</w:t>
      </w:r>
    </w:p>
    <w:p w:rsidR="00C91A77" w:rsidRPr="00FA614C" w:rsidRDefault="00C91A77" w:rsidP="00C91A77"/>
    <w:p w:rsidR="00C91A77" w:rsidRPr="00FA614C" w:rsidRDefault="00C91A77" w:rsidP="00C91A77">
      <w:r w:rsidRPr="00FA614C">
        <w:t xml:space="preserve">Den nu aktuella rapporten har under hösten behandlats flera gånger på arbetsgruppsnivå. Ordförandeskapets handlingslinje har varit att rapporten skall vara en faktamässig beskrivning av utvecklingen rörande EU:s militära förmågor och att bedömningar och/eller framtidsvisioner bör undvikas. </w:t>
      </w:r>
      <w:r w:rsidR="00681942" w:rsidRPr="00FA614C">
        <w:t>Ordförandeskapet</w:t>
      </w:r>
      <w:r w:rsidRPr="00FA614C">
        <w:t xml:space="preserve"> har under arbetets gång fått gehör för sin handlingslinje. Dokumentet förväntas noteras av rådet den 16-17 november. </w:t>
      </w:r>
    </w:p>
    <w:p w:rsidR="00C91A77" w:rsidRPr="00FA614C" w:rsidRDefault="00C91A77" w:rsidP="00C91A77"/>
    <w:p w:rsidR="00C91A77" w:rsidRPr="00FA614C" w:rsidRDefault="00C91A77">
      <w:pPr>
        <w:pStyle w:val="RKnormal"/>
        <w:tabs>
          <w:tab w:val="clear" w:pos="1843"/>
          <w:tab w:val="left" w:pos="0"/>
        </w:tabs>
        <w:ind w:left="0"/>
      </w:pPr>
      <w:r w:rsidRPr="00FA614C">
        <w:t xml:space="preserve"> </w:t>
      </w:r>
    </w:p>
    <w:p w:rsidR="00C91A77" w:rsidRPr="00FA614C" w:rsidRDefault="00C91A77" w:rsidP="00C91A77">
      <w:pPr>
        <w:pStyle w:val="Rubrik2"/>
      </w:pPr>
      <w:bookmarkStart w:id="70" w:name="_Toc245182017"/>
      <w:r w:rsidRPr="00FA614C">
        <w:t>13. Levels of security co-operation with third States and international organisations- Update</w:t>
      </w:r>
      <w:bookmarkEnd w:id="70"/>
    </w:p>
    <w:p w:rsidR="00C91A77" w:rsidRPr="00FA614C" w:rsidRDefault="00C91A77">
      <w:pPr>
        <w:pStyle w:val="RKnormal"/>
        <w:tabs>
          <w:tab w:val="clear" w:pos="1843"/>
          <w:tab w:val="left" w:pos="0"/>
        </w:tabs>
        <w:ind w:left="0"/>
      </w:pPr>
    </w:p>
    <w:p w:rsidR="00C91A77" w:rsidRPr="00FA614C" w:rsidRDefault="00C91A77" w:rsidP="00C91A77">
      <w:r w:rsidRPr="00FA614C">
        <w:t>14758/09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Utrikesdepartementet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Carl Bildt</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 xml:space="preserve">Enligt rådets säkerhetsbestämmelser ska rådet fastställa nivån för utbyte av EU-hemlig information med de länder och internationella organisationer med vilka EU har ingått säkerhetsskyddsavtal. Nivåerna 1-3 bestäms av i vilken utsträckning de andra landets/organisationens säkerhetsskydd överensstämmer med EU:s. Beslutet innebär att OCCAR ska tilldelas nivå 1. </w:t>
      </w:r>
    </w:p>
    <w:p w:rsidR="00C91A77" w:rsidRPr="00FA614C" w:rsidRDefault="00C91A77" w:rsidP="00C91A77"/>
    <w:p w:rsidR="00C91A77" w:rsidRPr="00FA614C" w:rsidRDefault="00C91A77">
      <w:pPr>
        <w:pStyle w:val="RKnormal"/>
        <w:tabs>
          <w:tab w:val="clear" w:pos="1843"/>
          <w:tab w:val="left" w:pos="0"/>
        </w:tabs>
        <w:ind w:left="0"/>
      </w:pPr>
      <w:r w:rsidRPr="00FA614C">
        <w:t xml:space="preserve"> </w:t>
      </w:r>
    </w:p>
    <w:p w:rsidR="00C91A77" w:rsidRPr="00FA614C" w:rsidRDefault="00C91A77" w:rsidP="00C91A77">
      <w:pPr>
        <w:pStyle w:val="Rubrik2"/>
      </w:pPr>
      <w:bookmarkStart w:id="71" w:name="_Toc245182018"/>
      <w:r w:rsidRPr="00FA614C">
        <w:t>14. Council Decision concerning the conclusion of the Agreement between the Government of the Russian Federation and the European Union on the protection of classified information</w:t>
      </w:r>
      <w:bookmarkEnd w:id="71"/>
    </w:p>
    <w:p w:rsidR="00C91A77" w:rsidRPr="00FA614C" w:rsidRDefault="00C91A77">
      <w:pPr>
        <w:pStyle w:val="RKnormal"/>
        <w:tabs>
          <w:tab w:val="clear" w:pos="1843"/>
          <w:tab w:val="left" w:pos="0"/>
        </w:tabs>
        <w:ind w:left="0"/>
      </w:pPr>
    </w:p>
    <w:p w:rsidR="00C91A77" w:rsidRPr="00FA614C" w:rsidRDefault="00C91A77" w:rsidP="00C91A77">
      <w:r w:rsidRPr="00FA614C">
        <w:t>15227/09, 15229/09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Utrikesdepartementet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Carl Bildt</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 xml:space="preserve">Rådets säkerhetsbestämmelser tillsammans med ett rådsbeslut 2003 reglerar formerna för ingående av säkerhetsskyddsavtal mellan EU och tredje land. Det nu föreliggande förslaget följer i huvudsak dessa regler. Men EU har gjort smärre avvikelser när det gäller formerna men inget vad gäller innehållet i avtalet med Ryssland. </w:t>
      </w:r>
    </w:p>
    <w:p w:rsidR="00C91A77" w:rsidRPr="00FA614C" w:rsidRDefault="00C91A77" w:rsidP="00C91A77"/>
    <w:p w:rsidR="00C91A77" w:rsidRPr="00FA614C" w:rsidRDefault="00C91A77">
      <w:pPr>
        <w:pStyle w:val="RKnormal"/>
        <w:tabs>
          <w:tab w:val="clear" w:pos="1843"/>
          <w:tab w:val="left" w:pos="0"/>
        </w:tabs>
        <w:ind w:left="0"/>
      </w:pPr>
    </w:p>
    <w:p w:rsidR="00C91A77" w:rsidRPr="00FA614C" w:rsidRDefault="00C91A77" w:rsidP="00C91A77">
      <w:pPr>
        <w:pStyle w:val="Rubrik2"/>
      </w:pPr>
      <w:bookmarkStart w:id="72" w:name="_Toc245182019"/>
      <w:r w:rsidRPr="00FA614C">
        <w:t>15. Council Decision concerning the conclusion of the Agreement between Australia and the European Union on the security of classified information</w:t>
      </w:r>
      <w:bookmarkEnd w:id="72"/>
    </w:p>
    <w:p w:rsidR="00C91A77" w:rsidRPr="00FA614C" w:rsidRDefault="00C91A77">
      <w:pPr>
        <w:pStyle w:val="RKnormal"/>
        <w:tabs>
          <w:tab w:val="clear" w:pos="1843"/>
          <w:tab w:val="left" w:pos="0"/>
        </w:tabs>
        <w:ind w:left="0"/>
      </w:pPr>
    </w:p>
    <w:p w:rsidR="00C91A77" w:rsidRPr="00FA614C" w:rsidRDefault="00C91A77" w:rsidP="00C91A77">
      <w:r w:rsidRPr="00FA614C">
        <w:t>14682/09, 14683/09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Utrikesdepartementet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Carl Bildt</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 xml:space="preserve">Enligt rådets säkerhetsbestämmelser och rådsbeslut 2003 skall processen att ingå säkerhetsskyddsavtal med tredje land och mellanfolkliga organisationer följa bestämda rutiner. Arbetet med avtal mellan Australien och EU har nu avslutats i enlighet med dessa rutiner. Beslutet innebär att EU ingår säkerhetsskyddsavtal med Australien. </w:t>
      </w:r>
    </w:p>
    <w:p w:rsidR="00C91A77" w:rsidRPr="00FA614C" w:rsidRDefault="00C91A77" w:rsidP="00C91A77"/>
    <w:p w:rsidR="00C91A77" w:rsidRPr="00FA614C" w:rsidRDefault="00C91A77">
      <w:pPr>
        <w:pStyle w:val="RKnormal"/>
        <w:tabs>
          <w:tab w:val="clear" w:pos="1843"/>
          <w:tab w:val="left" w:pos="0"/>
        </w:tabs>
        <w:ind w:left="0"/>
      </w:pPr>
      <w:r w:rsidRPr="00FA614C">
        <w:t xml:space="preserve"> </w:t>
      </w:r>
    </w:p>
    <w:p w:rsidR="00C91A77" w:rsidRPr="00FA614C" w:rsidRDefault="00C91A77" w:rsidP="00C91A77">
      <w:pPr>
        <w:pStyle w:val="Rubrik2"/>
      </w:pPr>
      <w:bookmarkStart w:id="73" w:name="_Toc245182020"/>
      <w:r w:rsidRPr="00FA614C">
        <w:t>16. Negotiation of a security of information Agreement with Montenegro</w:t>
      </w:r>
      <w:bookmarkEnd w:id="73"/>
    </w:p>
    <w:p w:rsidR="00C91A77" w:rsidRPr="00FA614C" w:rsidRDefault="00C91A77">
      <w:pPr>
        <w:pStyle w:val="RKnormal"/>
        <w:tabs>
          <w:tab w:val="clear" w:pos="1843"/>
          <w:tab w:val="left" w:pos="0"/>
        </w:tabs>
        <w:ind w:left="0"/>
      </w:pPr>
    </w:p>
    <w:p w:rsidR="00C91A77" w:rsidRPr="00FA614C" w:rsidRDefault="00C91A77" w:rsidP="00C91A77">
      <w:r w:rsidRPr="00FA614C">
        <w:t>14750/09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Utrikesdepartementet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Carl Bildt</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 xml:space="preserve">Det finns behov att ingå säkerhetsskyddsavtal mellan EU och Montenegro för utbyte av hemlig information. Beslutet innebär att rådet skall inleda förhandlingar om att ingå </w:t>
      </w:r>
      <w:r w:rsidR="00681942" w:rsidRPr="00FA614C">
        <w:t>säkerhetsskyddsavtal</w:t>
      </w:r>
      <w:r w:rsidRPr="00FA614C">
        <w:t xml:space="preserve"> med Montenegro i enlighet med det modellavtal som godkändes 2003.  </w:t>
      </w:r>
    </w:p>
    <w:p w:rsidR="00C91A77" w:rsidRPr="00FA614C" w:rsidRDefault="00C91A77" w:rsidP="00C91A77"/>
    <w:p w:rsidR="00C91A77" w:rsidRPr="00FA614C" w:rsidRDefault="00C91A77" w:rsidP="00C91A77"/>
    <w:p w:rsidR="00C91A77" w:rsidRPr="00FA614C" w:rsidRDefault="00C91A77">
      <w:pPr>
        <w:pStyle w:val="RKnormal"/>
        <w:tabs>
          <w:tab w:val="clear" w:pos="1843"/>
          <w:tab w:val="left" w:pos="0"/>
        </w:tabs>
        <w:ind w:left="0"/>
      </w:pPr>
      <w:r w:rsidRPr="00FA614C">
        <w:t xml:space="preserve"> </w:t>
      </w:r>
    </w:p>
    <w:p w:rsidR="00C91A77" w:rsidRPr="00FA614C" w:rsidRDefault="00C91A77" w:rsidP="00C91A77">
      <w:pPr>
        <w:pStyle w:val="Rubrik2"/>
      </w:pPr>
      <w:bookmarkStart w:id="74" w:name="_Toc245182021"/>
      <w:r w:rsidRPr="00FA614C">
        <w:t>17. Council Decision authorising Portugal to apply reduced rates of excise duty in the autonomous region of Madeira on locally produced and consumed rum and liqueurs and in the autonomous region of the Azores on locally produced and consumed liqueurs and eaux-de-vie</w:t>
      </w:r>
      <w:bookmarkEnd w:id="74"/>
    </w:p>
    <w:p w:rsidR="00C91A77" w:rsidRPr="00FA614C" w:rsidRDefault="00C91A77">
      <w:pPr>
        <w:pStyle w:val="RKnormal"/>
        <w:tabs>
          <w:tab w:val="clear" w:pos="1843"/>
          <w:tab w:val="left" w:pos="0"/>
        </w:tabs>
        <w:ind w:left="0"/>
      </w:pPr>
    </w:p>
    <w:p w:rsidR="00C91A77" w:rsidRPr="00FA614C" w:rsidRDefault="00C91A77" w:rsidP="00C91A77">
      <w:r w:rsidRPr="00FA614C">
        <w:t>14911/09, 12263/09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Näringsdepartementet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Maud Olofsson</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Förslaget innebär att Portugal får tillämpa rubricerade undantag med stöd av artikel 299.2 i fördraget i ytterligare 5 år. Förslaget tillstyrktes av samtliga delegationer vid möte i arbetsgruppen för de yttre randområdena den 16 juli och av Europaparlamentet den 20 oktober. Coreper II rekommenderas därför uppmana rådet att som en A-punkt anta förslaget.</w:t>
      </w:r>
    </w:p>
    <w:p w:rsidR="00C91A77" w:rsidRPr="00FA614C" w:rsidRDefault="00C91A77">
      <w:pPr>
        <w:pStyle w:val="RKnormal"/>
        <w:tabs>
          <w:tab w:val="clear" w:pos="1843"/>
          <w:tab w:val="left" w:pos="0"/>
        </w:tabs>
        <w:ind w:left="0"/>
      </w:pPr>
      <w:r w:rsidRPr="00FA614C">
        <w:t xml:space="preserve"> </w:t>
      </w:r>
    </w:p>
    <w:p w:rsidR="00C91A77" w:rsidRPr="00FA614C" w:rsidRDefault="00C91A77" w:rsidP="00C91A77">
      <w:pPr>
        <w:pStyle w:val="Rubrik2"/>
      </w:pPr>
      <w:bookmarkStart w:id="75" w:name="_Toc245182022"/>
      <w:r w:rsidRPr="00FA614C">
        <w:t>18. Proposal for a Directive of the European Parliament and of the Council amending Directives 2006/48/EC and 2006/49/EC as regards capital requirements for the trading book and for re-securisations, and the supervisory review of remuneration policies (LA) - General approach</w:t>
      </w:r>
      <w:bookmarkEnd w:id="75"/>
    </w:p>
    <w:p w:rsidR="00C91A77" w:rsidRPr="00FA614C" w:rsidRDefault="00C91A77">
      <w:pPr>
        <w:pStyle w:val="RKnormal"/>
        <w:tabs>
          <w:tab w:val="clear" w:pos="1843"/>
          <w:tab w:val="left" w:pos="0"/>
        </w:tabs>
        <w:ind w:left="0"/>
      </w:pPr>
    </w:p>
    <w:p w:rsidR="00C91A77" w:rsidRPr="00FA614C" w:rsidRDefault="00C91A77" w:rsidP="00C91A77">
      <w:r w:rsidRPr="00FA614C">
        <w:t>15126/1/09, 14732/09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Finansdepartementet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Mats Odell</w:t>
      </w:r>
    </w:p>
    <w:p w:rsidR="00C91A77" w:rsidRPr="00FA614C" w:rsidRDefault="00C91A77">
      <w:pPr>
        <w:pStyle w:val="RKnormal"/>
        <w:tabs>
          <w:tab w:val="clear" w:pos="1843"/>
          <w:tab w:val="left" w:pos="0"/>
        </w:tabs>
        <w:ind w:left="0"/>
      </w:pPr>
    </w:p>
    <w:p w:rsidR="00C91A77" w:rsidRPr="00FA614C" w:rsidRDefault="00C91A77" w:rsidP="00C91A77">
      <w:r w:rsidRPr="00FA614C">
        <w:t>Tidigare behandling vid rådsmöte: Ekonomiska och finansiella frågor</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 xml:space="preserve">Den 13 juli 2009 fattade Europeiska kommissionen beslut om förslag till ändring av och tillägg till de kapitaltäckningsregler som finns i Europaparlamentets och rådets direktiv (2006/48/EG och 2006/49/EG). Syftet med kapitaltäckningsdirektiven är att säkerställa en stabil och sund verksamhet hos kreditinstitut och värdepappersbolag. Tillsammans anger direktiven hur mycket kapital som kreditinstitut och värdepappersbolag måste ha för att täcka sina risker och skydda sina kunder. </w:t>
      </w:r>
    </w:p>
    <w:p w:rsidR="00C91A77" w:rsidRPr="00FA614C" w:rsidRDefault="00C91A77" w:rsidP="00C91A77"/>
    <w:p w:rsidR="00C91A77" w:rsidRPr="00FA614C" w:rsidRDefault="00C91A77" w:rsidP="00C91A77">
      <w:r w:rsidRPr="00FA614C">
        <w:t>Kommissionens ändringsförslag innebär främst:</w:t>
      </w:r>
    </w:p>
    <w:p w:rsidR="00C91A77" w:rsidRPr="00FA614C" w:rsidRDefault="00C91A77" w:rsidP="00C91A77">
      <w:r w:rsidRPr="00FA614C">
        <w:t>•</w:t>
      </w:r>
      <w:r w:rsidRPr="00FA614C">
        <w:tab/>
        <w:t>ökade kapitalkrav för tillgångar som  kreditinstitut har i handelslagret,</w:t>
      </w:r>
    </w:p>
    <w:p w:rsidR="00C91A77" w:rsidRPr="00FA614C" w:rsidRDefault="00C91A77" w:rsidP="00C91A77">
      <w:r w:rsidRPr="00FA614C">
        <w:t>•</w:t>
      </w:r>
      <w:r w:rsidRPr="00FA614C">
        <w:tab/>
        <w:t>höjda kapitalkrav för komplexa värdepapperiseringar, både i och utanför handelslagret,</w:t>
      </w:r>
    </w:p>
    <w:p w:rsidR="00C91A77" w:rsidRPr="00FA614C" w:rsidRDefault="00C91A77" w:rsidP="00C91A77">
      <w:r w:rsidRPr="00FA614C">
        <w:t>•</w:t>
      </w:r>
      <w:r w:rsidRPr="00FA614C">
        <w:tab/>
        <w:t>möjligheter för tillsynsmyndigheterna att utkräva finansie</w:t>
      </w:r>
      <w:r w:rsidR="00C4644F" w:rsidRPr="00FA614C">
        <w:t xml:space="preserve">lla sanktioner mot finansiella </w:t>
      </w:r>
      <w:r w:rsidRPr="00FA614C">
        <w:t xml:space="preserve">institut vars ersättningssystem utgör en oacceptabel risk. </w:t>
      </w:r>
    </w:p>
    <w:p w:rsidR="00C91A77" w:rsidRPr="00FA614C" w:rsidRDefault="00C91A77" w:rsidP="00C91A77"/>
    <w:p w:rsidR="00C91A77" w:rsidRPr="00FA614C" w:rsidRDefault="00C91A77" w:rsidP="00C91A77">
      <w:r w:rsidRPr="00FA614C">
        <w:t>K</w:t>
      </w:r>
      <w:r w:rsidR="005C27AD" w:rsidRPr="00FA614C">
        <w:t>ommissionens</w:t>
      </w:r>
      <w:r w:rsidRPr="00FA614C">
        <w:t xml:space="preserve"> ändringsförslag är i linje med Baselkommitténs rekommendationer. Det svenska ordf</w:t>
      </w:r>
      <w:r w:rsidR="005C27AD" w:rsidRPr="00FA614C">
        <w:t>örandeskapet har stärkt upp kommissionen</w:t>
      </w:r>
      <w:r w:rsidRPr="00FA614C">
        <w:t xml:space="preserve">s förslag vad gäller ersättningsfrågor i enlighet med FSB:s implementeringsstandarder, som förordades av G20:s stats- och regeringschefer vid Pittsburgh mötet i september. </w:t>
      </w:r>
    </w:p>
    <w:p w:rsidR="00C91A77" w:rsidRPr="00FA614C" w:rsidRDefault="00C91A77" w:rsidP="00C91A77"/>
    <w:p w:rsidR="00C91A77" w:rsidRPr="00FA614C" w:rsidRDefault="00C91A77">
      <w:pPr>
        <w:pStyle w:val="RKnormal"/>
        <w:tabs>
          <w:tab w:val="clear" w:pos="1843"/>
          <w:tab w:val="left" w:pos="0"/>
        </w:tabs>
        <w:ind w:left="0"/>
      </w:pPr>
      <w:r w:rsidRPr="00FA614C">
        <w:t xml:space="preserve"> </w:t>
      </w:r>
    </w:p>
    <w:p w:rsidR="00C91A77" w:rsidRPr="00FA614C" w:rsidRDefault="00C91A77" w:rsidP="00C91A77">
      <w:pPr>
        <w:pStyle w:val="Rubrik2"/>
      </w:pPr>
      <w:bookmarkStart w:id="76" w:name="_Toc245182023"/>
      <w:r w:rsidRPr="00FA614C">
        <w:t>19. Special report No. 8/2009 on "Networks of excellence" and "Integrated projects" in Community Research policy: did they achieve their objectives</w:t>
      </w:r>
      <w:bookmarkEnd w:id="76"/>
    </w:p>
    <w:p w:rsidR="00C91A77" w:rsidRPr="00FA614C" w:rsidRDefault="00C91A77">
      <w:pPr>
        <w:pStyle w:val="RKnormal"/>
        <w:tabs>
          <w:tab w:val="clear" w:pos="1843"/>
          <w:tab w:val="left" w:pos="0"/>
        </w:tabs>
        <w:ind w:left="0"/>
      </w:pPr>
    </w:p>
    <w:p w:rsidR="00C91A77" w:rsidRPr="00FA614C" w:rsidRDefault="00C91A77" w:rsidP="00C91A77">
      <w:r w:rsidRPr="00FA614C">
        <w:t>14676/09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Utbildningsdepartementet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Tobias Krantz</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 xml:space="preserve">Rapporten utgör en granskning som Europeiska revisionsrätten genomfört av två instrument i det sjätte ramprogrammet för forskning (FP6). Instrumenten kallas "Integrated projects" och "Networks of excellence". Rätten finner att instrumenten varit framgångsrika i att stödja samarbete och projekt av rimligt god (reasonable)kvalitet. Däremot invänder rätten mot att en </w:t>
      </w:r>
      <w:r w:rsidR="00681942" w:rsidRPr="00FA614C">
        <w:t>explicit</w:t>
      </w:r>
      <w:r w:rsidRPr="00FA614C">
        <w:t xml:space="preserve"> interventionslogik har saknats. Rätten invänder även mot frånvaron på användningen av s.k. SMARTA mål och indikatorer. Kommissionen har svarat på rättens granskning i dokumentet SEC(2009)903. Enligt kommissionen har ramprogrammen alltid haft en god interventionslogik. Vidare menar kommissionen att viktiga aspekter av s.k. SMARTA mål har använts, trots att detta inte var en del av det finansiella regelverket när FP6 beslutades. Kommissionen framhåller även den mer explicita interventionslogik och styrning som gäller för det nuvarande ramprogrammet (FP7).</w:t>
      </w:r>
    </w:p>
    <w:p w:rsidR="00C91A77" w:rsidRPr="00FA614C" w:rsidRDefault="00C91A77">
      <w:pPr>
        <w:pStyle w:val="RKnormal"/>
        <w:tabs>
          <w:tab w:val="clear" w:pos="1843"/>
          <w:tab w:val="left" w:pos="0"/>
        </w:tabs>
        <w:ind w:left="0"/>
      </w:pPr>
      <w:r w:rsidRPr="00FA614C">
        <w:t xml:space="preserve"> </w:t>
      </w:r>
    </w:p>
    <w:p w:rsidR="00C91A77" w:rsidRPr="00FA614C" w:rsidRDefault="00C91A77" w:rsidP="00C91A77">
      <w:pPr>
        <w:pStyle w:val="Rubrik2"/>
      </w:pPr>
      <w:bookmarkStart w:id="77" w:name="_Toc245182024"/>
      <w:r w:rsidRPr="00FA614C">
        <w:t>20. Special report No.12/2009 on the effectiveness of the Commission's projects in the area of Justice and Home Affairs for the western Balkans</w:t>
      </w:r>
      <w:bookmarkEnd w:id="77"/>
    </w:p>
    <w:p w:rsidR="00C91A77" w:rsidRPr="00FA614C" w:rsidRDefault="00C91A77">
      <w:pPr>
        <w:pStyle w:val="RKnormal"/>
        <w:tabs>
          <w:tab w:val="clear" w:pos="1843"/>
          <w:tab w:val="left" w:pos="0"/>
        </w:tabs>
        <w:ind w:left="0"/>
      </w:pPr>
    </w:p>
    <w:p w:rsidR="00C91A77" w:rsidRPr="00FA614C" w:rsidRDefault="00C91A77" w:rsidP="00C91A77">
      <w:r w:rsidRPr="00FA614C">
        <w:t>14846/09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Justitiedepartementet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Beatrice Ask</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 xml:space="preserve">Revisionsrätten presenterade den 22 oktober 2009 den särskilda rapporten nr 12/2009 om </w:t>
      </w:r>
      <w:r w:rsidR="005C27AD" w:rsidRPr="00FA614C">
        <w:t>effektiviteten i k</w:t>
      </w:r>
      <w:r w:rsidRPr="00FA614C">
        <w:t>ommissionens projekt på området för frihet, säkerhet och rättvisa i Västra Balkanländerna.</w:t>
      </w:r>
    </w:p>
    <w:p w:rsidR="00C91A77" w:rsidRPr="00FA614C" w:rsidRDefault="00C91A77" w:rsidP="00C91A77"/>
    <w:p w:rsidR="00C91A77" w:rsidRPr="00FA614C" w:rsidRDefault="00C91A77" w:rsidP="00C91A77">
      <w:r w:rsidRPr="00FA614C">
        <w:t>Coreper föreslås att i enlighet med de regler som fastställs i rådets slutsatser om förbättring av granskningen av de särskilda rapporter som upprättas av revisionsrätten uppmana arbetsgruppen för finansiella jordbruksfrågor (AGRIFIN) att granska rapporten enligt dessa regler.</w:t>
      </w:r>
    </w:p>
    <w:p w:rsidR="00C91A77" w:rsidRPr="00FA614C" w:rsidRDefault="00C91A77" w:rsidP="00C91A77"/>
    <w:p w:rsidR="00C91A77" w:rsidRPr="00FA614C" w:rsidRDefault="00C91A77" w:rsidP="00C91A77">
      <w:r w:rsidRPr="00FA614C">
        <w:t xml:space="preserve">Kommissionen har under perioden 2001-2006 ställt nästan 500 </w:t>
      </w:r>
      <w:r w:rsidR="00681942" w:rsidRPr="00FA614C">
        <w:t>milj.</w:t>
      </w:r>
      <w:r w:rsidRPr="00FA614C">
        <w:t xml:space="preserve"> euro av EU-medel till förfogande för Västra Balkanländerna för att bereda dessa länder möjlighet att förbättra sin kapacitet vad gäller gränskontroll, hantering av migrations- och asylfrågor samt reformer i domstolsväsendet och polisväsendet.</w:t>
      </w:r>
    </w:p>
    <w:p w:rsidR="00C91A77" w:rsidRPr="00FA614C" w:rsidRDefault="00C91A77" w:rsidP="00C91A77"/>
    <w:p w:rsidR="00C91A77" w:rsidRPr="00FA614C" w:rsidRDefault="00C91A77" w:rsidP="00C91A77">
      <w:r w:rsidRPr="00FA614C">
        <w:t xml:space="preserve">Revisionsrätten har granskat både investeringar och projekt rörande institutionsbyggande. Rätten har funnit att kommissionen har </w:t>
      </w:r>
    </w:p>
    <w:p w:rsidR="00C91A77" w:rsidRPr="00FA614C" w:rsidRDefault="00C91A77" w:rsidP="00C91A77">
      <w:r w:rsidRPr="00FA614C">
        <w:t>- prioriterat RIF-området och försökt medverka i viktiga strukturella reformer</w:t>
      </w:r>
    </w:p>
    <w:p w:rsidR="00C91A77" w:rsidRPr="00FA614C" w:rsidRDefault="00C91A77" w:rsidP="00C91A77">
      <w:r w:rsidRPr="00FA614C">
        <w:t>- hanterat projekten effektivt men at det finns vissa brister när det gäller hållbara resultat</w:t>
      </w:r>
    </w:p>
    <w:p w:rsidR="00C91A77" w:rsidRPr="00FA614C" w:rsidRDefault="00C91A77" w:rsidP="00C91A77">
      <w:r w:rsidRPr="00FA614C">
        <w:t>- ibland visat brister i behovsanalys och givarsamordning</w:t>
      </w:r>
    </w:p>
    <w:p w:rsidR="00C91A77" w:rsidRPr="00FA614C" w:rsidRDefault="00C91A77" w:rsidP="00C91A77">
      <w:r w:rsidRPr="00FA614C">
        <w:t>- med sina investeringar på ett relevant och nyttigt sätt bidragit till infrastruktur och institutioner på det nationella planet även om alla projekt inte nått fullt tillfredsställande resultat.</w:t>
      </w:r>
    </w:p>
    <w:p w:rsidR="00C91A77" w:rsidRPr="00FA614C" w:rsidRDefault="00C91A77" w:rsidP="00C91A77">
      <w:r w:rsidRPr="00FA614C">
        <w:t xml:space="preserve">Rätten konstaterar också att </w:t>
      </w:r>
    </w:p>
    <w:p w:rsidR="00C91A77" w:rsidRPr="00FA614C" w:rsidRDefault="00C91A77" w:rsidP="00C91A77">
      <w:r w:rsidRPr="00FA614C">
        <w:t>- det finns bristande resultat i institutionsbyggande projekt och att hållbarheten sannolikt saknas</w:t>
      </w:r>
    </w:p>
    <w:p w:rsidR="00C91A77" w:rsidRPr="00FA614C" w:rsidRDefault="00C91A77" w:rsidP="00C91A77">
      <w:r w:rsidRPr="00FA614C">
        <w:t>- ett tillräckligt lokalt ägarskap i VB-länderna inte finns</w:t>
      </w:r>
    </w:p>
    <w:p w:rsidR="00C91A77" w:rsidRPr="00FA614C" w:rsidRDefault="00C91A77" w:rsidP="00C91A77">
      <w:r w:rsidRPr="00FA614C">
        <w:t>- det inte föreligger någon skillnad beträffande resultat oc</w:t>
      </w:r>
      <w:r w:rsidR="005C27AD" w:rsidRPr="00FA614C">
        <w:t>h framgång i olika projekt som k</w:t>
      </w:r>
      <w:r w:rsidRPr="00FA614C">
        <w:t>ommissionen haft ansvaret för.</w:t>
      </w:r>
    </w:p>
    <w:p w:rsidR="00C91A77" w:rsidRPr="00FA614C" w:rsidRDefault="00C91A77" w:rsidP="00C91A77"/>
    <w:p w:rsidR="00C91A77" w:rsidRPr="00FA614C" w:rsidRDefault="00C91A77" w:rsidP="00C91A77">
      <w:r w:rsidRPr="00FA614C">
        <w:t>Revisionsrätten ger i rapporten utförliga rekommendationer som kan bidra till att göra stödet på RIF-området till VB-länderna mer ändamålsenligt och effektivt.</w:t>
      </w:r>
    </w:p>
    <w:p w:rsidR="00C91A77" w:rsidRPr="00FA614C" w:rsidRDefault="00C91A77" w:rsidP="00C91A77"/>
    <w:p w:rsidR="00C91A77" w:rsidRPr="00FA614C" w:rsidRDefault="00C91A77">
      <w:pPr>
        <w:pStyle w:val="RKnormal"/>
        <w:tabs>
          <w:tab w:val="clear" w:pos="1843"/>
          <w:tab w:val="left" w:pos="0"/>
        </w:tabs>
        <w:ind w:left="0"/>
      </w:pPr>
      <w:r w:rsidRPr="00FA614C">
        <w:t xml:space="preserve"> </w:t>
      </w:r>
    </w:p>
    <w:p w:rsidR="00C91A77" w:rsidRPr="00FA614C" w:rsidRDefault="00C91A77" w:rsidP="00C91A77">
      <w:pPr>
        <w:pStyle w:val="Rubrik2"/>
      </w:pPr>
      <w:bookmarkStart w:id="78" w:name="_Toc245182025"/>
      <w:r w:rsidRPr="00FA614C">
        <w:t>21. Special report No. 14/2009 "Have the management instruments applied to the market in milk and milk products achieved their main objectives?"</w:t>
      </w:r>
      <w:bookmarkEnd w:id="78"/>
    </w:p>
    <w:p w:rsidR="00C91A77" w:rsidRPr="00FA614C" w:rsidRDefault="00C91A77">
      <w:pPr>
        <w:pStyle w:val="RKnormal"/>
        <w:tabs>
          <w:tab w:val="clear" w:pos="1843"/>
          <w:tab w:val="left" w:pos="0"/>
        </w:tabs>
        <w:ind w:left="0"/>
      </w:pPr>
    </w:p>
    <w:p w:rsidR="00C91A77" w:rsidRPr="00FA614C" w:rsidRDefault="00C91A77" w:rsidP="00C91A77">
      <w:r w:rsidRPr="00FA614C">
        <w:t>14760/09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Finansdepartementet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Anders Borg</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Den 19 oktober 2009 mottog rådets generalsekretariat särskild rapport nr 14/2009 Har de viktigaste målen för förvaltningsinstrumenten för marknaden för mjölk och mjölkprodukter uppnåtts? tillsammans med kommissionens svar (dok. 14759/09 FIN 382 AGRI 455 AGRIORG 106 AGRIFIN 92).</w:t>
      </w:r>
    </w:p>
    <w:p w:rsidR="00C91A77" w:rsidRPr="00FA614C" w:rsidRDefault="00C91A77" w:rsidP="00C91A77"/>
    <w:p w:rsidR="00C91A77" w:rsidRPr="00FA614C" w:rsidRDefault="00C91A77" w:rsidP="00C91A77">
      <w:r w:rsidRPr="00FA614C">
        <w:t>I enlighet med de regler som fastställs i rådets slutsatser om förbättring av granskningen av de särskilda rapporter som upprättats av revisionsrätten föreslås Coreper uppmana arbetsgruppen för finansiella jordbruksfrågor att granska rapporten enligt dessa regler.</w:t>
      </w:r>
    </w:p>
    <w:p w:rsidR="00C91A77" w:rsidRPr="00FA614C" w:rsidRDefault="00C91A77" w:rsidP="00C91A77"/>
    <w:p w:rsidR="00C91A77" w:rsidRPr="00FA614C" w:rsidRDefault="00C91A77">
      <w:pPr>
        <w:pStyle w:val="RKnormal"/>
        <w:tabs>
          <w:tab w:val="clear" w:pos="1843"/>
          <w:tab w:val="left" w:pos="0"/>
        </w:tabs>
        <w:ind w:left="0"/>
      </w:pPr>
      <w:r w:rsidRPr="00FA614C">
        <w:t xml:space="preserve"> </w:t>
      </w:r>
    </w:p>
    <w:p w:rsidR="00C91A77" w:rsidRPr="00FA614C" w:rsidRDefault="00C91A77" w:rsidP="00C91A77">
      <w:pPr>
        <w:pStyle w:val="Rubrik2"/>
      </w:pPr>
      <w:bookmarkStart w:id="79" w:name="_Toc245182026"/>
      <w:r w:rsidRPr="00FA614C">
        <w:t>22. a) Proposal for a Decision of the European Parliament and of the Council on the mobilisation of the European Globalisation Adjustment Fundb) Proposal for transfer of appropriations No. DEC32/2009 within Section III - Commission - of the general budget for 2009 (NCE)</w:t>
      </w:r>
      <w:bookmarkEnd w:id="79"/>
    </w:p>
    <w:p w:rsidR="00C91A77" w:rsidRPr="00FA614C" w:rsidRDefault="00C91A77">
      <w:pPr>
        <w:pStyle w:val="RKnormal"/>
        <w:tabs>
          <w:tab w:val="clear" w:pos="1843"/>
          <w:tab w:val="left" w:pos="0"/>
        </w:tabs>
        <w:ind w:left="0"/>
      </w:pPr>
    </w:p>
    <w:p w:rsidR="00C91A77" w:rsidRPr="00FA614C" w:rsidRDefault="00C91A77" w:rsidP="00C91A77">
      <w:r w:rsidRPr="00FA614C">
        <w:t>13876/09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Finansdepartementet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Anders Borg</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 xml:space="preserve">DEC32/2009 är föranledd av ansökningar om medel från globaliseringsfonden från Belgien och från Irland. Ansökningarna rör </w:t>
      </w:r>
      <w:r w:rsidR="005C27AD" w:rsidRPr="00FA614C">
        <w:t>m</w:t>
      </w:r>
      <w:r w:rsidRPr="00FA614C">
        <w:t>edel till stöd för människor som mist jobbet inom textil- och datatillverkningsindustrier. Ansökan om mobilisering av globaliseringsfonden och överföringen antogs enhälligt av rådets budgetkommitté den 7 oktober.</w:t>
      </w:r>
    </w:p>
    <w:p w:rsidR="00C91A77" w:rsidRPr="00FA614C" w:rsidRDefault="00C91A77">
      <w:pPr>
        <w:pStyle w:val="RKnormal"/>
        <w:tabs>
          <w:tab w:val="clear" w:pos="1843"/>
          <w:tab w:val="left" w:pos="0"/>
        </w:tabs>
        <w:ind w:left="0"/>
      </w:pPr>
      <w:r w:rsidRPr="00FA614C">
        <w:t xml:space="preserve"> </w:t>
      </w:r>
    </w:p>
    <w:p w:rsidR="00C91A77" w:rsidRPr="00FA614C" w:rsidRDefault="00C91A77" w:rsidP="00C91A77">
      <w:pPr>
        <w:pStyle w:val="Rubrik2"/>
      </w:pPr>
      <w:bookmarkStart w:id="80" w:name="_Toc245182027"/>
      <w:r w:rsidRPr="00FA614C">
        <w:t>23. Proposal for transfer of appropriations No. DEC35/2009 within Section III - Commission - of the general budget for 2009 (CE/NCE)</w:t>
      </w:r>
      <w:bookmarkEnd w:id="80"/>
    </w:p>
    <w:p w:rsidR="00C91A77" w:rsidRPr="00FA614C" w:rsidRDefault="00C91A77">
      <w:pPr>
        <w:pStyle w:val="RKnormal"/>
        <w:tabs>
          <w:tab w:val="clear" w:pos="1843"/>
          <w:tab w:val="left" w:pos="0"/>
        </w:tabs>
        <w:ind w:left="0"/>
      </w:pPr>
    </w:p>
    <w:p w:rsidR="00C91A77" w:rsidRPr="00FA614C" w:rsidRDefault="00C91A77" w:rsidP="00C91A77">
      <w:r w:rsidRPr="00FA614C">
        <w:t>14584/09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Finansdepartementet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Anders Borg</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Överföring DEC35/2009 avser ytterligare medel till deltagande i världsutställningen i Shanghai maj – oktober 2010. Överföringen antogs med kvalificerad majoritet i budgetkommittén den 26 oktober.</w:t>
      </w:r>
    </w:p>
    <w:p w:rsidR="00C91A77" w:rsidRPr="00FA614C" w:rsidRDefault="00C91A77">
      <w:pPr>
        <w:pStyle w:val="RKnormal"/>
        <w:tabs>
          <w:tab w:val="clear" w:pos="1843"/>
          <w:tab w:val="left" w:pos="0"/>
        </w:tabs>
        <w:ind w:left="0"/>
      </w:pPr>
      <w:r w:rsidRPr="00FA614C">
        <w:t xml:space="preserve"> </w:t>
      </w:r>
    </w:p>
    <w:p w:rsidR="00C91A77" w:rsidRPr="00FA614C" w:rsidRDefault="00C91A77" w:rsidP="00C91A77">
      <w:pPr>
        <w:pStyle w:val="Rubrik2"/>
      </w:pPr>
      <w:bookmarkStart w:id="81" w:name="_Toc245182028"/>
      <w:r w:rsidRPr="00FA614C">
        <w:t>24. Proposal for transfer of appropriations No. DEC36/2009 within Section III - Commission - of the general budget for 2009 (CE/NCE)</w:t>
      </w:r>
      <w:bookmarkEnd w:id="81"/>
    </w:p>
    <w:p w:rsidR="00C91A77" w:rsidRPr="00FA614C" w:rsidRDefault="00C91A77">
      <w:pPr>
        <w:pStyle w:val="RKnormal"/>
        <w:tabs>
          <w:tab w:val="clear" w:pos="1843"/>
          <w:tab w:val="left" w:pos="0"/>
        </w:tabs>
        <w:ind w:left="0"/>
      </w:pPr>
    </w:p>
    <w:p w:rsidR="00C91A77" w:rsidRPr="00FA614C" w:rsidRDefault="00C91A77" w:rsidP="00C91A77">
      <w:r w:rsidRPr="00FA614C">
        <w:t>14473/09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Finansdepartementet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Anders Borg</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Överföring DEC36/2009 innebär en förstärkning av anslaget dels till de europeiska utvecklingsdagarna i Stockholm i slutet av oktober dels till initiativet ökad effektivitet i biståndet. Överföringen antogs enhälligt av rådets budgetkommitté den 26 oktober.</w:t>
      </w:r>
    </w:p>
    <w:p w:rsidR="00C91A77" w:rsidRPr="00FA614C" w:rsidRDefault="00C91A77">
      <w:pPr>
        <w:pStyle w:val="RKnormal"/>
        <w:tabs>
          <w:tab w:val="clear" w:pos="1843"/>
          <w:tab w:val="left" w:pos="0"/>
        </w:tabs>
        <w:ind w:left="0"/>
      </w:pPr>
      <w:r w:rsidRPr="00FA614C">
        <w:t xml:space="preserve"> </w:t>
      </w:r>
    </w:p>
    <w:p w:rsidR="00C91A77" w:rsidRPr="00FA614C" w:rsidRDefault="00C91A77" w:rsidP="00C91A77">
      <w:pPr>
        <w:pStyle w:val="Rubrik2"/>
      </w:pPr>
      <w:bookmarkStart w:id="82" w:name="_Toc245182029"/>
      <w:r w:rsidRPr="00FA614C">
        <w:t>25. Proposal for transfer of appropriations No. DEC40/2009 within Section III - Commission - of the general budget for 2009 (NCE)</w:t>
      </w:r>
      <w:bookmarkEnd w:id="82"/>
    </w:p>
    <w:p w:rsidR="00C91A77" w:rsidRPr="00FA614C" w:rsidRDefault="00C91A77">
      <w:pPr>
        <w:pStyle w:val="RKnormal"/>
        <w:tabs>
          <w:tab w:val="clear" w:pos="1843"/>
          <w:tab w:val="left" w:pos="0"/>
        </w:tabs>
        <w:ind w:left="0"/>
      </w:pPr>
    </w:p>
    <w:p w:rsidR="00C91A77" w:rsidRPr="00FA614C" w:rsidRDefault="00C91A77" w:rsidP="00C91A77">
      <w:r w:rsidRPr="00FA614C">
        <w:t>14949/09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Finansdepartementet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Anders Borg</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Överföring DEC40/2</w:t>
      </w:r>
      <w:r w:rsidR="005C27AD" w:rsidRPr="00FA614C">
        <w:t>009 innebär att en reserv som Europaparlamentet</w:t>
      </w:r>
      <w:r w:rsidRPr="00FA614C">
        <w:t xml:space="preserve"> beslutat om delvis lyfts och 2 </w:t>
      </w:r>
      <w:r w:rsidR="00C4644F" w:rsidRPr="00FA614C">
        <w:t>milj. euro</w:t>
      </w:r>
      <w:r w:rsidRPr="00FA614C">
        <w:t xml:space="preserve"> förs över till myndighetens anslag för att användas till rekrytering. Överföringen antogs enhälligt av rådets budgetkommitté den 26 oktober.</w:t>
      </w:r>
    </w:p>
    <w:p w:rsidR="00C91A77" w:rsidRPr="00FA614C" w:rsidRDefault="00C91A77">
      <w:pPr>
        <w:pStyle w:val="RKnormal"/>
        <w:tabs>
          <w:tab w:val="clear" w:pos="1843"/>
          <w:tab w:val="left" w:pos="0"/>
        </w:tabs>
        <w:ind w:left="0"/>
      </w:pPr>
      <w:r w:rsidRPr="00FA614C">
        <w:t xml:space="preserve"> </w:t>
      </w:r>
    </w:p>
    <w:p w:rsidR="00C91A77" w:rsidRPr="00FA614C" w:rsidRDefault="00C91A77" w:rsidP="00C91A77">
      <w:pPr>
        <w:pStyle w:val="Rubrik2"/>
      </w:pPr>
      <w:bookmarkStart w:id="83" w:name="_Toc245182030"/>
      <w:r w:rsidRPr="00FA614C">
        <w:t>26. Proposal for transfer of appropriations No. DEC41/2009 within Section III - Commission - of the general budget for 2009 (NCE)</w:t>
      </w:r>
      <w:bookmarkEnd w:id="83"/>
    </w:p>
    <w:p w:rsidR="00C91A77" w:rsidRPr="00FA614C" w:rsidRDefault="00C91A77">
      <w:pPr>
        <w:pStyle w:val="RKnormal"/>
        <w:tabs>
          <w:tab w:val="clear" w:pos="1843"/>
          <w:tab w:val="left" w:pos="0"/>
        </w:tabs>
        <w:ind w:left="0"/>
      </w:pPr>
    </w:p>
    <w:p w:rsidR="00C91A77" w:rsidRPr="00FA614C" w:rsidRDefault="00C91A77" w:rsidP="00C91A77">
      <w:r w:rsidRPr="00FA614C">
        <w:t>14950/09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Finansdepartementet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Anders Borg</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 xml:space="preserve">Överföring DEC41/2009 innebär en förstärkning av gemenskapens åtgärder på folkhälsoområdet med 4 </w:t>
      </w:r>
      <w:r w:rsidR="00C4644F" w:rsidRPr="00FA614C">
        <w:t>milj. euro</w:t>
      </w:r>
      <w:r w:rsidRPr="00FA614C">
        <w:t xml:space="preserve"> som en följd av svininfluensan. Överföringen antogs enhälligt av rådets budgetkommitté den 26 oktober.</w:t>
      </w:r>
    </w:p>
    <w:p w:rsidR="00C91A77" w:rsidRPr="00FA614C" w:rsidRDefault="00C91A77">
      <w:pPr>
        <w:pStyle w:val="RKnormal"/>
        <w:tabs>
          <w:tab w:val="clear" w:pos="1843"/>
          <w:tab w:val="left" w:pos="0"/>
        </w:tabs>
        <w:ind w:left="0"/>
      </w:pPr>
      <w:r w:rsidRPr="00FA614C">
        <w:t xml:space="preserve"> </w:t>
      </w:r>
    </w:p>
    <w:p w:rsidR="00C91A77" w:rsidRPr="00FA614C" w:rsidRDefault="00C91A77" w:rsidP="00C91A77">
      <w:pPr>
        <w:pStyle w:val="Rubrik2"/>
      </w:pPr>
      <w:bookmarkStart w:id="84" w:name="_Toc245182031"/>
      <w:r w:rsidRPr="00FA614C">
        <w:t>27. Proposal for transfer of appropriations No. DEC42/2009 within Section III - Commission - of the general budget for 2009 (NCE)</w:t>
      </w:r>
      <w:bookmarkEnd w:id="84"/>
    </w:p>
    <w:p w:rsidR="00C91A77" w:rsidRPr="00FA614C" w:rsidRDefault="00C91A77">
      <w:pPr>
        <w:pStyle w:val="RKnormal"/>
        <w:tabs>
          <w:tab w:val="clear" w:pos="1843"/>
          <w:tab w:val="left" w:pos="0"/>
        </w:tabs>
        <w:ind w:left="0"/>
      </w:pPr>
    </w:p>
    <w:p w:rsidR="00C91A77" w:rsidRPr="00FA614C" w:rsidRDefault="00C91A77" w:rsidP="00C91A77">
      <w:r w:rsidRPr="00FA614C">
        <w:t>14666/09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Finansdepartementet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Anders Borg</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 xml:space="preserve">Överföring DEC42/2009 innebär att 17,4 </w:t>
      </w:r>
      <w:r w:rsidR="00C4644F" w:rsidRPr="00FA614C">
        <w:t>milj. euro</w:t>
      </w:r>
      <w:r w:rsidRPr="00FA614C">
        <w:t xml:space="preserve"> förs från anslaget Makroekonomiskt stöd till anslaget Tryggad livsmedelsförsörjning. Medlen ska användas till budgetstöd i Ghana. Överföringen antogs enhälligt av rådets budgetkommitté den 26 oktober.</w:t>
      </w:r>
    </w:p>
    <w:p w:rsidR="00C91A77" w:rsidRPr="00FA614C" w:rsidRDefault="00C91A77">
      <w:pPr>
        <w:pStyle w:val="RKnormal"/>
        <w:tabs>
          <w:tab w:val="clear" w:pos="1843"/>
          <w:tab w:val="left" w:pos="0"/>
        </w:tabs>
        <w:ind w:left="0"/>
      </w:pPr>
      <w:r w:rsidRPr="00FA614C">
        <w:t xml:space="preserve"> </w:t>
      </w:r>
    </w:p>
    <w:p w:rsidR="00C91A77" w:rsidRPr="00FA614C" w:rsidRDefault="00C91A77" w:rsidP="00C91A77">
      <w:pPr>
        <w:pStyle w:val="Rubrik2"/>
      </w:pPr>
      <w:bookmarkStart w:id="85" w:name="_Toc245182032"/>
      <w:r w:rsidRPr="00FA614C">
        <w:t>28. Proposal for transfer of appropriations No. DEC27/2009 within Section III - Commission - of the general budget for 2009 (Global transfer) (NCE)</w:t>
      </w:r>
      <w:bookmarkEnd w:id="85"/>
    </w:p>
    <w:p w:rsidR="00C91A77" w:rsidRPr="00FA614C" w:rsidRDefault="00C91A77">
      <w:pPr>
        <w:pStyle w:val="RKnormal"/>
        <w:tabs>
          <w:tab w:val="clear" w:pos="1843"/>
          <w:tab w:val="left" w:pos="0"/>
        </w:tabs>
        <w:ind w:left="0"/>
      </w:pPr>
    </w:p>
    <w:p w:rsidR="00C91A77" w:rsidRPr="00FA614C" w:rsidRDefault="00C91A77" w:rsidP="00C91A77">
      <w:r w:rsidRPr="00FA614C">
        <w:t>14393/09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Finansdepartementet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Anders Borg</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Överföring DEC27/2009 är den årligen återkommande samlade överföringen. DEC27 omfattade totalt 487 miljoner euro i betalningar. De största nettoförstärkningen, 56.9 miljoner euro, skedde av rubrik 3A Frihet, Säkerhet och Rättvisa där External Borders Fund och European Refugee Fund fick mer resurser. Överföringen antogs enhälligt av rådets budgetkommitté den 28 oktober.</w:t>
      </w:r>
    </w:p>
    <w:p w:rsidR="00C91A77" w:rsidRPr="00FA614C" w:rsidRDefault="00C91A77">
      <w:pPr>
        <w:pStyle w:val="RKnormal"/>
        <w:tabs>
          <w:tab w:val="clear" w:pos="1843"/>
          <w:tab w:val="left" w:pos="0"/>
        </w:tabs>
        <w:ind w:left="0"/>
      </w:pPr>
      <w:r w:rsidRPr="00FA614C">
        <w:t xml:space="preserve"> </w:t>
      </w:r>
    </w:p>
    <w:p w:rsidR="00C91A77" w:rsidRPr="00FA614C" w:rsidRDefault="00C91A77" w:rsidP="00C91A77">
      <w:pPr>
        <w:pStyle w:val="Rubrik2"/>
      </w:pPr>
      <w:bookmarkStart w:id="86" w:name="_Toc245182033"/>
      <w:r w:rsidRPr="00FA614C">
        <w:t>29. Proposal for transfer of appropriations No. DEC37/2009 within Section III - Commission - of the general budget for 2009 (NCE)</w:t>
      </w:r>
      <w:bookmarkEnd w:id="86"/>
    </w:p>
    <w:p w:rsidR="00C91A77" w:rsidRPr="00FA614C" w:rsidRDefault="00C91A77">
      <w:pPr>
        <w:pStyle w:val="RKnormal"/>
        <w:tabs>
          <w:tab w:val="clear" w:pos="1843"/>
          <w:tab w:val="left" w:pos="0"/>
        </w:tabs>
        <w:ind w:left="0"/>
      </w:pPr>
    </w:p>
    <w:p w:rsidR="00C91A77" w:rsidRPr="00FA614C" w:rsidRDefault="00C91A77" w:rsidP="00C91A77">
      <w:r w:rsidRPr="00FA614C">
        <w:t>14665/09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Finansdepartementet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Anders Borg</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 xml:space="preserve">Överföring DEC37/2009 innebär att anslaget Stöd till återanpassning och återuppbyggnad i Afghanistan stärks med 5 </w:t>
      </w:r>
      <w:r w:rsidR="00C4644F" w:rsidRPr="00FA614C">
        <w:t>milj. euro</w:t>
      </w:r>
      <w:r w:rsidRPr="00FA614C">
        <w:t>, medlen tas från anslaget Krishantering och globala säkerhetshot/räddningsinsatser i tredjeländer. Överföringen antogs enhälligt av rådets budgetkommitté den 28 oktober.</w:t>
      </w:r>
    </w:p>
    <w:p w:rsidR="00C91A77" w:rsidRPr="00FA614C" w:rsidRDefault="00C91A77">
      <w:pPr>
        <w:pStyle w:val="RKnormal"/>
        <w:tabs>
          <w:tab w:val="clear" w:pos="1843"/>
          <w:tab w:val="left" w:pos="0"/>
        </w:tabs>
        <w:ind w:left="0"/>
      </w:pPr>
      <w:r w:rsidRPr="00FA614C">
        <w:t xml:space="preserve"> </w:t>
      </w:r>
    </w:p>
    <w:p w:rsidR="00C91A77" w:rsidRPr="00FA614C" w:rsidRDefault="00C91A77" w:rsidP="00C91A77">
      <w:pPr>
        <w:pStyle w:val="Rubrik2"/>
      </w:pPr>
      <w:bookmarkStart w:id="87" w:name="_Toc245182034"/>
      <w:r w:rsidRPr="00FA614C">
        <w:t>30. Proposal for transfer of appropriations No.DEC43/2009 within Section III - Commission - of the general budget for 2009 (NCE)</w:t>
      </w:r>
      <w:bookmarkEnd w:id="87"/>
    </w:p>
    <w:p w:rsidR="00C91A77" w:rsidRPr="00FA614C" w:rsidRDefault="00C91A77">
      <w:pPr>
        <w:pStyle w:val="RKnormal"/>
        <w:tabs>
          <w:tab w:val="clear" w:pos="1843"/>
          <w:tab w:val="left" w:pos="0"/>
        </w:tabs>
        <w:ind w:left="0"/>
      </w:pPr>
    </w:p>
    <w:p w:rsidR="00C91A77" w:rsidRPr="00FA614C" w:rsidRDefault="00C91A77" w:rsidP="00C91A77">
      <w:r w:rsidRPr="00FA614C">
        <w:t>14976/09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Finansdepartementet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Anders Borg</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Överföring DEC43/2009 innebär att ett överskott på det administrativa anslaget förs över till ett verksamhetsanslag så att ett ytterligare projekt kan finansieras inom ramen för återhämtningsplanen. Överföringen antogs med kvalificerad majoritet av rådets budgetkommitté den 28 oktober.</w:t>
      </w:r>
    </w:p>
    <w:p w:rsidR="00C91A77" w:rsidRPr="00FA614C" w:rsidRDefault="00C91A77">
      <w:pPr>
        <w:pStyle w:val="RKnormal"/>
        <w:tabs>
          <w:tab w:val="clear" w:pos="1843"/>
          <w:tab w:val="left" w:pos="0"/>
        </w:tabs>
        <w:ind w:left="0"/>
      </w:pPr>
      <w:r w:rsidRPr="00FA614C">
        <w:t xml:space="preserve"> </w:t>
      </w:r>
    </w:p>
    <w:p w:rsidR="00C91A77" w:rsidRPr="00FA614C" w:rsidRDefault="00C91A77" w:rsidP="00C91A77">
      <w:pPr>
        <w:pStyle w:val="Rubrik2"/>
      </w:pPr>
      <w:bookmarkStart w:id="88" w:name="_Toc245182035"/>
      <w:r w:rsidRPr="00FA614C">
        <w:t>31. Proposal for transfer of appropriations No. DEC45/2009 within Section III - Commission - of the general budget for 2009 (NCE)</w:t>
      </w:r>
      <w:bookmarkEnd w:id="88"/>
    </w:p>
    <w:p w:rsidR="00C91A77" w:rsidRPr="00FA614C" w:rsidRDefault="00C91A77">
      <w:pPr>
        <w:pStyle w:val="RKnormal"/>
        <w:tabs>
          <w:tab w:val="clear" w:pos="1843"/>
          <w:tab w:val="left" w:pos="0"/>
        </w:tabs>
        <w:ind w:left="0"/>
      </w:pPr>
    </w:p>
    <w:p w:rsidR="00C91A77" w:rsidRPr="00FA614C" w:rsidRDefault="00C91A77" w:rsidP="00C91A77">
      <w:r w:rsidRPr="00FA614C">
        <w:t>14978/09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Finansdepartementet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Anders Borg</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Överföring DEC45/2009 innebär att ett överskott på det administrativa anslaget förs över till ett verksamhetsanslag. Överföringen antogs med kvalificerad majoritet av rådets budgetkommitté den 28 oktober.</w:t>
      </w:r>
    </w:p>
    <w:p w:rsidR="00C91A77" w:rsidRPr="00FA614C" w:rsidRDefault="00C91A77">
      <w:pPr>
        <w:pStyle w:val="RKnormal"/>
        <w:tabs>
          <w:tab w:val="clear" w:pos="1843"/>
          <w:tab w:val="left" w:pos="0"/>
        </w:tabs>
        <w:ind w:left="0"/>
      </w:pPr>
      <w:r w:rsidRPr="00FA614C">
        <w:t xml:space="preserve"> </w:t>
      </w:r>
    </w:p>
    <w:p w:rsidR="00C91A77" w:rsidRPr="00FA614C" w:rsidRDefault="00C91A77" w:rsidP="00C91A77">
      <w:pPr>
        <w:pStyle w:val="Rubrik2"/>
      </w:pPr>
      <w:bookmarkStart w:id="89" w:name="_Toc245182036"/>
      <w:r w:rsidRPr="00FA614C">
        <w:t>32. Proposal for transfer of appropriations No. DEC51/2009 within Section III - Commission - of the general budget for 2009 (NCE)</w:t>
      </w:r>
      <w:bookmarkEnd w:id="89"/>
    </w:p>
    <w:p w:rsidR="00C91A77" w:rsidRPr="00FA614C" w:rsidRDefault="00C91A77">
      <w:pPr>
        <w:pStyle w:val="RKnormal"/>
        <w:tabs>
          <w:tab w:val="clear" w:pos="1843"/>
          <w:tab w:val="left" w:pos="0"/>
        </w:tabs>
        <w:ind w:left="0"/>
      </w:pPr>
    </w:p>
    <w:p w:rsidR="00C91A77" w:rsidRPr="00FA614C" w:rsidRDefault="00C91A77" w:rsidP="00C91A77">
      <w:r w:rsidRPr="00FA614C">
        <w:t>15076/09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Finansdepartementet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Anders Borg</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 xml:space="preserve">Överföring DEC51/2009 innebär att Gusp-budgeten förstärks med 26,2 </w:t>
      </w:r>
      <w:r w:rsidR="00C4644F" w:rsidRPr="00FA614C">
        <w:t>milj. euro</w:t>
      </w:r>
      <w:r w:rsidRPr="00FA614C">
        <w:t xml:space="preserve"> till Kosovo och 3,8 </w:t>
      </w:r>
      <w:r w:rsidR="00C4644F" w:rsidRPr="00FA614C">
        <w:t>milj. euro</w:t>
      </w:r>
      <w:r w:rsidRPr="00FA614C">
        <w:t xml:space="preserve"> till Georgien. Överföringen antogs enhälligt av rådets budgetkommitté den 28 oktober.</w:t>
      </w:r>
    </w:p>
    <w:p w:rsidR="00C91A77" w:rsidRPr="00FA614C" w:rsidRDefault="00C91A77">
      <w:pPr>
        <w:pStyle w:val="RKnormal"/>
        <w:tabs>
          <w:tab w:val="clear" w:pos="1843"/>
          <w:tab w:val="left" w:pos="0"/>
        </w:tabs>
        <w:ind w:left="0"/>
      </w:pPr>
      <w:r w:rsidRPr="00FA614C">
        <w:t xml:space="preserve"> </w:t>
      </w:r>
    </w:p>
    <w:p w:rsidR="00C91A77" w:rsidRPr="00FA614C" w:rsidRDefault="00C91A77" w:rsidP="00C91A77">
      <w:pPr>
        <w:pStyle w:val="Rubrik2"/>
      </w:pPr>
      <w:bookmarkStart w:id="90" w:name="_Toc245182037"/>
      <w:r w:rsidRPr="00FA614C">
        <w:t>33. Case before the Court of First Instance of the European Communities- Case T-359/09 (Ivan Jurasinovic against Council of the European Union)</w:t>
      </w:r>
      <w:bookmarkEnd w:id="90"/>
    </w:p>
    <w:p w:rsidR="00C91A77" w:rsidRPr="00FA614C" w:rsidRDefault="00C91A77">
      <w:pPr>
        <w:pStyle w:val="RKnormal"/>
        <w:tabs>
          <w:tab w:val="clear" w:pos="1843"/>
          <w:tab w:val="left" w:pos="0"/>
        </w:tabs>
        <w:ind w:left="0"/>
      </w:pPr>
    </w:p>
    <w:p w:rsidR="00C91A77" w:rsidRPr="00FA614C" w:rsidRDefault="00C91A77" w:rsidP="00C91A77">
      <w:r w:rsidRPr="00FA614C">
        <w:t>15276/09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Utrikesdepartementet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Cecilia Malmström</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 xml:space="preserve">Information från rådets rättstjänst om ett mål vid </w:t>
      </w:r>
      <w:r w:rsidR="00076AE2" w:rsidRPr="00FA614C">
        <w:t>förstainstansrätten</w:t>
      </w:r>
      <w:r w:rsidRPr="00FA614C">
        <w:t xml:space="preserve"> (mål T-359/09, Juraðinoviã mot rådet) där en enskild person har väckt talan om ogiltigförklaring av ett beslut från rådet. Sökanden hade begärt tillgång till handlingar som härrörde från en tjänsteresa till regionen Knin i Kroatien där EU vistats som observatör. Rådet avslog begäran och hänvisade till undantagen i EU:s öppenhetsförordning, förordning EG nr 1049/2001. Sökanden anför att rådet tillämpat undantagen i öppenhetsförordningen felaktigt och begär därför att förstainstansrätten ska ogiltigförklara rådets beslut. Rådet har två månader på sig att lämna in ett svaromål till förstainstansrätten.</w:t>
      </w:r>
    </w:p>
    <w:p w:rsidR="00C91A77" w:rsidRPr="00FA614C" w:rsidRDefault="00C91A77">
      <w:pPr>
        <w:pStyle w:val="RKnormal"/>
        <w:tabs>
          <w:tab w:val="clear" w:pos="1843"/>
          <w:tab w:val="left" w:pos="0"/>
        </w:tabs>
        <w:ind w:left="0"/>
      </w:pPr>
      <w:r w:rsidRPr="00FA614C">
        <w:t xml:space="preserve"> </w:t>
      </w:r>
    </w:p>
    <w:p w:rsidR="00C91A77" w:rsidRPr="00FA614C" w:rsidRDefault="00C91A77" w:rsidP="00C91A77">
      <w:pPr>
        <w:pStyle w:val="Rubrik2"/>
      </w:pPr>
      <w:bookmarkStart w:id="91" w:name="_Toc245182038"/>
      <w:r w:rsidRPr="00FA614C">
        <w:t>34. Draft Decision of the EEA Joint Committee amending Protocol 31 to the EEA Agreement, on cooperation in specific fields outside the four freedoms- Community position</w:t>
      </w:r>
      <w:bookmarkEnd w:id="91"/>
    </w:p>
    <w:p w:rsidR="00C91A77" w:rsidRPr="00FA614C" w:rsidRDefault="00C91A77">
      <w:pPr>
        <w:pStyle w:val="RKnormal"/>
        <w:tabs>
          <w:tab w:val="clear" w:pos="1843"/>
          <w:tab w:val="left" w:pos="0"/>
        </w:tabs>
        <w:ind w:left="0"/>
      </w:pPr>
    </w:p>
    <w:p w:rsidR="00C91A77" w:rsidRPr="00FA614C" w:rsidRDefault="00C91A77" w:rsidP="00C91A77">
      <w:r w:rsidRPr="00FA614C">
        <w:t>14478/09, 15992/09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Näringsdepartementet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Åsa Torstensson</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5C27AD" w:rsidP="00C91A77">
      <w:r w:rsidRPr="00FA614C">
        <w:t>Genom G</w:t>
      </w:r>
      <w:r w:rsidR="00076AE2" w:rsidRPr="00FA614C">
        <w:t xml:space="preserve">emensamma EES-kommitténs beslut ändras protokoll 31 till EES-avtalet på så sätt att de avtalsslutande parterna åläggs att främja lämpligt samarbete mellan behöriga organisationer, institutioner eller andra organ inom sina respektive territorier, i syfte att främja Efta-staternas deltagande i SESAR och det gemensamma företaget SESAR på samma villkor som EU:s medlemsstater. </w:t>
      </w:r>
      <w:r w:rsidR="00C91A77" w:rsidRPr="00FA614C">
        <w:t xml:space="preserve">Efta-staterna deltar därmed, med undantag för rösträtten, fullt ut i kommittén för ett gemensamt europeiskt luftrum, som bistår EU-kommissionen med förvaltning, utveckling och genomförande av verksamheten i det gemensamma företaget SESAR. </w:t>
      </w:r>
    </w:p>
    <w:p w:rsidR="00C91A77" w:rsidRPr="00FA614C" w:rsidRDefault="00C91A77" w:rsidP="00C91A77"/>
    <w:p w:rsidR="00C91A77" w:rsidRPr="00FA614C" w:rsidRDefault="00C91A77" w:rsidP="00C91A77">
      <w:r w:rsidRPr="00FA614C">
        <w:t xml:space="preserve">Efta-staterna deltar redan i den offentliga finansieringen av SESAR, ett projekt för modernisering av den europeiska flygledningstjänsten, genom sjunde ramprogrammet för forskning och utveckling. </w:t>
      </w:r>
    </w:p>
    <w:p w:rsidR="00C91A77" w:rsidRPr="00FA614C" w:rsidRDefault="00C91A77" w:rsidP="00C91A77"/>
    <w:p w:rsidR="00C91A77" w:rsidRPr="00FA614C" w:rsidRDefault="00C91A77">
      <w:pPr>
        <w:pStyle w:val="RKnormal"/>
        <w:tabs>
          <w:tab w:val="clear" w:pos="1843"/>
          <w:tab w:val="left" w:pos="0"/>
        </w:tabs>
        <w:ind w:left="0"/>
      </w:pPr>
      <w:r w:rsidRPr="00FA614C">
        <w:t xml:space="preserve"> </w:t>
      </w:r>
    </w:p>
    <w:p w:rsidR="00C91A77" w:rsidRPr="00FA614C" w:rsidRDefault="00C91A77" w:rsidP="00C91A77">
      <w:pPr>
        <w:pStyle w:val="Rubrik2"/>
      </w:pPr>
      <w:bookmarkStart w:id="92" w:name="_Toc245182039"/>
      <w:r w:rsidRPr="00FA614C">
        <w:t>35. European Economic Area- Establishment of the European Union's common position for the 32nd meeting of the EEA Council</w:t>
      </w:r>
      <w:bookmarkEnd w:id="92"/>
    </w:p>
    <w:p w:rsidR="00C91A77" w:rsidRPr="00FA614C" w:rsidRDefault="00C91A77">
      <w:pPr>
        <w:pStyle w:val="RKnormal"/>
        <w:tabs>
          <w:tab w:val="clear" w:pos="1843"/>
          <w:tab w:val="left" w:pos="0"/>
        </w:tabs>
        <w:ind w:left="0"/>
      </w:pPr>
    </w:p>
    <w:p w:rsidR="00C91A77" w:rsidRPr="00FA614C" w:rsidRDefault="00C91A77" w:rsidP="00C91A77">
      <w:r w:rsidRPr="00FA614C">
        <w:t>15161/09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Utrikesdepartementet</w:t>
      </w:r>
    </w:p>
    <w:p w:rsidR="00C91A77" w:rsidRPr="00FA614C" w:rsidRDefault="00C91A77">
      <w:pPr>
        <w:pStyle w:val="RKnormal"/>
        <w:tabs>
          <w:tab w:val="clear" w:pos="1843"/>
          <w:tab w:val="left" w:pos="0"/>
        </w:tabs>
        <w:ind w:left="0"/>
      </w:pPr>
    </w:p>
    <w:p w:rsidR="00C91A77" w:rsidRPr="00FA614C" w:rsidRDefault="00076AE2" w:rsidP="00C91A77">
      <w:r w:rsidRPr="00FA614C">
        <w:t>Ansvarigt statsråd: C</w:t>
      </w:r>
      <w:r w:rsidR="00C91A77" w:rsidRPr="00FA614C">
        <w:t>arl Bildt</w:t>
      </w:r>
    </w:p>
    <w:p w:rsidR="00C91A77" w:rsidRPr="00FA614C" w:rsidRDefault="00C91A77">
      <w:pPr>
        <w:pStyle w:val="RKnormal"/>
        <w:tabs>
          <w:tab w:val="clear" w:pos="1843"/>
          <w:tab w:val="left" w:pos="0"/>
        </w:tabs>
        <w:ind w:left="0"/>
      </w:pPr>
    </w:p>
    <w:p w:rsidR="00C91A77" w:rsidRPr="00FA614C" w:rsidRDefault="00C91A77" w:rsidP="00C91A77">
      <w:r w:rsidRPr="00FA614C">
        <w:t>Tidigare behandling vid rådsmöte: Allmänna frågor och yttre förbindelser</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681942" w:rsidP="00C91A77">
      <w:r w:rsidRPr="00FA614C">
        <w:t xml:space="preserve">Europeiska ekonomiska samarbetsområdet, </w:t>
      </w:r>
      <w:r w:rsidR="00C91A77" w:rsidRPr="00FA614C">
        <w:t>EES-rådet</w:t>
      </w:r>
      <w:r w:rsidRPr="00FA614C">
        <w:t>,</w:t>
      </w:r>
      <w:r w:rsidR="00C91A77" w:rsidRPr="00FA614C">
        <w:t xml:space="preserve"> (EU samt IS,</w:t>
      </w:r>
      <w:r w:rsidR="000D4C9B" w:rsidRPr="00FA614C">
        <w:t xml:space="preserve"> </w:t>
      </w:r>
      <w:r w:rsidR="00C91A77" w:rsidRPr="00FA614C">
        <w:t>LI och NO) möts 16 november. Rådsmötet föregås av en politisk dialog. Vid rådsmötet förväntas en diskussion ske om utvecklingen i EES. Slutsatser om samarbetet i EES antas utan diskussion.</w:t>
      </w:r>
    </w:p>
    <w:p w:rsidR="00C91A77" w:rsidRPr="00FA614C" w:rsidRDefault="00C91A77">
      <w:pPr>
        <w:pStyle w:val="RKnormal"/>
        <w:tabs>
          <w:tab w:val="clear" w:pos="1843"/>
          <w:tab w:val="left" w:pos="0"/>
        </w:tabs>
        <w:ind w:left="0"/>
      </w:pPr>
      <w:r w:rsidRPr="00FA614C">
        <w:t xml:space="preserve"> </w:t>
      </w:r>
    </w:p>
    <w:p w:rsidR="00C91A77" w:rsidRPr="00FA614C" w:rsidRDefault="00C91A77" w:rsidP="00C91A77">
      <w:pPr>
        <w:pStyle w:val="Rubrik2"/>
      </w:pPr>
      <w:bookmarkStart w:id="93" w:name="_Toc245182040"/>
      <w:r w:rsidRPr="00FA614C">
        <w:t>36. Proposal for a Council Decision on the conclusion of an Agreement in the form of a Protocol establishing a dispute settlement mechanism applicable to disputes under the trade provisions of the Euro-Mediterranean Agreement establishing an association between the European Community and its Member States, of the one part, and the Republic of Lebanon, of the other part</w:t>
      </w:r>
      <w:bookmarkEnd w:id="93"/>
    </w:p>
    <w:p w:rsidR="00C91A77" w:rsidRPr="00FA614C" w:rsidRDefault="00C91A77">
      <w:pPr>
        <w:pStyle w:val="RKnormal"/>
        <w:tabs>
          <w:tab w:val="clear" w:pos="1843"/>
          <w:tab w:val="left" w:pos="0"/>
        </w:tabs>
        <w:ind w:left="0"/>
      </w:pPr>
    </w:p>
    <w:p w:rsidR="00C91A77" w:rsidRPr="00FA614C" w:rsidRDefault="00C91A77" w:rsidP="00C91A77">
      <w:r w:rsidRPr="00FA614C">
        <w:t>14130/09, 14131/09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Utrikesdepartementet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Ewa Björling</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 xml:space="preserve">Beslutet rör ett förslag om tvistlösningsprotokoll med Libanon. </w:t>
      </w:r>
      <w:r w:rsidR="00076AE2" w:rsidRPr="00FA614C">
        <w:t>Associeringsavtalen</w:t>
      </w:r>
      <w:r w:rsidRPr="00FA614C">
        <w:t xml:space="preserve"> med partnerländerna inom Euromed innehåller identiska bestämmelser om tvistlösning, som baserar sig på ett traditionellt diplomatiskt tillvägagångssätt. Eftersom länderna inom Euromed saknar en regional organisation måste dock separata avtal ingås med vart och ett av länderna. Förhandlingarna med partnerländerna inleddes formellt vid Barcelonaprocessens femte handelsministermöte i Marrakech 2006.</w:t>
      </w:r>
    </w:p>
    <w:p w:rsidR="00C91A77" w:rsidRPr="00FA614C" w:rsidRDefault="00C91A77">
      <w:pPr>
        <w:pStyle w:val="RKnormal"/>
        <w:tabs>
          <w:tab w:val="clear" w:pos="1843"/>
          <w:tab w:val="left" w:pos="0"/>
        </w:tabs>
        <w:ind w:left="0"/>
      </w:pPr>
      <w:r w:rsidRPr="00FA614C">
        <w:t xml:space="preserve"> </w:t>
      </w:r>
    </w:p>
    <w:p w:rsidR="00C91A77" w:rsidRPr="00FA614C" w:rsidRDefault="00C91A77" w:rsidP="00C91A77">
      <w:pPr>
        <w:pStyle w:val="Rubrik2"/>
      </w:pPr>
      <w:bookmarkStart w:id="94" w:name="_Toc245182041"/>
      <w:r w:rsidRPr="00FA614C">
        <w:t>37. Proposal for a Council Decision on the conclusion of an Agreement in the form of a Protocol establishing a dispute settlement mechanism applicable to disputes under the trade provisions of the Euro-Mediterranean Agreement establishing an association between the European Communities and their member States, of the one part, and the Republic of Tunisia, of the other part</w:t>
      </w:r>
      <w:bookmarkEnd w:id="94"/>
    </w:p>
    <w:p w:rsidR="00C91A77" w:rsidRPr="00FA614C" w:rsidRDefault="00C91A77">
      <w:pPr>
        <w:pStyle w:val="RKnormal"/>
        <w:tabs>
          <w:tab w:val="clear" w:pos="1843"/>
          <w:tab w:val="left" w:pos="0"/>
        </w:tabs>
        <w:ind w:left="0"/>
      </w:pPr>
    </w:p>
    <w:p w:rsidR="00C91A77" w:rsidRPr="00FA614C" w:rsidRDefault="00C91A77" w:rsidP="00C91A77">
      <w:r w:rsidRPr="00FA614C">
        <w:t>14076/09, 14077/09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Utrikesdepartementet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Carl Bildt</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Kommissionen har slutfört förhandlingarna, som inleddes 2006, om ett avtal i form av ett protokoll mellan Europeiska gemenskapen och Republiken Tunisien om inrättande av en tvistelösningsmekanism för handelsbestämmelserna i Europa</w:t>
      </w:r>
      <w:r w:rsidR="00076AE2" w:rsidRPr="00FA614C">
        <w:t>-</w:t>
      </w:r>
      <w:r w:rsidRPr="00FA614C">
        <w:t xml:space="preserve">Medelhavsavtalet. Avtalet behöver undertecknas av båda parter. </w:t>
      </w:r>
    </w:p>
    <w:p w:rsidR="00C91A77" w:rsidRPr="00FA614C" w:rsidRDefault="00C91A77">
      <w:pPr>
        <w:pStyle w:val="RKnormal"/>
        <w:tabs>
          <w:tab w:val="clear" w:pos="1843"/>
          <w:tab w:val="left" w:pos="0"/>
        </w:tabs>
        <w:ind w:left="0"/>
      </w:pPr>
      <w:r w:rsidRPr="00FA614C">
        <w:t xml:space="preserve"> </w:t>
      </w:r>
    </w:p>
    <w:p w:rsidR="00C91A77" w:rsidRPr="00FA614C" w:rsidRDefault="00C91A77" w:rsidP="00C91A77">
      <w:pPr>
        <w:pStyle w:val="Rubrik2"/>
      </w:pPr>
      <w:bookmarkStart w:id="95" w:name="_Toc245182042"/>
      <w:r w:rsidRPr="00FA614C">
        <w:t>38. Draft Council conclusions on Policy Coherence for Development (PCD)- Adoption</w:t>
      </w:r>
      <w:bookmarkEnd w:id="95"/>
    </w:p>
    <w:p w:rsidR="00C91A77" w:rsidRPr="00FA614C" w:rsidRDefault="00C91A77">
      <w:pPr>
        <w:pStyle w:val="RKnormal"/>
        <w:tabs>
          <w:tab w:val="clear" w:pos="1843"/>
          <w:tab w:val="left" w:pos="0"/>
        </w:tabs>
        <w:ind w:left="0"/>
      </w:pPr>
    </w:p>
    <w:p w:rsidR="00C91A77" w:rsidRPr="00FA614C" w:rsidRDefault="00C91A77" w:rsidP="00C91A77">
      <w:r w:rsidRPr="00FA614C">
        <w:t>15146/09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Utrikesdepartementet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Gunilla Carlsson</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I rådsslutsatserna återbekräftar rådet EU:s åtagande om att målen för utvecklingspolitiken ska tas i beaktande i EU:s politikutformning och framsteg för ökad samstämmighet i medlemsstaterna samt inom kommissionen välkomnas. Rådsslutsatserna utgör ett politiskt ramverk för ett mer operativt arbetsprogram för Policy Coherence for Development (PCD) som ska tas fram av kommissionen i samarbete med medlemsstaterna. Rådet emotser ett arbetsprogram med fokus på viktiga processer inom områdena; handel och finanspolitik, klimatförändringar, livsmedelssäkerhet, migration och säkerhet. Syftet är att öka utvecklingspotentialen i relevanta politikområden, processer och instrument, att politiskt momentum ska skapas kring de utvalda områdena, att mål och indikatorer ska identifieras och att samarbetsländerna ska involveras i dialog kring områdena.</w:t>
      </w:r>
    </w:p>
    <w:p w:rsidR="00C91A77" w:rsidRPr="00FA614C" w:rsidRDefault="00C91A77">
      <w:pPr>
        <w:pStyle w:val="RKnormal"/>
        <w:tabs>
          <w:tab w:val="clear" w:pos="1843"/>
          <w:tab w:val="left" w:pos="0"/>
        </w:tabs>
        <w:ind w:left="0"/>
      </w:pPr>
      <w:r w:rsidRPr="00FA614C">
        <w:t xml:space="preserve"> </w:t>
      </w:r>
    </w:p>
    <w:p w:rsidR="00C91A77" w:rsidRPr="00FA614C" w:rsidRDefault="00C91A77" w:rsidP="00C91A77">
      <w:pPr>
        <w:pStyle w:val="Rubrik2"/>
      </w:pPr>
      <w:bookmarkStart w:id="96" w:name="_Toc245182043"/>
      <w:r w:rsidRPr="00FA614C">
        <w:t>39. CTA - Draft Decision of the ACP-EC Committee of Ambassadors adopting the programme of activities and budget of the Technical Centre for Agricultural and Rural Cooperation (CTA) for 2010</w:t>
      </w:r>
      <w:bookmarkEnd w:id="96"/>
    </w:p>
    <w:p w:rsidR="00C91A77" w:rsidRPr="00FA614C" w:rsidRDefault="00C91A77">
      <w:pPr>
        <w:pStyle w:val="RKnormal"/>
        <w:tabs>
          <w:tab w:val="clear" w:pos="1843"/>
          <w:tab w:val="left" w:pos="0"/>
        </w:tabs>
        <w:ind w:left="0"/>
      </w:pPr>
    </w:p>
    <w:p w:rsidR="00C91A77" w:rsidRPr="00FA614C" w:rsidRDefault="00C91A77" w:rsidP="00C91A77">
      <w:r w:rsidRPr="00FA614C">
        <w:t>15095/09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Utrikesdepartementet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Gunilla Carlsson</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Technical Centre for Agricultural and Rural Cooperation (CTA) är ett organ inom EU:s samarbete under Cotonouavtalet med länderna i Afrika, Karibien och Stillahavsregionen. CTA  arbetar främst med informationsspridning om jordbruksfrågor i utvecklingsländer. CTA är finansierat av Europeiska Utvecklingsfonden till vilken EU:s medlemsstater bidrar. Sveriges andel i Europeiska Utvecklingsfonden uppgår till ca 2.74 % av fondens totala medel. Budgetramarna för CTA styrs av regelverket för den 10:e Europeiska Utvecklingsfondens (EUF 10) finansiella perspektiv som löper 2008-2013. Behandlingen i Rådet avser ett rådsbeslut om att anta 2010 års budget för CTA från EUF, om 16 200 000 Euro.</w:t>
      </w:r>
    </w:p>
    <w:p w:rsidR="00C91A77" w:rsidRPr="00FA614C" w:rsidRDefault="00C91A77">
      <w:pPr>
        <w:pStyle w:val="RKnormal"/>
        <w:tabs>
          <w:tab w:val="clear" w:pos="1843"/>
          <w:tab w:val="left" w:pos="0"/>
        </w:tabs>
        <w:ind w:left="0"/>
      </w:pPr>
      <w:r w:rsidRPr="00FA614C">
        <w:t xml:space="preserve"> </w:t>
      </w:r>
    </w:p>
    <w:p w:rsidR="00C91A77" w:rsidRPr="00FA614C" w:rsidRDefault="00C91A77" w:rsidP="00C91A77">
      <w:pPr>
        <w:pStyle w:val="Rubrik2"/>
      </w:pPr>
      <w:bookmarkStart w:id="97" w:name="_Toc245182044"/>
      <w:r w:rsidRPr="00FA614C">
        <w:t>40. Proposal for a Directive of the European Parliament and of the Council on the taking-up and pursuit of the business of Insurance and Reinsurance - SOLVENCY II (first reading) (LA)- Adoption of legislative act</w:t>
      </w:r>
      <w:bookmarkEnd w:id="97"/>
    </w:p>
    <w:p w:rsidR="00C91A77" w:rsidRPr="00FA614C" w:rsidRDefault="00C91A77">
      <w:pPr>
        <w:pStyle w:val="RKnormal"/>
        <w:tabs>
          <w:tab w:val="clear" w:pos="1843"/>
          <w:tab w:val="left" w:pos="0"/>
        </w:tabs>
        <w:ind w:left="0"/>
      </w:pPr>
    </w:p>
    <w:p w:rsidR="00C91A77" w:rsidRPr="00FA614C" w:rsidRDefault="00C91A77" w:rsidP="00C91A77">
      <w:r w:rsidRPr="00FA614C">
        <w:t>3643/09, 14045/09</w:t>
      </w:r>
    </w:p>
    <w:p w:rsidR="00C91A77" w:rsidRPr="00FA614C" w:rsidRDefault="00C91A77">
      <w:pPr>
        <w:pStyle w:val="RKnormal"/>
        <w:tabs>
          <w:tab w:val="clear" w:pos="1843"/>
          <w:tab w:val="left" w:pos="0"/>
        </w:tabs>
        <w:ind w:left="0"/>
      </w:pPr>
    </w:p>
    <w:p w:rsidR="00C91A77" w:rsidRPr="00FA614C" w:rsidRDefault="00C91A77" w:rsidP="00C91A77">
      <w:r w:rsidRPr="00FA614C">
        <w:t>Ansvarigt departement: Finansdepartementet</w:t>
      </w:r>
    </w:p>
    <w:p w:rsidR="00C91A77" w:rsidRPr="00FA614C" w:rsidRDefault="00C91A77">
      <w:pPr>
        <w:pStyle w:val="RKnormal"/>
        <w:tabs>
          <w:tab w:val="clear" w:pos="1843"/>
          <w:tab w:val="left" w:pos="0"/>
        </w:tabs>
        <w:ind w:left="0"/>
      </w:pPr>
    </w:p>
    <w:p w:rsidR="00C91A77" w:rsidRPr="00FA614C" w:rsidRDefault="00C91A77" w:rsidP="00C91A77">
      <w:r w:rsidRPr="00FA614C">
        <w:t>Ansvarigt statsråd: Mats Odell</w:t>
      </w:r>
    </w:p>
    <w:p w:rsidR="00C91A77" w:rsidRPr="00FA614C" w:rsidRDefault="00C91A77">
      <w:pPr>
        <w:pStyle w:val="RKnormal"/>
        <w:tabs>
          <w:tab w:val="clear" w:pos="1843"/>
          <w:tab w:val="left" w:pos="0"/>
        </w:tabs>
        <w:ind w:left="0"/>
      </w:pPr>
    </w:p>
    <w:p w:rsidR="00C91A77" w:rsidRPr="00FA614C" w:rsidRDefault="00C91A77" w:rsidP="00C91A77">
      <w:r w:rsidRPr="00FA614C">
        <w:t>Tidigare behandling i EU -nämnden: 2009-04-29</w:t>
      </w:r>
    </w:p>
    <w:p w:rsidR="00C91A77" w:rsidRPr="00FA614C" w:rsidRDefault="00C91A77">
      <w:pPr>
        <w:pStyle w:val="RKnormal"/>
        <w:tabs>
          <w:tab w:val="clear" w:pos="1843"/>
          <w:tab w:val="left" w:pos="0"/>
        </w:tabs>
        <w:ind w:left="0"/>
      </w:pPr>
    </w:p>
    <w:p w:rsidR="00C91A77" w:rsidRPr="00FA614C" w:rsidRDefault="00C91A77" w:rsidP="00C91A77">
      <w:r w:rsidRPr="00FA614C">
        <w:t>Tidigare behandling vid rådsmöte: Ekonomiska och finansiella frågor</w:t>
      </w:r>
    </w:p>
    <w:p w:rsidR="00C91A77" w:rsidRPr="00FA614C" w:rsidRDefault="00C91A77">
      <w:pPr>
        <w:pStyle w:val="RKnormal"/>
        <w:tabs>
          <w:tab w:val="clear" w:pos="1843"/>
          <w:tab w:val="left" w:pos="0"/>
        </w:tabs>
        <w:ind w:left="0"/>
      </w:pPr>
    </w:p>
    <w:p w:rsidR="00C91A77" w:rsidRPr="00FA614C" w:rsidRDefault="00C91A77" w:rsidP="00C91A77">
      <w:r w:rsidRPr="00FA614C">
        <w:t>Godkänd av Coreper II den 4 november 2009</w:t>
      </w:r>
    </w:p>
    <w:p w:rsidR="00C91A77" w:rsidRPr="00FA614C" w:rsidRDefault="00C91A77">
      <w:pPr>
        <w:pStyle w:val="RKnormal"/>
        <w:tabs>
          <w:tab w:val="clear" w:pos="1843"/>
          <w:tab w:val="left" w:pos="0"/>
        </w:tabs>
        <w:ind w:left="0"/>
      </w:pPr>
    </w:p>
    <w:p w:rsidR="00C91A77" w:rsidRPr="00FA614C" w:rsidRDefault="00C91A77" w:rsidP="00C91A77">
      <w:r w:rsidRPr="00FA614C">
        <w:t>Den 10 juli 2007 lade kommissionen fram ett direktivförslag inom ramen för arbetet med att ta fram nya solvensregler för försäkringsföretag (Solvens II). Därefter har kommissionen, med anledning av senare ändringar av andra direktiv och en politisk överenskommelse i rådet och Europaparlamentet om den s.k. Rom I-förordningen som behandlar tillämplig lag för avtalsförpliktelser, den 26 februari 2008 lagt fram ett ändrat förslag som ersätter det förslag till Solvens II-direktiv som lades fram i juli 2007. Europaparlamentet behandlade förslaget i första läsningen den 22 april 2009 och rådet fattade beslut om politisk överenskommelse den 5 maj 2009.</w:t>
      </w:r>
    </w:p>
    <w:p w:rsidR="00C91A77" w:rsidRPr="00FA614C" w:rsidRDefault="00C91A77" w:rsidP="00C91A77"/>
    <w:p w:rsidR="00C91A77" w:rsidRPr="00FA614C" w:rsidRDefault="00C91A77" w:rsidP="00C91A77">
      <w:r w:rsidRPr="00FA614C">
        <w:t>Förslaget är utarbetat utifrån Lamfalussy-modellen, med ramdirektiv på nivå 1 och genomförandebestämmelser på nivå 2. Direktivet består dels av övergripande principer för ett nytt solvensregelverk för skade- och livförsäkring, dels av en konsolidering av befintliga direktiv inom skade-, liv och återförsäkring.</w:t>
      </w:r>
    </w:p>
    <w:p w:rsidR="00C91A77" w:rsidRPr="00FA614C" w:rsidRDefault="00C91A77" w:rsidP="00C91A77">
      <w:r w:rsidRPr="00FA614C">
        <w:t>Solvens II har följande syfte:</w:t>
      </w:r>
    </w:p>
    <w:p w:rsidR="00C91A77" w:rsidRPr="00FA614C" w:rsidRDefault="00C91A77" w:rsidP="00C91A77">
      <w:r w:rsidRPr="00FA614C">
        <w:t>•</w:t>
      </w:r>
      <w:r w:rsidRPr="00FA614C">
        <w:tab/>
        <w:t>Undanröja skillnaderna mellan medlemsstaterna</w:t>
      </w:r>
      <w:r w:rsidR="000D4C9B" w:rsidRPr="00FA614C">
        <w:t xml:space="preserve">s lagstiftningar om regler för </w:t>
      </w:r>
      <w:r w:rsidRPr="00FA614C">
        <w:t xml:space="preserve">försäkrings- och återförsäkringsföretag. </w:t>
      </w:r>
    </w:p>
    <w:p w:rsidR="00C91A77" w:rsidRPr="00FA614C" w:rsidRDefault="00C91A77" w:rsidP="00C91A77">
      <w:r w:rsidRPr="00FA614C">
        <w:t>•</w:t>
      </w:r>
      <w:r w:rsidRPr="00FA614C">
        <w:tab/>
        <w:t xml:space="preserve">Förbättra den inre marknadens funktion genom att </w:t>
      </w:r>
      <w:r w:rsidR="000D4C9B" w:rsidRPr="00FA614C">
        <w:t xml:space="preserve">upprätta samordnade regler för </w:t>
      </w:r>
      <w:r w:rsidRPr="00FA614C">
        <w:t xml:space="preserve">tillsyn över försäkringsgrupper. </w:t>
      </w:r>
    </w:p>
    <w:p w:rsidR="00C91A77" w:rsidRPr="00FA614C" w:rsidRDefault="00C91A77" w:rsidP="00C91A77">
      <w:r w:rsidRPr="00FA614C">
        <w:t>•</w:t>
      </w:r>
      <w:r w:rsidRPr="00FA614C">
        <w:tab/>
        <w:t>Skydda fordringsägarna genom att inrätta rekonstruktions- och likvidationsförfaranden</w:t>
      </w:r>
      <w:r w:rsidR="000D4C9B" w:rsidRPr="00FA614C">
        <w:t xml:space="preserve"> </w:t>
      </w:r>
      <w:r w:rsidRPr="00FA614C">
        <w:t xml:space="preserve">för försäkringsföretag. </w:t>
      </w:r>
    </w:p>
    <w:p w:rsidR="00C91A77" w:rsidRPr="00FA614C" w:rsidRDefault="00C91A77" w:rsidP="00C91A77"/>
    <w:p w:rsidR="005C42CC" w:rsidRPr="00FA614C" w:rsidRDefault="005C42CC" w:rsidP="00C91A77"/>
    <w:p w:rsidR="005C42CC" w:rsidRPr="00FA614C" w:rsidRDefault="005C42CC" w:rsidP="005C42CC">
      <w:pPr>
        <w:pStyle w:val="Rubrik1"/>
        <w:tabs>
          <w:tab w:val="clear" w:pos="1134"/>
          <w:tab w:val="left" w:pos="0"/>
        </w:tabs>
      </w:pPr>
      <w:r w:rsidRPr="00FA614C">
        <w:br w:type="page"/>
      </w:r>
      <w:bookmarkStart w:id="98" w:name="_Toc245182045"/>
      <w:r w:rsidRPr="00FA614C">
        <w:t>Färdigförhandlad II-punkter från möte i Coreper II 2009-11-04 som kan tas som A-punkt vid kommande rådsmöte</w:t>
      </w:r>
      <w:bookmarkEnd w:id="98"/>
    </w:p>
    <w:p w:rsidR="005C42CC" w:rsidRPr="00FA614C" w:rsidRDefault="00D42B06" w:rsidP="00D42B06">
      <w:pPr>
        <w:pStyle w:val="Rubrik2"/>
      </w:pPr>
      <w:bookmarkStart w:id="99" w:name="_Toc245182046"/>
      <w:r w:rsidRPr="00FA614C">
        <w:t>41. ITER - Draft Council conclusions on the next steps in the ITER project</w:t>
      </w:r>
      <w:bookmarkEnd w:id="99"/>
    </w:p>
    <w:p w:rsidR="00D42B06" w:rsidRPr="00FA614C" w:rsidRDefault="00D42B06" w:rsidP="00D42B06">
      <w:pPr>
        <w:pStyle w:val="RKnormal"/>
        <w:tabs>
          <w:tab w:val="clear" w:pos="1843"/>
          <w:tab w:val="left" w:pos="0"/>
        </w:tabs>
        <w:ind w:left="0"/>
      </w:pPr>
    </w:p>
    <w:p w:rsidR="00D42B06" w:rsidRPr="00FA614C" w:rsidRDefault="00D42B06" w:rsidP="00D42B06">
      <w:pPr>
        <w:pStyle w:val="RKnormal"/>
        <w:tabs>
          <w:tab w:val="clear" w:pos="1843"/>
          <w:tab w:val="left" w:pos="0"/>
        </w:tabs>
        <w:ind w:left="0"/>
      </w:pPr>
      <w:r w:rsidRPr="00FA614C">
        <w:t xml:space="preserve">15091/09 RESTREINT EU </w:t>
      </w:r>
    </w:p>
    <w:p w:rsidR="00D42B06" w:rsidRPr="00FA614C" w:rsidRDefault="00D42B06" w:rsidP="00D42B06">
      <w:pPr>
        <w:pStyle w:val="RKnormal"/>
        <w:tabs>
          <w:tab w:val="clear" w:pos="1843"/>
          <w:tab w:val="left" w:pos="0"/>
        </w:tabs>
        <w:ind w:left="0"/>
      </w:pPr>
    </w:p>
    <w:p w:rsidR="00D42B06" w:rsidRPr="00FA614C" w:rsidRDefault="00D42B06" w:rsidP="00D42B06">
      <w:pPr>
        <w:pStyle w:val="RKnormal"/>
        <w:tabs>
          <w:tab w:val="clear" w:pos="1843"/>
          <w:tab w:val="left" w:pos="0"/>
        </w:tabs>
        <w:ind w:left="0"/>
      </w:pPr>
      <w:r w:rsidRPr="00FA614C">
        <w:t>Ansvarigt departement: Utbildningsdepartementet</w:t>
      </w:r>
    </w:p>
    <w:p w:rsidR="00D42B06" w:rsidRPr="00FA614C" w:rsidRDefault="00D42B06" w:rsidP="00D42B06">
      <w:pPr>
        <w:pStyle w:val="RKnormal"/>
        <w:tabs>
          <w:tab w:val="clear" w:pos="1843"/>
          <w:tab w:val="left" w:pos="0"/>
        </w:tabs>
        <w:ind w:left="0"/>
      </w:pPr>
    </w:p>
    <w:p w:rsidR="00D42B06" w:rsidRPr="00FA614C" w:rsidRDefault="00D42B06" w:rsidP="00D42B06">
      <w:pPr>
        <w:pStyle w:val="RKnormal"/>
        <w:tabs>
          <w:tab w:val="clear" w:pos="1843"/>
          <w:tab w:val="left" w:pos="0"/>
        </w:tabs>
        <w:ind w:left="0"/>
      </w:pPr>
      <w:r w:rsidRPr="00FA614C">
        <w:t>Ansvarigt statsråd:  Tobias Krantz</w:t>
      </w:r>
    </w:p>
    <w:p w:rsidR="00D42B06" w:rsidRPr="00FA614C" w:rsidRDefault="00D42B06" w:rsidP="00D42B06">
      <w:pPr>
        <w:pStyle w:val="RKnormal"/>
        <w:tabs>
          <w:tab w:val="clear" w:pos="1843"/>
          <w:tab w:val="left" w:pos="0"/>
        </w:tabs>
        <w:ind w:left="0"/>
      </w:pPr>
    </w:p>
    <w:p w:rsidR="005C42CC" w:rsidRPr="00FA614C" w:rsidRDefault="00D42B06" w:rsidP="00D42B06">
      <w:pPr>
        <w:pStyle w:val="RKnormal"/>
        <w:tabs>
          <w:tab w:val="clear" w:pos="1843"/>
          <w:tab w:val="left" w:pos="0"/>
        </w:tabs>
        <w:ind w:left="0"/>
      </w:pPr>
      <w:r w:rsidRPr="00FA614C">
        <w:t>Färdigförhandlad II-punkt av Coreper I den 4 november 2009 som förväntas tas som A-punkt vid GAERC den 16 november.</w:t>
      </w:r>
    </w:p>
    <w:p w:rsidR="00D42B06" w:rsidRPr="00FA614C" w:rsidRDefault="00D42B06" w:rsidP="00D42B06">
      <w:pPr>
        <w:pStyle w:val="RKnormal"/>
        <w:tabs>
          <w:tab w:val="clear" w:pos="1843"/>
          <w:tab w:val="left" w:pos="0"/>
        </w:tabs>
        <w:ind w:left="0"/>
      </w:pPr>
    </w:p>
    <w:p w:rsidR="00D42B06" w:rsidRPr="00FA614C" w:rsidRDefault="00D42B06" w:rsidP="00D42B06">
      <w:pPr>
        <w:pStyle w:val="RKnormal"/>
        <w:tabs>
          <w:tab w:val="clear" w:pos="1843"/>
          <w:tab w:val="left" w:pos="0"/>
          <w:tab w:val="left" w:pos="142"/>
        </w:tabs>
        <w:ind w:left="0"/>
      </w:pPr>
      <w:r w:rsidRPr="00FA614C">
        <w:t>Euratom-gemenskapen undertecknade tillsammans med USA, Japan, Sydkorea, Kina, Ryssland och Indien i november 2006 ett avtal om att bygga världens största fusionsforskningsanläggning, ITER, i Cadarache i södra Frankrike, det så kallade ITER-avtalet. Förhandlingarna utgick från kostnadsberäkningar från 2001. Enligt avtalet har de sju parterna ansvar för olika delar av konstruktionen.</w:t>
      </w:r>
    </w:p>
    <w:p w:rsidR="00D42B06" w:rsidRPr="00FA614C" w:rsidRDefault="00D42B06" w:rsidP="00D42B06">
      <w:pPr>
        <w:pStyle w:val="RKnormal"/>
        <w:tabs>
          <w:tab w:val="clear" w:pos="1843"/>
          <w:tab w:val="left" w:pos="0"/>
          <w:tab w:val="left" w:pos="142"/>
        </w:tabs>
        <w:ind w:left="0"/>
      </w:pPr>
    </w:p>
    <w:p w:rsidR="00D42B06" w:rsidRPr="00FA614C" w:rsidRDefault="00D42B06" w:rsidP="00D42B06">
      <w:pPr>
        <w:pStyle w:val="RKnormal"/>
        <w:tabs>
          <w:tab w:val="clear" w:pos="1843"/>
          <w:tab w:val="left" w:pos="0"/>
          <w:tab w:val="left" w:pos="142"/>
        </w:tabs>
        <w:ind w:left="0"/>
      </w:pPr>
      <w:r w:rsidRPr="00FA614C">
        <w:t>Efter en uppdaterad designrapport har två oberoende expertpaneler kommit fram till att projektet medför avsevärt högre kostnader i förhållande till beräkningarna från 2001. Samtidigt har EU:s organisation för ITER, det gemensamma företaget Fusion for Energy (F4E), kommit fram till att globalt beslutad tidplan för konstruktionen inte är hållbar.</w:t>
      </w:r>
    </w:p>
    <w:p w:rsidR="00D42B06" w:rsidRPr="00FA614C" w:rsidRDefault="00D42B06" w:rsidP="00D42B06">
      <w:pPr>
        <w:pStyle w:val="RKnormal"/>
        <w:tabs>
          <w:tab w:val="clear" w:pos="1843"/>
          <w:tab w:val="left" w:pos="0"/>
          <w:tab w:val="left" w:pos="142"/>
        </w:tabs>
        <w:ind w:left="0"/>
      </w:pPr>
    </w:p>
    <w:p w:rsidR="00D42B06" w:rsidRPr="00FA614C" w:rsidRDefault="00D42B06" w:rsidP="00D42B06">
      <w:pPr>
        <w:pStyle w:val="RKnormal"/>
        <w:tabs>
          <w:tab w:val="clear" w:pos="1843"/>
          <w:tab w:val="left" w:pos="0"/>
          <w:tab w:val="left" w:pos="142"/>
        </w:tabs>
        <w:ind w:left="0"/>
      </w:pPr>
      <w:r w:rsidRPr="00FA614C">
        <w:t>Den globala ITER-organisationens beslutande organ, ITER Council, håller sitt femte möte 18-19 november. kommissionen representerar EU i  ITER Council. Kommissionen har sökt politisk vägledning från ministerrådet inför mötet. Medlemsstaterna har nu enats om en sådan. Den innehåller ett fortsatt stöd för ITER förenat med villkor om trovärdig kostnadsuppskattning, acceptabel kostnad, realistisk tidtabell och sund ledning av projektet på alla nivåer. Den omfattar också krav på att grunden för projektet måste bygga på en annan tidplan än den senast beslutade, eftersom den senare inte är hållbar.</w:t>
      </w:r>
    </w:p>
    <w:p w:rsidR="005C42CC" w:rsidRPr="00FA614C" w:rsidRDefault="005C42CC" w:rsidP="00C91A77"/>
    <w:p w:rsidR="00C91A77" w:rsidRPr="00FA614C" w:rsidRDefault="00C91A77">
      <w:pPr>
        <w:pStyle w:val="RKnormal"/>
        <w:tabs>
          <w:tab w:val="clear" w:pos="1843"/>
          <w:tab w:val="left" w:pos="0"/>
        </w:tabs>
        <w:ind w:left="0"/>
      </w:pPr>
      <w:r w:rsidRPr="00FA614C">
        <w:t xml:space="preserve"> </w:t>
      </w:r>
    </w:p>
    <w:p w:rsidR="00C91A77" w:rsidRPr="00FA614C" w:rsidRDefault="00C91A77">
      <w:pPr>
        <w:pStyle w:val="RKnormal"/>
        <w:tabs>
          <w:tab w:val="clear" w:pos="1843"/>
          <w:tab w:val="left" w:pos="0"/>
        </w:tabs>
        <w:ind w:left="0"/>
      </w:pPr>
    </w:p>
    <w:p w:rsidR="005F1820" w:rsidRPr="00FA614C" w:rsidRDefault="005F1820">
      <w:pPr>
        <w:pStyle w:val="RKnormal"/>
        <w:tabs>
          <w:tab w:val="clear" w:pos="1843"/>
          <w:tab w:val="left" w:pos="0"/>
        </w:tabs>
        <w:ind w:left="0"/>
      </w:pPr>
    </w:p>
    <w:sectPr w:rsidR="005F1820" w:rsidRPr="00FA614C">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7E1B" w:rsidRPr="00FA614C" w:rsidRDefault="00277E1B">
      <w:r w:rsidRPr="00FA614C">
        <w:separator/>
      </w:r>
    </w:p>
  </w:endnote>
  <w:endnote w:type="continuationSeparator" w:id="0">
    <w:p w:rsidR="00277E1B" w:rsidRPr="00FA614C" w:rsidRDefault="00277E1B">
      <w:r w:rsidRPr="00FA61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06" w:rsidRPr="00FA614C" w:rsidRDefault="00D42B06">
    <w:pPr>
      <w:pStyle w:val="Sidfot"/>
      <w:framePr w:wrap="around" w:vAnchor="text" w:hAnchor="margin" w:xAlign="right" w:y="1"/>
      <w:rPr>
        <w:rStyle w:val="Sidnummer"/>
        <w:sz w:val="16"/>
      </w:rPr>
    </w:pPr>
    <w:r w:rsidRPr="00FA614C">
      <w:rPr>
        <w:rStyle w:val="Sidnummer"/>
        <w:sz w:val="16"/>
      </w:rPr>
      <w:fldChar w:fldCharType="begin" w:fldLock="1"/>
    </w:r>
    <w:r w:rsidRPr="00FA614C">
      <w:rPr>
        <w:rStyle w:val="Sidnummer"/>
        <w:sz w:val="16"/>
      </w:rPr>
      <w:instrText xml:space="preserve">PAGE  </w:instrText>
    </w:r>
    <w:r w:rsidRPr="00FA614C">
      <w:rPr>
        <w:rStyle w:val="Sidnummer"/>
        <w:sz w:val="16"/>
      </w:rPr>
      <w:fldChar w:fldCharType="separate"/>
    </w:r>
    <w:r w:rsidR="00BC387C" w:rsidRPr="00FA614C">
      <w:rPr>
        <w:rStyle w:val="Sidnummer"/>
        <w:sz w:val="16"/>
      </w:rPr>
      <w:t>30</w:t>
    </w:r>
    <w:r w:rsidRPr="00FA614C">
      <w:rPr>
        <w:rStyle w:val="Sidnummer"/>
        <w:sz w:val="16"/>
      </w:rPr>
      <w:fldChar w:fldCharType="end"/>
    </w:r>
    <w:r w:rsidRPr="00FA614C">
      <w:rPr>
        <w:rStyle w:val="Sidnummer"/>
        <w:sz w:val="16"/>
      </w:rPr>
      <w:t>(</w:t>
    </w:r>
    <w:r w:rsidRPr="00FA614C">
      <w:rPr>
        <w:rStyle w:val="Sidnummer"/>
        <w:sz w:val="16"/>
      </w:rPr>
      <w:fldChar w:fldCharType="begin" w:fldLock="1"/>
    </w:r>
    <w:r w:rsidRPr="00FA614C">
      <w:rPr>
        <w:rStyle w:val="Sidnummer"/>
        <w:sz w:val="16"/>
      </w:rPr>
      <w:instrText xml:space="preserve"> NUMPAGES </w:instrText>
    </w:r>
    <w:r w:rsidRPr="00FA614C">
      <w:rPr>
        <w:rStyle w:val="Sidnummer"/>
        <w:sz w:val="16"/>
      </w:rPr>
      <w:fldChar w:fldCharType="separate"/>
    </w:r>
    <w:r w:rsidR="005D683E" w:rsidRPr="00FA614C">
      <w:rPr>
        <w:rStyle w:val="Sidnummer"/>
        <w:sz w:val="16"/>
      </w:rPr>
      <w:t>30</w:t>
    </w:r>
    <w:r w:rsidRPr="00FA614C">
      <w:rPr>
        <w:rStyle w:val="Sidnummer"/>
        <w:sz w:val="16"/>
      </w:rPr>
      <w:fldChar w:fldCharType="end"/>
    </w:r>
    <w:r w:rsidRPr="00FA614C">
      <w:rPr>
        <w:rStyle w:val="Sidnummer"/>
        <w:sz w:val="16"/>
      </w:rPr>
      <w:t>)</w:t>
    </w:r>
  </w:p>
  <w:p w:rsidR="00D42B06" w:rsidRPr="00FA614C" w:rsidRDefault="00D42B06">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06" w:rsidRPr="00FA614C" w:rsidRDefault="00D42B06">
    <w:pPr>
      <w:pStyle w:val="Sidfot"/>
      <w:framePr w:wrap="around" w:vAnchor="text" w:hAnchor="margin" w:xAlign="right" w:y="1"/>
      <w:rPr>
        <w:rStyle w:val="Sidnummer"/>
        <w:sz w:val="16"/>
      </w:rPr>
    </w:pPr>
    <w:r w:rsidRPr="00FA614C">
      <w:rPr>
        <w:rStyle w:val="Sidnummer"/>
        <w:sz w:val="16"/>
      </w:rPr>
      <w:fldChar w:fldCharType="begin" w:fldLock="1"/>
    </w:r>
    <w:r w:rsidRPr="00FA614C">
      <w:rPr>
        <w:rStyle w:val="Sidnummer"/>
        <w:sz w:val="16"/>
      </w:rPr>
      <w:instrText xml:space="preserve">PAGE  </w:instrText>
    </w:r>
    <w:r w:rsidRPr="00FA614C">
      <w:rPr>
        <w:rStyle w:val="Sidnummer"/>
        <w:sz w:val="16"/>
      </w:rPr>
      <w:fldChar w:fldCharType="separate"/>
    </w:r>
    <w:r w:rsidR="00BC387C" w:rsidRPr="00FA614C">
      <w:rPr>
        <w:rStyle w:val="Sidnummer"/>
        <w:sz w:val="16"/>
      </w:rPr>
      <w:t>1</w:t>
    </w:r>
    <w:r w:rsidRPr="00FA614C">
      <w:rPr>
        <w:rStyle w:val="Sidnummer"/>
        <w:sz w:val="16"/>
      </w:rPr>
      <w:fldChar w:fldCharType="end"/>
    </w:r>
    <w:r w:rsidRPr="00FA614C">
      <w:rPr>
        <w:rStyle w:val="Sidnummer"/>
        <w:sz w:val="16"/>
      </w:rPr>
      <w:t>(</w:t>
    </w:r>
    <w:r w:rsidRPr="00FA614C">
      <w:rPr>
        <w:rStyle w:val="Sidnummer"/>
        <w:sz w:val="16"/>
      </w:rPr>
      <w:fldChar w:fldCharType="begin" w:fldLock="1"/>
    </w:r>
    <w:r w:rsidRPr="00FA614C">
      <w:rPr>
        <w:rStyle w:val="Sidnummer"/>
        <w:sz w:val="16"/>
      </w:rPr>
      <w:instrText xml:space="preserve"> NUMPAGES </w:instrText>
    </w:r>
    <w:r w:rsidRPr="00FA614C">
      <w:rPr>
        <w:rStyle w:val="Sidnummer"/>
        <w:sz w:val="16"/>
      </w:rPr>
      <w:fldChar w:fldCharType="separate"/>
    </w:r>
    <w:r w:rsidR="00BC387C" w:rsidRPr="00FA614C">
      <w:rPr>
        <w:rStyle w:val="Sidnummer"/>
        <w:sz w:val="16"/>
      </w:rPr>
      <w:t>31</w:t>
    </w:r>
    <w:r w:rsidRPr="00FA614C">
      <w:rPr>
        <w:rStyle w:val="Sidnummer"/>
        <w:sz w:val="16"/>
      </w:rPr>
      <w:fldChar w:fldCharType="end"/>
    </w:r>
    <w:r w:rsidRPr="00FA614C">
      <w:rPr>
        <w:rStyle w:val="Sidnummer"/>
        <w:sz w:val="16"/>
      </w:rPr>
      <w:t>)</w:t>
    </w:r>
  </w:p>
  <w:p w:rsidR="00D42B06" w:rsidRPr="00FA614C" w:rsidRDefault="00D42B06">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06" w:rsidRPr="00FA614C" w:rsidRDefault="00D42B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7E1B" w:rsidRPr="00FA614C" w:rsidRDefault="00277E1B">
      <w:r w:rsidRPr="00FA614C">
        <w:separator/>
      </w:r>
    </w:p>
  </w:footnote>
  <w:footnote w:type="continuationSeparator" w:id="0">
    <w:p w:rsidR="00277E1B" w:rsidRPr="00FA614C" w:rsidRDefault="00277E1B">
      <w:r w:rsidRPr="00FA61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06" w:rsidRPr="00FA614C" w:rsidRDefault="00D42B06">
    <w:pPr>
      <w:pStyle w:val="Sidhuvud"/>
      <w:framePr w:wrap="around" w:vAnchor="text" w:hAnchor="margin" w:xAlign="right" w:y="1"/>
      <w:rPr>
        <w:rStyle w:val="Sidnummer"/>
      </w:rPr>
    </w:pPr>
  </w:p>
  <w:p w:rsidR="00D42B06" w:rsidRPr="00FA614C" w:rsidRDefault="00D42B06">
    <w:pPr>
      <w:pStyle w:val="Sidhuvud"/>
      <w:ind w:right="360"/>
    </w:pPr>
  </w:p>
  <w:p w:rsidR="00D42B06" w:rsidRPr="00FA614C" w:rsidRDefault="00D42B0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06" w:rsidRPr="00FA614C" w:rsidRDefault="00FA614C">
    <w:pPr>
      <w:framePr w:w="2948" w:h="1321" w:hRule="exact" w:wrap="notBeside" w:vAnchor="page" w:hAnchor="page" w:x="1362" w:y="653"/>
    </w:pPr>
    <w:r w:rsidRPr="00FA614C">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D42B06" w:rsidRPr="00FA614C" w:rsidRDefault="00D42B06">
    <w:pPr>
      <w:pStyle w:val="Sidhuvud"/>
    </w:pPr>
  </w:p>
  <w:p w:rsidR="00D42B06" w:rsidRPr="00FA614C" w:rsidRDefault="00D42B06">
    <w:pPr>
      <w:pStyle w:val="Sidhuvud"/>
      <w:ind w:right="360"/>
    </w:pPr>
  </w:p>
  <w:p w:rsidR="00D42B06" w:rsidRPr="00FA614C" w:rsidRDefault="00D42B0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06" w:rsidRPr="00FA614C" w:rsidRDefault="00FA614C">
    <w:pPr>
      <w:framePr w:w="2948" w:h="1321" w:hRule="exact" w:wrap="notBeside" w:vAnchor="page" w:hAnchor="page" w:x="1362" w:y="653"/>
    </w:pPr>
    <w:r w:rsidRPr="00FA614C">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42B06" w:rsidRPr="00FA614C" w:rsidRDefault="00D42B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358458965">
    <w:abstractNumId w:val="10"/>
  </w:num>
  <w:num w:numId="2" w16cid:durableId="945891240">
    <w:abstractNumId w:val="8"/>
  </w:num>
  <w:num w:numId="3" w16cid:durableId="357388908">
    <w:abstractNumId w:val="4"/>
  </w:num>
  <w:num w:numId="4" w16cid:durableId="1119645672">
    <w:abstractNumId w:val="9"/>
  </w:num>
  <w:num w:numId="5" w16cid:durableId="1702121896">
    <w:abstractNumId w:val="0"/>
  </w:num>
  <w:num w:numId="6" w16cid:durableId="1721635526">
    <w:abstractNumId w:val="1"/>
  </w:num>
  <w:num w:numId="7" w16cid:durableId="1794398655">
    <w:abstractNumId w:val="6"/>
  </w:num>
  <w:num w:numId="8" w16cid:durableId="1136029995">
    <w:abstractNumId w:val="2"/>
  </w:num>
  <w:num w:numId="9" w16cid:durableId="1253777904">
    <w:abstractNumId w:val="3"/>
  </w:num>
  <w:num w:numId="10" w16cid:durableId="703166749">
    <w:abstractNumId w:val="5"/>
  </w:num>
  <w:num w:numId="11" w16cid:durableId="40718908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C91A77"/>
    <w:rsid w:val="00076AE2"/>
    <w:rsid w:val="000A269D"/>
    <w:rsid w:val="000D4C9B"/>
    <w:rsid w:val="0019653A"/>
    <w:rsid w:val="00277E1B"/>
    <w:rsid w:val="00336C92"/>
    <w:rsid w:val="00480719"/>
    <w:rsid w:val="005C27AD"/>
    <w:rsid w:val="005C42CC"/>
    <w:rsid w:val="005D683E"/>
    <w:rsid w:val="005F1820"/>
    <w:rsid w:val="00681942"/>
    <w:rsid w:val="00847B54"/>
    <w:rsid w:val="00936272"/>
    <w:rsid w:val="00BC387C"/>
    <w:rsid w:val="00C34964"/>
    <w:rsid w:val="00C4644F"/>
    <w:rsid w:val="00C91A77"/>
    <w:rsid w:val="00D42B06"/>
    <w:rsid w:val="00E1673B"/>
    <w:rsid w:val="00E30F77"/>
    <w:rsid w:val="00FA614C"/>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A95B627-932D-42B1-A220-425037B4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customStyle="1" w:styleId="br">
    <w:name w:val="brö"/>
    <w:basedOn w:val="Normal"/>
    <w:rsid w:val="000D4C9B"/>
    <w:pPr>
      <w:spacing w:line="240" w:lineRule="auto"/>
    </w:pPr>
    <w:rPr>
      <w:rFonts w:ascii="Times New Roman" w:hAnsi="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6936</Words>
  <Characters>42658</Characters>
  <Application>Microsoft Office Word</Application>
  <DocSecurity>4</DocSecurity>
  <Lines>1254</Lines>
  <Paragraphs>438</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49156</CharactersWithSpaces>
  <SharedDoc>false</SharedDoc>
  <HLinks>
    <vt:vector size="270" baseType="variant">
      <vt:variant>
        <vt:i4>1310783</vt:i4>
      </vt:variant>
      <vt:variant>
        <vt:i4>269</vt:i4>
      </vt:variant>
      <vt:variant>
        <vt:i4>0</vt:i4>
      </vt:variant>
      <vt:variant>
        <vt:i4>5</vt:i4>
      </vt:variant>
      <vt:variant>
        <vt:lpwstr/>
      </vt:variant>
      <vt:variant>
        <vt:lpwstr>_Toc245182046</vt:lpwstr>
      </vt:variant>
      <vt:variant>
        <vt:i4>1310783</vt:i4>
      </vt:variant>
      <vt:variant>
        <vt:i4>263</vt:i4>
      </vt:variant>
      <vt:variant>
        <vt:i4>0</vt:i4>
      </vt:variant>
      <vt:variant>
        <vt:i4>5</vt:i4>
      </vt:variant>
      <vt:variant>
        <vt:lpwstr/>
      </vt:variant>
      <vt:variant>
        <vt:lpwstr>_Toc245182045</vt:lpwstr>
      </vt:variant>
      <vt:variant>
        <vt:i4>1310783</vt:i4>
      </vt:variant>
      <vt:variant>
        <vt:i4>257</vt:i4>
      </vt:variant>
      <vt:variant>
        <vt:i4>0</vt:i4>
      </vt:variant>
      <vt:variant>
        <vt:i4>5</vt:i4>
      </vt:variant>
      <vt:variant>
        <vt:lpwstr/>
      </vt:variant>
      <vt:variant>
        <vt:lpwstr>_Toc245182044</vt:lpwstr>
      </vt:variant>
      <vt:variant>
        <vt:i4>1310783</vt:i4>
      </vt:variant>
      <vt:variant>
        <vt:i4>251</vt:i4>
      </vt:variant>
      <vt:variant>
        <vt:i4>0</vt:i4>
      </vt:variant>
      <vt:variant>
        <vt:i4>5</vt:i4>
      </vt:variant>
      <vt:variant>
        <vt:lpwstr/>
      </vt:variant>
      <vt:variant>
        <vt:lpwstr>_Toc245182043</vt:lpwstr>
      </vt:variant>
      <vt:variant>
        <vt:i4>1310783</vt:i4>
      </vt:variant>
      <vt:variant>
        <vt:i4>245</vt:i4>
      </vt:variant>
      <vt:variant>
        <vt:i4>0</vt:i4>
      </vt:variant>
      <vt:variant>
        <vt:i4>5</vt:i4>
      </vt:variant>
      <vt:variant>
        <vt:lpwstr/>
      </vt:variant>
      <vt:variant>
        <vt:lpwstr>_Toc245182042</vt:lpwstr>
      </vt:variant>
      <vt:variant>
        <vt:i4>1310783</vt:i4>
      </vt:variant>
      <vt:variant>
        <vt:i4>239</vt:i4>
      </vt:variant>
      <vt:variant>
        <vt:i4>0</vt:i4>
      </vt:variant>
      <vt:variant>
        <vt:i4>5</vt:i4>
      </vt:variant>
      <vt:variant>
        <vt:lpwstr/>
      </vt:variant>
      <vt:variant>
        <vt:lpwstr>_Toc245182041</vt:lpwstr>
      </vt:variant>
      <vt:variant>
        <vt:i4>1310783</vt:i4>
      </vt:variant>
      <vt:variant>
        <vt:i4>233</vt:i4>
      </vt:variant>
      <vt:variant>
        <vt:i4>0</vt:i4>
      </vt:variant>
      <vt:variant>
        <vt:i4>5</vt:i4>
      </vt:variant>
      <vt:variant>
        <vt:lpwstr/>
      </vt:variant>
      <vt:variant>
        <vt:lpwstr>_Toc245182040</vt:lpwstr>
      </vt:variant>
      <vt:variant>
        <vt:i4>1245247</vt:i4>
      </vt:variant>
      <vt:variant>
        <vt:i4>227</vt:i4>
      </vt:variant>
      <vt:variant>
        <vt:i4>0</vt:i4>
      </vt:variant>
      <vt:variant>
        <vt:i4>5</vt:i4>
      </vt:variant>
      <vt:variant>
        <vt:lpwstr/>
      </vt:variant>
      <vt:variant>
        <vt:lpwstr>_Toc245182039</vt:lpwstr>
      </vt:variant>
      <vt:variant>
        <vt:i4>1245247</vt:i4>
      </vt:variant>
      <vt:variant>
        <vt:i4>221</vt:i4>
      </vt:variant>
      <vt:variant>
        <vt:i4>0</vt:i4>
      </vt:variant>
      <vt:variant>
        <vt:i4>5</vt:i4>
      </vt:variant>
      <vt:variant>
        <vt:lpwstr/>
      </vt:variant>
      <vt:variant>
        <vt:lpwstr>_Toc245182038</vt:lpwstr>
      </vt:variant>
      <vt:variant>
        <vt:i4>1245247</vt:i4>
      </vt:variant>
      <vt:variant>
        <vt:i4>215</vt:i4>
      </vt:variant>
      <vt:variant>
        <vt:i4>0</vt:i4>
      </vt:variant>
      <vt:variant>
        <vt:i4>5</vt:i4>
      </vt:variant>
      <vt:variant>
        <vt:lpwstr/>
      </vt:variant>
      <vt:variant>
        <vt:lpwstr>_Toc245182037</vt:lpwstr>
      </vt:variant>
      <vt:variant>
        <vt:i4>1245247</vt:i4>
      </vt:variant>
      <vt:variant>
        <vt:i4>209</vt:i4>
      </vt:variant>
      <vt:variant>
        <vt:i4>0</vt:i4>
      </vt:variant>
      <vt:variant>
        <vt:i4>5</vt:i4>
      </vt:variant>
      <vt:variant>
        <vt:lpwstr/>
      </vt:variant>
      <vt:variant>
        <vt:lpwstr>_Toc245182036</vt:lpwstr>
      </vt:variant>
      <vt:variant>
        <vt:i4>1245247</vt:i4>
      </vt:variant>
      <vt:variant>
        <vt:i4>203</vt:i4>
      </vt:variant>
      <vt:variant>
        <vt:i4>0</vt:i4>
      </vt:variant>
      <vt:variant>
        <vt:i4>5</vt:i4>
      </vt:variant>
      <vt:variant>
        <vt:lpwstr/>
      </vt:variant>
      <vt:variant>
        <vt:lpwstr>_Toc245182035</vt:lpwstr>
      </vt:variant>
      <vt:variant>
        <vt:i4>1245247</vt:i4>
      </vt:variant>
      <vt:variant>
        <vt:i4>197</vt:i4>
      </vt:variant>
      <vt:variant>
        <vt:i4>0</vt:i4>
      </vt:variant>
      <vt:variant>
        <vt:i4>5</vt:i4>
      </vt:variant>
      <vt:variant>
        <vt:lpwstr/>
      </vt:variant>
      <vt:variant>
        <vt:lpwstr>_Toc245182034</vt:lpwstr>
      </vt:variant>
      <vt:variant>
        <vt:i4>1245247</vt:i4>
      </vt:variant>
      <vt:variant>
        <vt:i4>191</vt:i4>
      </vt:variant>
      <vt:variant>
        <vt:i4>0</vt:i4>
      </vt:variant>
      <vt:variant>
        <vt:i4>5</vt:i4>
      </vt:variant>
      <vt:variant>
        <vt:lpwstr/>
      </vt:variant>
      <vt:variant>
        <vt:lpwstr>_Toc245182033</vt:lpwstr>
      </vt:variant>
      <vt:variant>
        <vt:i4>1245247</vt:i4>
      </vt:variant>
      <vt:variant>
        <vt:i4>185</vt:i4>
      </vt:variant>
      <vt:variant>
        <vt:i4>0</vt:i4>
      </vt:variant>
      <vt:variant>
        <vt:i4>5</vt:i4>
      </vt:variant>
      <vt:variant>
        <vt:lpwstr/>
      </vt:variant>
      <vt:variant>
        <vt:lpwstr>_Toc245182032</vt:lpwstr>
      </vt:variant>
      <vt:variant>
        <vt:i4>1245247</vt:i4>
      </vt:variant>
      <vt:variant>
        <vt:i4>179</vt:i4>
      </vt:variant>
      <vt:variant>
        <vt:i4>0</vt:i4>
      </vt:variant>
      <vt:variant>
        <vt:i4>5</vt:i4>
      </vt:variant>
      <vt:variant>
        <vt:lpwstr/>
      </vt:variant>
      <vt:variant>
        <vt:lpwstr>_Toc245182031</vt:lpwstr>
      </vt:variant>
      <vt:variant>
        <vt:i4>1245247</vt:i4>
      </vt:variant>
      <vt:variant>
        <vt:i4>173</vt:i4>
      </vt:variant>
      <vt:variant>
        <vt:i4>0</vt:i4>
      </vt:variant>
      <vt:variant>
        <vt:i4>5</vt:i4>
      </vt:variant>
      <vt:variant>
        <vt:lpwstr/>
      </vt:variant>
      <vt:variant>
        <vt:lpwstr>_Toc245182030</vt:lpwstr>
      </vt:variant>
      <vt:variant>
        <vt:i4>1179711</vt:i4>
      </vt:variant>
      <vt:variant>
        <vt:i4>167</vt:i4>
      </vt:variant>
      <vt:variant>
        <vt:i4>0</vt:i4>
      </vt:variant>
      <vt:variant>
        <vt:i4>5</vt:i4>
      </vt:variant>
      <vt:variant>
        <vt:lpwstr/>
      </vt:variant>
      <vt:variant>
        <vt:lpwstr>_Toc245182029</vt:lpwstr>
      </vt:variant>
      <vt:variant>
        <vt:i4>1179711</vt:i4>
      </vt:variant>
      <vt:variant>
        <vt:i4>161</vt:i4>
      </vt:variant>
      <vt:variant>
        <vt:i4>0</vt:i4>
      </vt:variant>
      <vt:variant>
        <vt:i4>5</vt:i4>
      </vt:variant>
      <vt:variant>
        <vt:lpwstr/>
      </vt:variant>
      <vt:variant>
        <vt:lpwstr>_Toc245182028</vt:lpwstr>
      </vt:variant>
      <vt:variant>
        <vt:i4>1179711</vt:i4>
      </vt:variant>
      <vt:variant>
        <vt:i4>155</vt:i4>
      </vt:variant>
      <vt:variant>
        <vt:i4>0</vt:i4>
      </vt:variant>
      <vt:variant>
        <vt:i4>5</vt:i4>
      </vt:variant>
      <vt:variant>
        <vt:lpwstr/>
      </vt:variant>
      <vt:variant>
        <vt:lpwstr>_Toc245182027</vt:lpwstr>
      </vt:variant>
      <vt:variant>
        <vt:i4>1179711</vt:i4>
      </vt:variant>
      <vt:variant>
        <vt:i4>149</vt:i4>
      </vt:variant>
      <vt:variant>
        <vt:i4>0</vt:i4>
      </vt:variant>
      <vt:variant>
        <vt:i4>5</vt:i4>
      </vt:variant>
      <vt:variant>
        <vt:lpwstr/>
      </vt:variant>
      <vt:variant>
        <vt:lpwstr>_Toc245182026</vt:lpwstr>
      </vt:variant>
      <vt:variant>
        <vt:i4>1179711</vt:i4>
      </vt:variant>
      <vt:variant>
        <vt:i4>143</vt:i4>
      </vt:variant>
      <vt:variant>
        <vt:i4>0</vt:i4>
      </vt:variant>
      <vt:variant>
        <vt:i4>5</vt:i4>
      </vt:variant>
      <vt:variant>
        <vt:lpwstr/>
      </vt:variant>
      <vt:variant>
        <vt:lpwstr>_Toc245182025</vt:lpwstr>
      </vt:variant>
      <vt:variant>
        <vt:i4>1179711</vt:i4>
      </vt:variant>
      <vt:variant>
        <vt:i4>137</vt:i4>
      </vt:variant>
      <vt:variant>
        <vt:i4>0</vt:i4>
      </vt:variant>
      <vt:variant>
        <vt:i4>5</vt:i4>
      </vt:variant>
      <vt:variant>
        <vt:lpwstr/>
      </vt:variant>
      <vt:variant>
        <vt:lpwstr>_Toc245182024</vt:lpwstr>
      </vt:variant>
      <vt:variant>
        <vt:i4>1179711</vt:i4>
      </vt:variant>
      <vt:variant>
        <vt:i4>131</vt:i4>
      </vt:variant>
      <vt:variant>
        <vt:i4>0</vt:i4>
      </vt:variant>
      <vt:variant>
        <vt:i4>5</vt:i4>
      </vt:variant>
      <vt:variant>
        <vt:lpwstr/>
      </vt:variant>
      <vt:variant>
        <vt:lpwstr>_Toc245182023</vt:lpwstr>
      </vt:variant>
      <vt:variant>
        <vt:i4>1179711</vt:i4>
      </vt:variant>
      <vt:variant>
        <vt:i4>125</vt:i4>
      </vt:variant>
      <vt:variant>
        <vt:i4>0</vt:i4>
      </vt:variant>
      <vt:variant>
        <vt:i4>5</vt:i4>
      </vt:variant>
      <vt:variant>
        <vt:lpwstr/>
      </vt:variant>
      <vt:variant>
        <vt:lpwstr>_Toc245182022</vt:lpwstr>
      </vt:variant>
      <vt:variant>
        <vt:i4>1179711</vt:i4>
      </vt:variant>
      <vt:variant>
        <vt:i4>119</vt:i4>
      </vt:variant>
      <vt:variant>
        <vt:i4>0</vt:i4>
      </vt:variant>
      <vt:variant>
        <vt:i4>5</vt:i4>
      </vt:variant>
      <vt:variant>
        <vt:lpwstr/>
      </vt:variant>
      <vt:variant>
        <vt:lpwstr>_Toc245182021</vt:lpwstr>
      </vt:variant>
      <vt:variant>
        <vt:i4>1179711</vt:i4>
      </vt:variant>
      <vt:variant>
        <vt:i4>113</vt:i4>
      </vt:variant>
      <vt:variant>
        <vt:i4>0</vt:i4>
      </vt:variant>
      <vt:variant>
        <vt:i4>5</vt:i4>
      </vt:variant>
      <vt:variant>
        <vt:lpwstr/>
      </vt:variant>
      <vt:variant>
        <vt:lpwstr>_Toc245182020</vt:lpwstr>
      </vt:variant>
      <vt:variant>
        <vt:i4>1114175</vt:i4>
      </vt:variant>
      <vt:variant>
        <vt:i4>107</vt:i4>
      </vt:variant>
      <vt:variant>
        <vt:i4>0</vt:i4>
      </vt:variant>
      <vt:variant>
        <vt:i4>5</vt:i4>
      </vt:variant>
      <vt:variant>
        <vt:lpwstr/>
      </vt:variant>
      <vt:variant>
        <vt:lpwstr>_Toc245182019</vt:lpwstr>
      </vt:variant>
      <vt:variant>
        <vt:i4>1114175</vt:i4>
      </vt:variant>
      <vt:variant>
        <vt:i4>101</vt:i4>
      </vt:variant>
      <vt:variant>
        <vt:i4>0</vt:i4>
      </vt:variant>
      <vt:variant>
        <vt:i4>5</vt:i4>
      </vt:variant>
      <vt:variant>
        <vt:lpwstr/>
      </vt:variant>
      <vt:variant>
        <vt:lpwstr>_Toc245182018</vt:lpwstr>
      </vt:variant>
      <vt:variant>
        <vt:i4>1114175</vt:i4>
      </vt:variant>
      <vt:variant>
        <vt:i4>95</vt:i4>
      </vt:variant>
      <vt:variant>
        <vt:i4>0</vt:i4>
      </vt:variant>
      <vt:variant>
        <vt:i4>5</vt:i4>
      </vt:variant>
      <vt:variant>
        <vt:lpwstr/>
      </vt:variant>
      <vt:variant>
        <vt:lpwstr>_Toc245182017</vt:lpwstr>
      </vt:variant>
      <vt:variant>
        <vt:i4>1114175</vt:i4>
      </vt:variant>
      <vt:variant>
        <vt:i4>89</vt:i4>
      </vt:variant>
      <vt:variant>
        <vt:i4>0</vt:i4>
      </vt:variant>
      <vt:variant>
        <vt:i4>5</vt:i4>
      </vt:variant>
      <vt:variant>
        <vt:lpwstr/>
      </vt:variant>
      <vt:variant>
        <vt:lpwstr>_Toc245182016</vt:lpwstr>
      </vt:variant>
      <vt:variant>
        <vt:i4>1114175</vt:i4>
      </vt:variant>
      <vt:variant>
        <vt:i4>83</vt:i4>
      </vt:variant>
      <vt:variant>
        <vt:i4>0</vt:i4>
      </vt:variant>
      <vt:variant>
        <vt:i4>5</vt:i4>
      </vt:variant>
      <vt:variant>
        <vt:lpwstr/>
      </vt:variant>
      <vt:variant>
        <vt:lpwstr>_Toc245182015</vt:lpwstr>
      </vt:variant>
      <vt:variant>
        <vt:i4>1114175</vt:i4>
      </vt:variant>
      <vt:variant>
        <vt:i4>77</vt:i4>
      </vt:variant>
      <vt:variant>
        <vt:i4>0</vt:i4>
      </vt:variant>
      <vt:variant>
        <vt:i4>5</vt:i4>
      </vt:variant>
      <vt:variant>
        <vt:lpwstr/>
      </vt:variant>
      <vt:variant>
        <vt:lpwstr>_Toc245182014</vt:lpwstr>
      </vt:variant>
      <vt:variant>
        <vt:i4>1114175</vt:i4>
      </vt:variant>
      <vt:variant>
        <vt:i4>71</vt:i4>
      </vt:variant>
      <vt:variant>
        <vt:i4>0</vt:i4>
      </vt:variant>
      <vt:variant>
        <vt:i4>5</vt:i4>
      </vt:variant>
      <vt:variant>
        <vt:lpwstr/>
      </vt:variant>
      <vt:variant>
        <vt:lpwstr>_Toc245182013</vt:lpwstr>
      </vt:variant>
      <vt:variant>
        <vt:i4>1114175</vt:i4>
      </vt:variant>
      <vt:variant>
        <vt:i4>65</vt:i4>
      </vt:variant>
      <vt:variant>
        <vt:i4>0</vt:i4>
      </vt:variant>
      <vt:variant>
        <vt:i4>5</vt:i4>
      </vt:variant>
      <vt:variant>
        <vt:lpwstr/>
      </vt:variant>
      <vt:variant>
        <vt:lpwstr>_Toc245182012</vt:lpwstr>
      </vt:variant>
      <vt:variant>
        <vt:i4>1114175</vt:i4>
      </vt:variant>
      <vt:variant>
        <vt:i4>59</vt:i4>
      </vt:variant>
      <vt:variant>
        <vt:i4>0</vt:i4>
      </vt:variant>
      <vt:variant>
        <vt:i4>5</vt:i4>
      </vt:variant>
      <vt:variant>
        <vt:lpwstr/>
      </vt:variant>
      <vt:variant>
        <vt:lpwstr>_Toc245182011</vt:lpwstr>
      </vt:variant>
      <vt:variant>
        <vt:i4>1114175</vt:i4>
      </vt:variant>
      <vt:variant>
        <vt:i4>53</vt:i4>
      </vt:variant>
      <vt:variant>
        <vt:i4>0</vt:i4>
      </vt:variant>
      <vt:variant>
        <vt:i4>5</vt:i4>
      </vt:variant>
      <vt:variant>
        <vt:lpwstr/>
      </vt:variant>
      <vt:variant>
        <vt:lpwstr>_Toc245182010</vt:lpwstr>
      </vt:variant>
      <vt:variant>
        <vt:i4>1048639</vt:i4>
      </vt:variant>
      <vt:variant>
        <vt:i4>47</vt:i4>
      </vt:variant>
      <vt:variant>
        <vt:i4>0</vt:i4>
      </vt:variant>
      <vt:variant>
        <vt:i4>5</vt:i4>
      </vt:variant>
      <vt:variant>
        <vt:lpwstr/>
      </vt:variant>
      <vt:variant>
        <vt:lpwstr>_Toc245182009</vt:lpwstr>
      </vt:variant>
      <vt:variant>
        <vt:i4>1048639</vt:i4>
      </vt:variant>
      <vt:variant>
        <vt:i4>41</vt:i4>
      </vt:variant>
      <vt:variant>
        <vt:i4>0</vt:i4>
      </vt:variant>
      <vt:variant>
        <vt:i4>5</vt:i4>
      </vt:variant>
      <vt:variant>
        <vt:lpwstr/>
      </vt:variant>
      <vt:variant>
        <vt:lpwstr>_Toc245182008</vt:lpwstr>
      </vt:variant>
      <vt:variant>
        <vt:i4>1048639</vt:i4>
      </vt:variant>
      <vt:variant>
        <vt:i4>35</vt:i4>
      </vt:variant>
      <vt:variant>
        <vt:i4>0</vt:i4>
      </vt:variant>
      <vt:variant>
        <vt:i4>5</vt:i4>
      </vt:variant>
      <vt:variant>
        <vt:lpwstr/>
      </vt:variant>
      <vt:variant>
        <vt:lpwstr>_Toc245182007</vt:lpwstr>
      </vt:variant>
      <vt:variant>
        <vt:i4>1048639</vt:i4>
      </vt:variant>
      <vt:variant>
        <vt:i4>29</vt:i4>
      </vt:variant>
      <vt:variant>
        <vt:i4>0</vt:i4>
      </vt:variant>
      <vt:variant>
        <vt:i4>5</vt:i4>
      </vt:variant>
      <vt:variant>
        <vt:lpwstr/>
      </vt:variant>
      <vt:variant>
        <vt:lpwstr>_Toc245182006</vt:lpwstr>
      </vt:variant>
      <vt:variant>
        <vt:i4>1048639</vt:i4>
      </vt:variant>
      <vt:variant>
        <vt:i4>23</vt:i4>
      </vt:variant>
      <vt:variant>
        <vt:i4>0</vt:i4>
      </vt:variant>
      <vt:variant>
        <vt:i4>5</vt:i4>
      </vt:variant>
      <vt:variant>
        <vt:lpwstr/>
      </vt:variant>
      <vt:variant>
        <vt:lpwstr>_Toc245182005</vt:lpwstr>
      </vt:variant>
      <vt:variant>
        <vt:i4>1048639</vt:i4>
      </vt:variant>
      <vt:variant>
        <vt:i4>17</vt:i4>
      </vt:variant>
      <vt:variant>
        <vt:i4>0</vt:i4>
      </vt:variant>
      <vt:variant>
        <vt:i4>5</vt:i4>
      </vt:variant>
      <vt:variant>
        <vt:lpwstr/>
      </vt:variant>
      <vt:variant>
        <vt:lpwstr>_Toc245182004</vt:lpwstr>
      </vt:variant>
      <vt:variant>
        <vt:i4>1048639</vt:i4>
      </vt:variant>
      <vt:variant>
        <vt:i4>11</vt:i4>
      </vt:variant>
      <vt:variant>
        <vt:i4>0</vt:i4>
      </vt:variant>
      <vt:variant>
        <vt:i4>5</vt:i4>
      </vt:variant>
      <vt:variant>
        <vt:lpwstr/>
      </vt:variant>
      <vt:variant>
        <vt:lpwstr>_Toc245182003</vt:lpwstr>
      </vt:variant>
      <vt:variant>
        <vt:i4>1048639</vt:i4>
      </vt:variant>
      <vt:variant>
        <vt:i4>5</vt:i4>
      </vt:variant>
      <vt:variant>
        <vt:i4>0</vt:i4>
      </vt:variant>
      <vt:variant>
        <vt:i4>5</vt:i4>
      </vt:variant>
      <vt:variant>
        <vt:lpwstr/>
      </vt:variant>
      <vt:variant>
        <vt:lpwstr>_Toc245182002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2009-11-05T09:02:00Z</cp:lastPrinted>
  <dcterms:created xsi:type="dcterms:W3CDTF">2025-12-18T00:07:00Z</dcterms:created>
  <dcterms:modified xsi:type="dcterms:W3CDTF">2025-12-18T00:07:00Z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