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747D" w:rsidRPr="0033747D" w:rsidRDefault="0033747D">
      <w:pPr>
        <w:pStyle w:val="Frslagsrubrik"/>
        <w:shd w:val="clear" w:color="000000" w:fill="auto"/>
      </w:pPr>
      <w:r w:rsidRPr="0033747D">
        <w:t>Förslag till riksdagsbeslut</w:t>
      </w:r>
    </w:p>
    <w:p w:rsidR="0033747D" w:rsidRPr="0033747D" w:rsidRDefault="0033747D">
      <w:pPr>
        <w:pStyle w:val="Hemstlatt"/>
        <w:numPr>
          <w:ilvl w:val="0"/>
          <w:numId w:val="1"/>
        </w:numPr>
        <w:shd w:val="clear" w:color="000000" w:fill="auto"/>
      </w:pPr>
      <w:r w:rsidRPr="0033747D">
        <w:t>Riksdagen anvisar med följande ändringar i fö</w:t>
      </w:r>
      <w:r w:rsidRPr="0033747D">
        <w:t>r</w:t>
      </w:r>
      <w:r w:rsidRPr="0033747D">
        <w:t>hållande till regeringens förslag anslagen under utgiftsområde 1 Rikets styrelse enligt uppställning:</w:t>
      </w:r>
    </w:p>
    <w:tbl>
      <w:tblPr>
        <w:tblW w:w="6010" w:type="dxa"/>
        <w:tblInd w:w="55" w:type="dxa"/>
        <w:tblLayout w:type="fixed"/>
        <w:tblCellMar>
          <w:left w:w="70" w:type="dxa"/>
          <w:right w:w="70" w:type="dxa"/>
        </w:tblCellMar>
        <w:tblLook w:val="0000" w:firstRow="0" w:lastRow="0" w:firstColumn="0" w:lastColumn="0" w:noHBand="0" w:noVBand="0"/>
      </w:tblPr>
      <w:tblGrid>
        <w:gridCol w:w="706"/>
        <w:gridCol w:w="2309"/>
        <w:gridCol w:w="1569"/>
        <w:gridCol w:w="1426"/>
      </w:tblGrid>
      <w:tr w:rsidR="00000000" w:rsidRPr="0033747D">
        <w:trPr>
          <w:trHeight w:val="420"/>
        </w:trPr>
        <w:tc>
          <w:tcPr>
            <w:tcW w:w="706" w:type="dxa"/>
            <w:tcBorders>
              <w:top w:val="single" w:sz="4" w:space="0" w:color="auto"/>
              <w:left w:val="nil"/>
              <w:bottom w:val="single" w:sz="4" w:space="0" w:color="auto"/>
              <w:right w:val="nil"/>
            </w:tcBorders>
          </w:tcPr>
          <w:p w:rsidR="0033747D" w:rsidRPr="0033747D" w:rsidRDefault="0033747D">
            <w:pPr>
              <w:shd w:val="clear" w:color="000000" w:fill="auto"/>
              <w:spacing w:before="60" w:line="200" w:lineRule="exact"/>
              <w:rPr>
                <w:b/>
                <w:bCs/>
                <w:color w:val="000000"/>
                <w:sz w:val="16"/>
                <w:szCs w:val="16"/>
              </w:rPr>
            </w:pPr>
            <w:r w:rsidRPr="0033747D">
              <w:rPr>
                <w:b/>
                <w:bCs/>
                <w:color w:val="000000"/>
                <w:sz w:val="16"/>
                <w:szCs w:val="16"/>
              </w:rPr>
              <w:t>Anslag</w:t>
            </w:r>
          </w:p>
        </w:tc>
        <w:tc>
          <w:tcPr>
            <w:tcW w:w="2309" w:type="dxa"/>
            <w:tcBorders>
              <w:top w:val="single" w:sz="4" w:space="0" w:color="auto"/>
              <w:left w:val="nil"/>
              <w:bottom w:val="single" w:sz="4" w:space="0" w:color="auto"/>
              <w:right w:val="nil"/>
            </w:tcBorders>
          </w:tcPr>
          <w:p w:rsidR="0033747D" w:rsidRPr="0033747D" w:rsidRDefault="0033747D">
            <w:pPr>
              <w:shd w:val="clear" w:color="000000" w:fill="auto"/>
              <w:spacing w:before="60" w:line="200" w:lineRule="exact"/>
              <w:jc w:val="center"/>
              <w:rPr>
                <w:b/>
                <w:bCs/>
                <w:color w:val="000000"/>
                <w:sz w:val="16"/>
                <w:szCs w:val="16"/>
              </w:rPr>
            </w:pPr>
          </w:p>
        </w:tc>
        <w:tc>
          <w:tcPr>
            <w:tcW w:w="1569" w:type="dxa"/>
            <w:tcBorders>
              <w:top w:val="single" w:sz="4" w:space="0" w:color="auto"/>
              <w:left w:val="nil"/>
              <w:bottom w:val="single" w:sz="4" w:space="0" w:color="auto"/>
              <w:right w:val="nil"/>
            </w:tcBorders>
          </w:tcPr>
          <w:p w:rsidR="0033747D" w:rsidRPr="0033747D" w:rsidRDefault="0033747D">
            <w:pPr>
              <w:shd w:val="clear" w:color="000000" w:fill="auto"/>
              <w:spacing w:before="60" w:line="200" w:lineRule="exact"/>
              <w:jc w:val="center"/>
              <w:rPr>
                <w:b/>
                <w:bCs/>
                <w:color w:val="000000"/>
                <w:sz w:val="16"/>
                <w:szCs w:val="16"/>
              </w:rPr>
            </w:pPr>
            <w:r w:rsidRPr="0033747D">
              <w:rPr>
                <w:b/>
                <w:bCs/>
                <w:color w:val="000000"/>
                <w:sz w:val="16"/>
                <w:szCs w:val="16"/>
              </w:rPr>
              <w:t>Regeringens förslag (tkr)</w:t>
            </w:r>
          </w:p>
        </w:tc>
        <w:tc>
          <w:tcPr>
            <w:tcW w:w="1426" w:type="dxa"/>
            <w:tcBorders>
              <w:top w:val="single" w:sz="4" w:space="0" w:color="auto"/>
              <w:left w:val="nil"/>
              <w:bottom w:val="single" w:sz="4" w:space="0" w:color="auto"/>
              <w:right w:val="nil"/>
            </w:tcBorders>
          </w:tcPr>
          <w:p w:rsidR="0033747D" w:rsidRPr="0033747D" w:rsidRDefault="0033747D">
            <w:pPr>
              <w:shd w:val="clear" w:color="000000" w:fill="auto"/>
              <w:spacing w:before="60" w:line="200" w:lineRule="exact"/>
              <w:jc w:val="center"/>
              <w:rPr>
                <w:b/>
                <w:bCs/>
                <w:color w:val="000000"/>
                <w:sz w:val="16"/>
                <w:szCs w:val="16"/>
              </w:rPr>
            </w:pPr>
            <w:r w:rsidRPr="0033747D">
              <w:rPr>
                <w:b/>
                <w:bCs/>
                <w:color w:val="000000"/>
                <w:sz w:val="16"/>
                <w:szCs w:val="16"/>
              </w:rPr>
              <w:t>Förändring (tkr)</w:t>
            </w:r>
          </w:p>
        </w:tc>
      </w:tr>
      <w:tr w:rsidR="00000000" w:rsidRPr="0033747D">
        <w:trPr>
          <w:trHeight w:val="319"/>
        </w:trPr>
        <w:tc>
          <w:tcPr>
            <w:tcW w:w="706" w:type="dxa"/>
            <w:tcBorders>
              <w:top w:val="single" w:sz="4" w:space="0" w:color="auto"/>
              <w:left w:val="nil"/>
              <w:bottom w:val="nil"/>
              <w:right w:val="nil"/>
            </w:tcBorders>
            <w:vAlign w:val="bottom"/>
          </w:tcPr>
          <w:p w:rsidR="0033747D" w:rsidRPr="0033747D" w:rsidRDefault="0033747D">
            <w:pPr>
              <w:shd w:val="clear" w:color="000000" w:fill="auto"/>
              <w:spacing w:before="60" w:line="200" w:lineRule="exact"/>
              <w:rPr>
                <w:color w:val="000000"/>
                <w:sz w:val="16"/>
                <w:szCs w:val="16"/>
              </w:rPr>
            </w:pPr>
            <w:r w:rsidRPr="0033747D">
              <w:rPr>
                <w:color w:val="000000"/>
                <w:sz w:val="16"/>
                <w:szCs w:val="16"/>
              </w:rPr>
              <w:t>1:1</w:t>
            </w:r>
          </w:p>
        </w:tc>
        <w:tc>
          <w:tcPr>
            <w:tcW w:w="2309" w:type="dxa"/>
            <w:tcBorders>
              <w:top w:val="single" w:sz="4" w:space="0" w:color="auto"/>
              <w:left w:val="nil"/>
              <w:bottom w:val="nil"/>
              <w:right w:val="nil"/>
            </w:tcBorders>
            <w:vAlign w:val="bottom"/>
          </w:tcPr>
          <w:p w:rsidR="0033747D" w:rsidRPr="0033747D" w:rsidRDefault="0033747D">
            <w:pPr>
              <w:shd w:val="clear" w:color="000000" w:fill="auto"/>
              <w:spacing w:before="60" w:line="200" w:lineRule="exact"/>
              <w:rPr>
                <w:color w:val="000000"/>
                <w:sz w:val="16"/>
                <w:szCs w:val="16"/>
              </w:rPr>
            </w:pPr>
            <w:r w:rsidRPr="0033747D">
              <w:rPr>
                <w:color w:val="000000"/>
                <w:sz w:val="16"/>
                <w:szCs w:val="16"/>
              </w:rPr>
              <w:t>Kungliga hov- och slottsstaten</w:t>
            </w:r>
          </w:p>
        </w:tc>
        <w:tc>
          <w:tcPr>
            <w:tcW w:w="1569" w:type="dxa"/>
            <w:tcBorders>
              <w:top w:val="single" w:sz="4" w:space="0" w:color="auto"/>
              <w:left w:val="nil"/>
              <w:bottom w:val="nil"/>
              <w:right w:val="nil"/>
            </w:tcBorders>
            <w:vAlign w:val="bottom"/>
          </w:tcPr>
          <w:p w:rsidR="0033747D" w:rsidRPr="0033747D" w:rsidRDefault="0033747D">
            <w:pPr>
              <w:shd w:val="clear" w:color="000000" w:fill="auto"/>
              <w:spacing w:before="60" w:line="200" w:lineRule="exact"/>
              <w:ind w:right="539"/>
              <w:jc w:val="right"/>
              <w:rPr>
                <w:color w:val="000000"/>
                <w:sz w:val="16"/>
                <w:szCs w:val="16"/>
              </w:rPr>
            </w:pPr>
            <w:r w:rsidRPr="0033747D">
              <w:rPr>
                <w:color w:val="000000"/>
                <w:sz w:val="16"/>
                <w:szCs w:val="16"/>
              </w:rPr>
              <w:t>124 952</w:t>
            </w:r>
          </w:p>
        </w:tc>
        <w:tc>
          <w:tcPr>
            <w:tcW w:w="1426" w:type="dxa"/>
            <w:tcBorders>
              <w:top w:val="single" w:sz="4" w:space="0" w:color="auto"/>
              <w:left w:val="nil"/>
              <w:bottom w:val="nil"/>
              <w:right w:val="nil"/>
            </w:tcBorders>
            <w:vAlign w:val="bottom"/>
          </w:tcPr>
          <w:p w:rsidR="0033747D" w:rsidRPr="0033747D" w:rsidRDefault="0033747D">
            <w:pPr>
              <w:shd w:val="clear" w:color="000000" w:fill="auto"/>
              <w:spacing w:before="60" w:line="200" w:lineRule="exact"/>
              <w:ind w:right="405"/>
              <w:jc w:val="right"/>
              <w:rPr>
                <w:color w:val="000000"/>
                <w:sz w:val="16"/>
                <w:szCs w:val="16"/>
              </w:rPr>
            </w:pPr>
            <w:r w:rsidRPr="0033747D">
              <w:rPr>
                <w:color w:val="000000"/>
                <w:sz w:val="16"/>
                <w:szCs w:val="16"/>
              </w:rPr>
              <w:t>–17 000</w:t>
            </w:r>
          </w:p>
        </w:tc>
      </w:tr>
      <w:tr w:rsidR="00000000" w:rsidRPr="0033747D">
        <w:trPr>
          <w:trHeight w:val="319"/>
        </w:trPr>
        <w:tc>
          <w:tcPr>
            <w:tcW w:w="706" w:type="dxa"/>
            <w:tcBorders>
              <w:top w:val="nil"/>
              <w:left w:val="nil"/>
              <w:bottom w:val="nil"/>
              <w:right w:val="nil"/>
            </w:tcBorders>
          </w:tcPr>
          <w:p w:rsidR="0033747D" w:rsidRPr="0033747D" w:rsidRDefault="0033747D">
            <w:pPr>
              <w:shd w:val="clear" w:color="000000" w:fill="auto"/>
              <w:spacing w:before="60" w:line="200" w:lineRule="exact"/>
              <w:rPr>
                <w:color w:val="000000"/>
                <w:sz w:val="16"/>
                <w:szCs w:val="16"/>
              </w:rPr>
            </w:pPr>
            <w:r w:rsidRPr="0033747D">
              <w:rPr>
                <w:color w:val="000000"/>
                <w:sz w:val="16"/>
                <w:szCs w:val="16"/>
              </w:rPr>
              <w:t>2:1</w:t>
            </w:r>
          </w:p>
        </w:tc>
        <w:tc>
          <w:tcPr>
            <w:tcW w:w="2309" w:type="dxa"/>
            <w:tcBorders>
              <w:top w:val="nil"/>
              <w:left w:val="nil"/>
              <w:bottom w:val="nil"/>
              <w:right w:val="nil"/>
            </w:tcBorders>
            <w:vAlign w:val="bottom"/>
          </w:tcPr>
          <w:p w:rsidR="0033747D" w:rsidRPr="0033747D" w:rsidRDefault="0033747D">
            <w:pPr>
              <w:shd w:val="clear" w:color="000000" w:fill="auto"/>
              <w:spacing w:before="60" w:line="200" w:lineRule="exact"/>
              <w:rPr>
                <w:color w:val="000000"/>
                <w:sz w:val="16"/>
                <w:szCs w:val="16"/>
              </w:rPr>
            </w:pPr>
            <w:r w:rsidRPr="0033747D">
              <w:rPr>
                <w:color w:val="000000"/>
                <w:sz w:val="16"/>
                <w:szCs w:val="16"/>
              </w:rPr>
              <w:t>Riksdagens ledamöter och partier m.m.</w:t>
            </w:r>
          </w:p>
        </w:tc>
        <w:tc>
          <w:tcPr>
            <w:tcW w:w="1569" w:type="dxa"/>
            <w:tcBorders>
              <w:top w:val="nil"/>
              <w:left w:val="nil"/>
              <w:bottom w:val="nil"/>
              <w:right w:val="nil"/>
            </w:tcBorders>
            <w:vAlign w:val="bottom"/>
          </w:tcPr>
          <w:p w:rsidR="0033747D" w:rsidRPr="0033747D" w:rsidRDefault="0033747D">
            <w:pPr>
              <w:shd w:val="clear" w:color="000000" w:fill="auto"/>
              <w:spacing w:before="60" w:line="200" w:lineRule="exact"/>
              <w:ind w:right="539"/>
              <w:jc w:val="right"/>
              <w:rPr>
                <w:color w:val="000000"/>
                <w:sz w:val="16"/>
                <w:szCs w:val="16"/>
              </w:rPr>
            </w:pPr>
            <w:r w:rsidRPr="0033747D">
              <w:rPr>
                <w:color w:val="000000"/>
                <w:sz w:val="16"/>
                <w:szCs w:val="16"/>
              </w:rPr>
              <w:t>828 691</w:t>
            </w:r>
          </w:p>
        </w:tc>
        <w:tc>
          <w:tcPr>
            <w:tcW w:w="1426" w:type="dxa"/>
            <w:tcBorders>
              <w:top w:val="nil"/>
              <w:left w:val="nil"/>
              <w:bottom w:val="nil"/>
              <w:right w:val="nil"/>
            </w:tcBorders>
            <w:vAlign w:val="bottom"/>
          </w:tcPr>
          <w:p w:rsidR="0033747D" w:rsidRPr="0033747D" w:rsidRDefault="0033747D">
            <w:pPr>
              <w:shd w:val="clear" w:color="000000" w:fill="auto"/>
              <w:spacing w:before="60" w:line="200" w:lineRule="exact"/>
              <w:ind w:right="405"/>
              <w:jc w:val="right"/>
              <w:rPr>
                <w:color w:val="000000"/>
                <w:sz w:val="16"/>
                <w:szCs w:val="16"/>
              </w:rPr>
            </w:pPr>
            <w:r w:rsidRPr="0033747D">
              <w:rPr>
                <w:color w:val="000000"/>
                <w:sz w:val="16"/>
                <w:szCs w:val="16"/>
              </w:rPr>
              <w:t>–51 000</w:t>
            </w:r>
          </w:p>
        </w:tc>
      </w:tr>
      <w:tr w:rsidR="00000000" w:rsidRPr="0033747D">
        <w:trPr>
          <w:trHeight w:val="319"/>
        </w:trPr>
        <w:tc>
          <w:tcPr>
            <w:tcW w:w="706" w:type="dxa"/>
            <w:tcBorders>
              <w:top w:val="nil"/>
              <w:left w:val="nil"/>
              <w:bottom w:val="nil"/>
              <w:right w:val="nil"/>
            </w:tcBorders>
            <w:vAlign w:val="bottom"/>
          </w:tcPr>
          <w:p w:rsidR="0033747D" w:rsidRPr="0033747D" w:rsidRDefault="0033747D">
            <w:pPr>
              <w:shd w:val="clear" w:color="000000" w:fill="auto"/>
              <w:spacing w:before="60" w:line="200" w:lineRule="exact"/>
              <w:rPr>
                <w:color w:val="000000"/>
                <w:sz w:val="16"/>
                <w:szCs w:val="16"/>
              </w:rPr>
            </w:pPr>
            <w:r w:rsidRPr="0033747D">
              <w:rPr>
                <w:color w:val="000000"/>
                <w:sz w:val="16"/>
                <w:szCs w:val="16"/>
              </w:rPr>
              <w:t>4:1</w:t>
            </w:r>
          </w:p>
        </w:tc>
        <w:tc>
          <w:tcPr>
            <w:tcW w:w="2309" w:type="dxa"/>
            <w:tcBorders>
              <w:top w:val="nil"/>
              <w:left w:val="nil"/>
              <w:bottom w:val="nil"/>
              <w:right w:val="nil"/>
            </w:tcBorders>
            <w:vAlign w:val="bottom"/>
          </w:tcPr>
          <w:p w:rsidR="0033747D" w:rsidRPr="0033747D" w:rsidRDefault="0033747D">
            <w:pPr>
              <w:shd w:val="clear" w:color="000000" w:fill="auto"/>
              <w:spacing w:before="60" w:line="200" w:lineRule="exact"/>
              <w:rPr>
                <w:color w:val="000000"/>
                <w:sz w:val="16"/>
                <w:szCs w:val="16"/>
              </w:rPr>
            </w:pPr>
            <w:r w:rsidRPr="0033747D">
              <w:rPr>
                <w:color w:val="000000"/>
                <w:sz w:val="16"/>
                <w:szCs w:val="16"/>
              </w:rPr>
              <w:t>Regeringskansliet m.m.</w:t>
            </w:r>
          </w:p>
        </w:tc>
        <w:tc>
          <w:tcPr>
            <w:tcW w:w="1569" w:type="dxa"/>
            <w:tcBorders>
              <w:top w:val="nil"/>
              <w:left w:val="nil"/>
              <w:bottom w:val="nil"/>
              <w:right w:val="nil"/>
            </w:tcBorders>
            <w:vAlign w:val="bottom"/>
          </w:tcPr>
          <w:p w:rsidR="0033747D" w:rsidRPr="0033747D" w:rsidRDefault="0033747D">
            <w:pPr>
              <w:shd w:val="clear" w:color="000000" w:fill="auto"/>
              <w:spacing w:before="60" w:line="200" w:lineRule="exact"/>
              <w:ind w:right="539"/>
              <w:jc w:val="right"/>
              <w:rPr>
                <w:color w:val="000000"/>
                <w:sz w:val="16"/>
                <w:szCs w:val="16"/>
              </w:rPr>
            </w:pPr>
            <w:r w:rsidRPr="0033747D">
              <w:rPr>
                <w:color w:val="000000"/>
                <w:sz w:val="16"/>
                <w:szCs w:val="16"/>
              </w:rPr>
              <w:t>6 705 299</w:t>
            </w:r>
          </w:p>
        </w:tc>
        <w:tc>
          <w:tcPr>
            <w:tcW w:w="1426" w:type="dxa"/>
            <w:tcBorders>
              <w:top w:val="nil"/>
              <w:left w:val="nil"/>
              <w:bottom w:val="nil"/>
              <w:right w:val="nil"/>
            </w:tcBorders>
            <w:vAlign w:val="bottom"/>
          </w:tcPr>
          <w:p w:rsidR="0033747D" w:rsidRPr="0033747D" w:rsidRDefault="0033747D">
            <w:pPr>
              <w:shd w:val="clear" w:color="000000" w:fill="auto"/>
              <w:spacing w:before="60" w:line="200" w:lineRule="exact"/>
              <w:ind w:right="405"/>
              <w:jc w:val="right"/>
              <w:rPr>
                <w:color w:val="000000"/>
                <w:sz w:val="16"/>
                <w:szCs w:val="16"/>
              </w:rPr>
            </w:pPr>
            <w:r w:rsidRPr="0033747D">
              <w:rPr>
                <w:color w:val="000000"/>
                <w:sz w:val="16"/>
                <w:szCs w:val="16"/>
              </w:rPr>
              <w:t>–600 000</w:t>
            </w:r>
          </w:p>
        </w:tc>
      </w:tr>
      <w:tr w:rsidR="00000000" w:rsidRPr="0033747D">
        <w:trPr>
          <w:trHeight w:val="319"/>
        </w:trPr>
        <w:tc>
          <w:tcPr>
            <w:tcW w:w="706" w:type="dxa"/>
            <w:tcBorders>
              <w:top w:val="nil"/>
              <w:left w:val="nil"/>
              <w:bottom w:val="nil"/>
              <w:right w:val="nil"/>
            </w:tcBorders>
          </w:tcPr>
          <w:p w:rsidR="0033747D" w:rsidRPr="0033747D" w:rsidRDefault="0033747D">
            <w:pPr>
              <w:shd w:val="clear" w:color="000000" w:fill="auto"/>
              <w:spacing w:before="60" w:line="200" w:lineRule="exact"/>
              <w:rPr>
                <w:color w:val="000000"/>
                <w:sz w:val="16"/>
                <w:szCs w:val="16"/>
              </w:rPr>
            </w:pPr>
            <w:r w:rsidRPr="0033747D">
              <w:rPr>
                <w:color w:val="000000"/>
                <w:sz w:val="16"/>
                <w:szCs w:val="16"/>
              </w:rPr>
              <w:t>9:1</w:t>
            </w:r>
          </w:p>
        </w:tc>
        <w:tc>
          <w:tcPr>
            <w:tcW w:w="2309" w:type="dxa"/>
            <w:tcBorders>
              <w:top w:val="nil"/>
              <w:left w:val="nil"/>
              <w:bottom w:val="nil"/>
              <w:right w:val="nil"/>
            </w:tcBorders>
            <w:vAlign w:val="bottom"/>
          </w:tcPr>
          <w:p w:rsidR="0033747D" w:rsidRPr="0033747D" w:rsidRDefault="0033747D">
            <w:pPr>
              <w:shd w:val="clear" w:color="000000" w:fill="auto"/>
              <w:spacing w:before="60" w:line="200" w:lineRule="exact"/>
              <w:ind w:right="57"/>
              <w:rPr>
                <w:color w:val="000000"/>
                <w:sz w:val="16"/>
                <w:szCs w:val="16"/>
              </w:rPr>
            </w:pPr>
            <w:r w:rsidRPr="0033747D">
              <w:rPr>
                <w:color w:val="000000"/>
                <w:sz w:val="16"/>
                <w:szCs w:val="16"/>
              </w:rPr>
              <w:t>Svenska institutet för europap</w:t>
            </w:r>
            <w:r w:rsidRPr="0033747D">
              <w:rPr>
                <w:color w:val="000000"/>
                <w:sz w:val="16"/>
                <w:szCs w:val="16"/>
              </w:rPr>
              <w:t>o</w:t>
            </w:r>
            <w:r w:rsidRPr="0033747D">
              <w:rPr>
                <w:color w:val="000000"/>
                <w:sz w:val="16"/>
                <w:szCs w:val="16"/>
              </w:rPr>
              <w:t>litiska studier samt EU-infor-mation</w:t>
            </w:r>
          </w:p>
        </w:tc>
        <w:tc>
          <w:tcPr>
            <w:tcW w:w="1569" w:type="dxa"/>
            <w:tcBorders>
              <w:top w:val="nil"/>
              <w:left w:val="nil"/>
              <w:bottom w:val="nil"/>
              <w:right w:val="nil"/>
            </w:tcBorders>
            <w:vAlign w:val="bottom"/>
          </w:tcPr>
          <w:p w:rsidR="0033747D" w:rsidRPr="0033747D" w:rsidRDefault="0033747D">
            <w:pPr>
              <w:shd w:val="clear" w:color="000000" w:fill="auto"/>
              <w:spacing w:before="60" w:line="200" w:lineRule="exact"/>
              <w:ind w:right="539"/>
              <w:jc w:val="right"/>
              <w:rPr>
                <w:color w:val="000000"/>
                <w:sz w:val="16"/>
                <w:szCs w:val="16"/>
              </w:rPr>
            </w:pPr>
            <w:r w:rsidRPr="0033747D">
              <w:rPr>
                <w:color w:val="000000"/>
                <w:sz w:val="16"/>
                <w:szCs w:val="16"/>
              </w:rPr>
              <w:t>18 920</w:t>
            </w:r>
          </w:p>
        </w:tc>
        <w:tc>
          <w:tcPr>
            <w:tcW w:w="1426" w:type="dxa"/>
            <w:tcBorders>
              <w:top w:val="nil"/>
              <w:left w:val="nil"/>
              <w:bottom w:val="nil"/>
              <w:right w:val="nil"/>
            </w:tcBorders>
            <w:vAlign w:val="bottom"/>
          </w:tcPr>
          <w:p w:rsidR="0033747D" w:rsidRPr="0033747D" w:rsidRDefault="0033747D">
            <w:pPr>
              <w:shd w:val="clear" w:color="000000" w:fill="auto"/>
              <w:spacing w:before="60" w:line="200" w:lineRule="exact"/>
              <w:ind w:right="405"/>
              <w:jc w:val="right"/>
              <w:rPr>
                <w:color w:val="000000"/>
                <w:sz w:val="16"/>
                <w:szCs w:val="16"/>
              </w:rPr>
            </w:pPr>
            <w:r w:rsidRPr="0033747D">
              <w:rPr>
                <w:color w:val="000000"/>
                <w:sz w:val="16"/>
                <w:szCs w:val="16"/>
              </w:rPr>
              <w:t>–18 920</w:t>
            </w:r>
          </w:p>
        </w:tc>
      </w:tr>
      <w:tr w:rsidR="00000000" w:rsidRPr="0033747D">
        <w:trPr>
          <w:trHeight w:val="319"/>
        </w:trPr>
        <w:tc>
          <w:tcPr>
            <w:tcW w:w="706" w:type="dxa"/>
            <w:tcBorders>
              <w:top w:val="nil"/>
              <w:left w:val="nil"/>
              <w:bottom w:val="single" w:sz="4" w:space="0" w:color="auto"/>
              <w:right w:val="nil"/>
            </w:tcBorders>
          </w:tcPr>
          <w:p w:rsidR="0033747D" w:rsidRPr="0033747D" w:rsidRDefault="0033747D">
            <w:pPr>
              <w:shd w:val="clear" w:color="000000" w:fill="auto"/>
              <w:spacing w:before="60" w:line="200" w:lineRule="exact"/>
              <w:rPr>
                <w:b/>
                <w:bCs/>
                <w:color w:val="000000"/>
                <w:sz w:val="16"/>
                <w:szCs w:val="16"/>
              </w:rPr>
            </w:pPr>
          </w:p>
        </w:tc>
        <w:tc>
          <w:tcPr>
            <w:tcW w:w="2309" w:type="dxa"/>
            <w:tcBorders>
              <w:top w:val="nil"/>
              <w:left w:val="nil"/>
              <w:bottom w:val="single" w:sz="4" w:space="0" w:color="auto"/>
              <w:right w:val="nil"/>
            </w:tcBorders>
            <w:vAlign w:val="bottom"/>
          </w:tcPr>
          <w:p w:rsidR="0033747D" w:rsidRPr="0033747D" w:rsidRDefault="0033747D">
            <w:pPr>
              <w:shd w:val="clear" w:color="000000" w:fill="auto"/>
              <w:spacing w:before="60" w:line="200" w:lineRule="exact"/>
              <w:rPr>
                <w:b/>
                <w:bCs/>
                <w:color w:val="000000"/>
                <w:sz w:val="16"/>
                <w:szCs w:val="16"/>
              </w:rPr>
            </w:pPr>
            <w:r w:rsidRPr="0033747D">
              <w:rPr>
                <w:b/>
                <w:bCs/>
                <w:color w:val="000000"/>
                <w:sz w:val="16"/>
                <w:szCs w:val="16"/>
              </w:rPr>
              <w:t>Summa:</w:t>
            </w:r>
          </w:p>
        </w:tc>
        <w:tc>
          <w:tcPr>
            <w:tcW w:w="1569" w:type="dxa"/>
            <w:tcBorders>
              <w:top w:val="nil"/>
              <w:left w:val="nil"/>
              <w:bottom w:val="single" w:sz="4" w:space="0" w:color="auto"/>
              <w:right w:val="nil"/>
            </w:tcBorders>
            <w:vAlign w:val="bottom"/>
          </w:tcPr>
          <w:p w:rsidR="0033747D" w:rsidRPr="0033747D" w:rsidRDefault="0033747D">
            <w:pPr>
              <w:shd w:val="clear" w:color="000000" w:fill="auto"/>
              <w:spacing w:before="60" w:line="200" w:lineRule="exact"/>
              <w:ind w:right="539"/>
              <w:jc w:val="right"/>
              <w:rPr>
                <w:b/>
                <w:bCs/>
                <w:color w:val="000000"/>
                <w:sz w:val="16"/>
                <w:szCs w:val="16"/>
              </w:rPr>
            </w:pPr>
          </w:p>
        </w:tc>
        <w:tc>
          <w:tcPr>
            <w:tcW w:w="1426" w:type="dxa"/>
            <w:tcBorders>
              <w:top w:val="nil"/>
              <w:left w:val="nil"/>
              <w:bottom w:val="single" w:sz="4" w:space="0" w:color="auto"/>
              <w:right w:val="nil"/>
            </w:tcBorders>
            <w:vAlign w:val="bottom"/>
          </w:tcPr>
          <w:p w:rsidR="0033747D" w:rsidRPr="0033747D" w:rsidRDefault="0033747D">
            <w:pPr>
              <w:shd w:val="clear" w:color="000000" w:fill="auto"/>
              <w:spacing w:before="60" w:line="200" w:lineRule="exact"/>
              <w:ind w:right="405"/>
              <w:jc w:val="right"/>
              <w:rPr>
                <w:b/>
                <w:bCs/>
                <w:color w:val="000000"/>
                <w:sz w:val="16"/>
                <w:szCs w:val="16"/>
              </w:rPr>
            </w:pPr>
            <w:r w:rsidRPr="0033747D">
              <w:rPr>
                <w:b/>
                <w:bCs/>
                <w:color w:val="000000"/>
                <w:sz w:val="16"/>
                <w:szCs w:val="16"/>
              </w:rPr>
              <w:t>–686 920</w:t>
            </w:r>
          </w:p>
        </w:tc>
      </w:tr>
    </w:tbl>
    <w:p w:rsidR="0033747D" w:rsidRPr="0033747D" w:rsidRDefault="0033747D">
      <w:pPr>
        <w:shd w:val="clear" w:color="000000" w:fill="auto"/>
        <w:spacing w:line="40" w:lineRule="exact"/>
      </w:pPr>
    </w:p>
    <w:p w:rsidR="0033747D" w:rsidRPr="0033747D" w:rsidRDefault="0033747D">
      <w:pPr>
        <w:pStyle w:val="Hemstlatt"/>
        <w:numPr>
          <w:ilvl w:val="0"/>
          <w:numId w:val="1"/>
        </w:numPr>
        <w:shd w:val="clear" w:color="000000" w:fill="auto"/>
      </w:pPr>
      <w:r w:rsidRPr="0033747D">
        <w:t>Riksdagen tillkännager för regeringen som sin mening vad som anförs i motionen om att finansieringen av kronprinsessans officiella funktioner ska lösas inom detta anslag.</w:t>
      </w:r>
    </w:p>
    <w:p w:rsidR="0033747D" w:rsidRPr="0033747D" w:rsidRDefault="0033747D">
      <w:pPr>
        <w:pStyle w:val="Hemstlatt"/>
        <w:numPr>
          <w:ilvl w:val="0"/>
          <w:numId w:val="1"/>
        </w:numPr>
        <w:shd w:val="clear" w:color="000000" w:fill="auto"/>
      </w:pPr>
      <w:r w:rsidRPr="0033747D">
        <w:t>Riksdagen tillkännager för regeringen som sin mening vad som anförs i motionen om att Svenska institutet för europapolitiska st</w:t>
      </w:r>
      <w:r w:rsidRPr="0033747D">
        <w:t>u</w:t>
      </w:r>
      <w:r w:rsidRPr="0033747D">
        <w:t>dier (Sieps) bör läggas ned.</w:t>
      </w:r>
    </w:p>
    <w:p w:rsidR="0033747D" w:rsidRPr="0033747D" w:rsidRDefault="0033747D">
      <w:pPr>
        <w:pStyle w:val="Hemstlatt"/>
        <w:numPr>
          <w:ilvl w:val="0"/>
          <w:numId w:val="1"/>
        </w:numPr>
        <w:shd w:val="clear" w:color="000000" w:fill="auto"/>
      </w:pPr>
      <w:r w:rsidRPr="0033747D">
        <w:t>Riksdagen tillkännager för regeringen som sin mening vad som anförs i motionen om att regeringen bör återkomma till riksdagen med förslag på hur en bred och folkligt förankrad EU-debatt bäst kan stimuleras.</w:t>
      </w:r>
    </w:p>
    <w:p w:rsidR="0033747D" w:rsidRPr="0033747D" w:rsidRDefault="0033747D">
      <w:pPr>
        <w:pStyle w:val="Rubrik1"/>
        <w:shd w:val="clear" w:color="000000" w:fill="auto"/>
      </w:pPr>
      <w:r w:rsidRPr="0033747D">
        <w:t>Inledning</w:t>
      </w:r>
    </w:p>
    <w:p w:rsidR="0033747D" w:rsidRPr="0033747D" w:rsidRDefault="0033747D">
      <w:pPr>
        <w:shd w:val="clear" w:color="000000" w:fill="auto"/>
      </w:pPr>
      <w:r w:rsidRPr="0033747D">
        <w:t>Utgiftsområde 1 Rikets styrelse är ett utgiftsområde som spänner över många av statens verksamhetsfält. Där samsas bl.a. samepolitiken och nationell m</w:t>
      </w:r>
      <w:r w:rsidRPr="0033747D">
        <w:t>i</w:t>
      </w:r>
      <w:r w:rsidRPr="0033747D">
        <w:lastRenderedPageBreak/>
        <w:t>noritetspolitik med delar av mediepolitiken, länsstyrelsernas verksamhet med Regeringskansliet, satsningar på att fördjupa den svenska demokratin med hovstatens budget för monarkin. Den summa som beräknas för utgiftsområdet totalt är drygt 12 miljarder kronor, som till största del täcker kostnader för viktig eller nödvändig statlig verksamhet. Men på några punkter ser sig Vän</w:t>
      </w:r>
      <w:r w:rsidRPr="0033747D">
        <w:t>s</w:t>
      </w:r>
      <w:r w:rsidRPr="0033747D">
        <w:t>terpartiet manat att presentera alternativa budgetförslag.</w:t>
      </w:r>
    </w:p>
    <w:p w:rsidR="0033747D" w:rsidRPr="0033747D" w:rsidRDefault="0033747D">
      <w:pPr>
        <w:pStyle w:val="Rubrik1"/>
        <w:shd w:val="clear" w:color="000000" w:fill="auto"/>
      </w:pPr>
      <w:r w:rsidRPr="0033747D">
        <w:t>1:1 Kungliga hov- och slottsstaten</w:t>
      </w:r>
    </w:p>
    <w:p w:rsidR="0033747D" w:rsidRPr="0033747D" w:rsidRDefault="0033747D">
      <w:pPr>
        <w:shd w:val="clear" w:color="000000" w:fill="auto"/>
      </w:pPr>
      <w:r w:rsidRPr="0033747D">
        <w:t>Vänsterpartiet är aldrig berett att kompromissa om demokratin, och som d</w:t>
      </w:r>
      <w:r w:rsidRPr="0033747D">
        <w:t>e</w:t>
      </w:r>
      <w:r w:rsidRPr="0033747D">
        <w:t>mokratiförespråkare är det vår bestämda åsikt att Sverige bör vara republik. I enlighet med det anser vi att Kungliga hov- och slottsstaten ska avvecklas i samband med monarkins avskaffande. Ett beslut om nytt statsskick är dock inte aktuellt i denna budget, varför vi i denna motion nöjer oss med att kräva ett högst rimligt sparbeting av hovstaten på ca 10 % för år 2010.</w:t>
      </w:r>
    </w:p>
    <w:p w:rsidR="0033747D" w:rsidRPr="0033747D" w:rsidRDefault="0033747D">
      <w:pPr>
        <w:pStyle w:val="Normaltindrag"/>
        <w:shd w:val="clear" w:color="000000" w:fill="auto"/>
      </w:pPr>
      <w:r w:rsidRPr="0033747D">
        <w:t>Vänsterpartiet avvisar regeringens förslag på utökade resurser till Kungliga hov- och slottsstaten med anledning av kronprinsessan Victor</w:t>
      </w:r>
      <w:r w:rsidRPr="0033747D">
        <w:t>ias bröllop samt den ramhöjning som regeringen anslår för kronprinsessans, med blivande makes, driftkostnader av Haga slott. Vi avvisar också det av regeringen för</w:t>
      </w:r>
      <w:r w:rsidRPr="0033747D">
        <w:t>e</w:t>
      </w:r>
      <w:r w:rsidRPr="0033747D">
        <w:t>slagna anslaget till Utrikesdepartementet som regeringen föreslår i samband med kronprinsessans bröllop. Regeringen har dessutom i tilläggsbudgeten för 2009 ökat anslaget för att bekosta kronprinsessans bröllop, vilket Vänsterpa</w:t>
      </w:r>
      <w:r w:rsidRPr="0033747D">
        <w:t>r</w:t>
      </w:r>
      <w:r w:rsidRPr="0033747D">
        <w:t xml:space="preserve">tiet emotsätter sig. Sammanlagt föreslår regeringen 14 miljoner i anslag med hänvisning till kronprinsessans bröllop. </w:t>
      </w:r>
    </w:p>
    <w:p w:rsidR="0033747D" w:rsidRPr="0033747D" w:rsidRDefault="0033747D">
      <w:pPr>
        <w:pStyle w:val="Normaltindrag"/>
        <w:shd w:val="clear" w:color="000000" w:fill="auto"/>
      </w:pPr>
      <w:r w:rsidRPr="0033747D">
        <w:t>Vi föreslår därutöver ovan nämnda sparbeting för Kungliga hov- och slottsstaten på ca 10 % för år 2010. Vi anser att finansieringen av kronpri</w:t>
      </w:r>
      <w:r w:rsidRPr="0033747D">
        <w:t>n</w:t>
      </w:r>
      <w:r w:rsidRPr="0033747D">
        <w:t>sessans bröllop, boende och övriga officiella funktioner ska lösas inom detta anslag. Detta bör riksdagen som sin mening ge regeringen till känna.</w:t>
      </w:r>
    </w:p>
    <w:p w:rsidR="0033747D" w:rsidRPr="0033747D" w:rsidRDefault="0033747D">
      <w:pPr>
        <w:pStyle w:val="Rubrik1"/>
        <w:shd w:val="clear" w:color="000000" w:fill="auto"/>
      </w:pPr>
      <w:r w:rsidRPr="0033747D">
        <w:t>2:1 Riksdagens ledamöter och partier m.m.</w:t>
      </w:r>
    </w:p>
    <w:p w:rsidR="0033747D" w:rsidRPr="0033747D" w:rsidRDefault="0033747D">
      <w:pPr>
        <w:shd w:val="clear" w:color="000000" w:fill="auto"/>
      </w:pPr>
      <w:r w:rsidRPr="0033747D">
        <w:t>Vänsterpartiet föreslår en sänkning av riksdagsledamöternas arvoden som ett led i att skapa ett gott förtroende mellan folkvalda och det folk de represent</w:t>
      </w:r>
      <w:r w:rsidRPr="0033747D">
        <w:t>e</w:t>
      </w:r>
      <w:r w:rsidRPr="0033747D">
        <w:t>rar. Vårt förslag innebär att riksdagsledamöternas arvoden knyts till 100 pr</w:t>
      </w:r>
      <w:r w:rsidRPr="0033747D">
        <w:t>o</w:t>
      </w:r>
      <w:r w:rsidRPr="0033747D">
        <w:t>cent av ett prisbasbelopp.</w:t>
      </w:r>
    </w:p>
    <w:p w:rsidR="0033747D" w:rsidRPr="0033747D" w:rsidRDefault="0033747D">
      <w:pPr>
        <w:pStyle w:val="Normaltindrag"/>
        <w:shd w:val="clear" w:color="000000" w:fill="auto"/>
      </w:pPr>
      <w:r w:rsidRPr="0033747D">
        <w:t>Riksdagsledamöternas arvoden fastställs sedan 1994 av Riksdagens arvodesnämnd enligt lagen (1994:1065) om ekonomiska villkor för riksd</w:t>
      </w:r>
      <w:r w:rsidRPr="0033747D">
        <w:t>a</w:t>
      </w:r>
      <w:r w:rsidRPr="0033747D">
        <w:t>gens ledamöter. Det har den uppenbara fördelen att riksdagsledamöterna inte fastställer sitt eget arvode, men den stora nackdelen med dagens system är att arvodesnivån i princip är opåverkbar. Riksdagsledamöternas arvoden justeras varje år uppåt och har i dag nått en orimligt hög nivå, vilket riskerar att skapa en förtroendeklyfta mellan de folkvalda ledamöterna och det folk de represe</w:t>
      </w:r>
      <w:r w:rsidRPr="0033747D">
        <w:t>n</w:t>
      </w:r>
      <w:r w:rsidRPr="0033747D">
        <w:t xml:space="preserve">terar. </w:t>
      </w:r>
    </w:p>
    <w:p w:rsidR="0033747D" w:rsidRPr="0033747D" w:rsidRDefault="0033747D">
      <w:pPr>
        <w:pStyle w:val="Normaltindrag"/>
        <w:shd w:val="clear" w:color="000000" w:fill="auto"/>
      </w:pPr>
      <w:r w:rsidRPr="0033747D">
        <w:t xml:space="preserve">Vänsterpartiet anser att riksdagsledamöters arvoden ska ligga på en hög nivå. En rimligt hög nivå är, enligt vårt </w:t>
      </w:r>
      <w:r w:rsidRPr="0033747D">
        <w:t>sätt att se på saken, att knyta månad</w:t>
      </w:r>
      <w:r w:rsidRPr="0033747D">
        <w:t>s</w:t>
      </w:r>
      <w:r w:rsidRPr="0033747D">
        <w:t>arvodet till ett prisbasbelopp, dvs. 42 400 för 2010</w:t>
      </w:r>
      <w:r w:rsidRPr="0033747D">
        <w:rPr>
          <w:rStyle w:val="Fotnotsreferens"/>
        </w:rPr>
        <w:footnoteReference w:id="1"/>
      </w:r>
      <w:r w:rsidRPr="0033747D">
        <w:t>. För 2010 innebär det en ungefärlig besparing till statskassan på 51 miljoner kronor.</w:t>
      </w:r>
      <w:r w:rsidRPr="0033747D">
        <w:rPr>
          <w:color w:val="000000"/>
        </w:rPr>
        <w:t xml:space="preserve"> Se även vår sä</w:t>
      </w:r>
      <w:r w:rsidRPr="0033747D">
        <w:rPr>
          <w:color w:val="000000"/>
        </w:rPr>
        <w:t>r</w:t>
      </w:r>
      <w:r w:rsidRPr="0033747D">
        <w:rPr>
          <w:color w:val="000000"/>
        </w:rPr>
        <w:t>skilda motion om Riksdagsledamöters arvoden (2009/10:K203).</w:t>
      </w:r>
    </w:p>
    <w:p w:rsidR="0033747D" w:rsidRPr="0033747D" w:rsidRDefault="0033747D">
      <w:pPr>
        <w:pStyle w:val="Rubrik1"/>
        <w:shd w:val="clear" w:color="000000" w:fill="auto"/>
        <w:rPr>
          <w:color w:val="000000"/>
        </w:rPr>
      </w:pPr>
      <w:r w:rsidRPr="0033747D">
        <w:rPr>
          <w:color w:val="000000"/>
        </w:rPr>
        <w:t>4:1 Regeringskansliet m.m.</w:t>
      </w:r>
    </w:p>
    <w:p w:rsidR="0033747D" w:rsidRPr="0033747D" w:rsidRDefault="0033747D">
      <w:pPr>
        <w:shd w:val="clear" w:color="000000" w:fill="auto"/>
      </w:pPr>
      <w:r w:rsidRPr="0033747D">
        <w:t>Sveriges ordförandeskap i EU andra halvåret 2009 har ställt krav på en tillfä</w:t>
      </w:r>
      <w:r w:rsidRPr="0033747D">
        <w:t>l</w:t>
      </w:r>
      <w:r w:rsidRPr="0033747D">
        <w:t xml:space="preserve">lig höjning av anslaget till Regeringskansliet. Vänsterpartiet anser att anslaget nu bör återgå till den nivån som var före det svenska ordförandeskapet i EU 2009. Givetvis bör Regeringskansliet återanpassa sig till sin budget före EU-ordförandeskapet så att den tillfälliga höjningen av anslaget inte leder till en omotiverad, generell anslagsökning. </w:t>
      </w:r>
    </w:p>
    <w:p w:rsidR="0033747D" w:rsidRPr="0033747D" w:rsidRDefault="0033747D">
      <w:pPr>
        <w:pStyle w:val="Normaltindrag"/>
        <w:shd w:val="clear" w:color="000000" w:fill="auto"/>
      </w:pPr>
      <w:r w:rsidRPr="0033747D">
        <w:t>Regeringen har både i budgeten för 2010 och i tilläggsbudgeten för 2009 delfinansierat utgiftsökning för anslaget 4:1 Regeringskansliet m.m. med medel från an</w:t>
      </w:r>
      <w:r w:rsidRPr="0033747D">
        <w:t>slaget 1:1 Biståndsverksamhet under utgiftsområde 7 Intern</w:t>
      </w:r>
      <w:r w:rsidRPr="0033747D">
        <w:t>a</w:t>
      </w:r>
      <w:r w:rsidRPr="0033747D">
        <w:t>tionellt bistånd. Vänsterpartiet anser att denna tendens att föra över medel till administration på utrikesförvaltningen i Sverige från biståndsbudgeten står i strid med grunderna för svensk biståndspolitik.</w:t>
      </w:r>
      <w:r w:rsidRPr="0033747D">
        <w:rPr>
          <w:color w:val="000000"/>
        </w:rPr>
        <w:t xml:space="preserve"> Se även vår särskilda motion om Utgiftsområde 7 Internationellt bistånd (2009/10:U272).</w:t>
      </w:r>
    </w:p>
    <w:p w:rsidR="0033747D" w:rsidRPr="0033747D" w:rsidRDefault="0033747D">
      <w:pPr>
        <w:pStyle w:val="Normaltindrag"/>
        <w:shd w:val="clear" w:color="000000" w:fill="auto"/>
      </w:pPr>
      <w:r w:rsidRPr="0033747D">
        <w:t>Regeringen anslår även medel till Utrikesdepartement för kronprinsessan Victorias bröllop, vilket ovan nämnts. Vänsterpartiet avvisar detta anslag med hänvis</w:t>
      </w:r>
      <w:r w:rsidRPr="0033747D">
        <w:t>ning till att kronprinsessans bröllop och övriga officiella funktioner ska lösas inom ramen för angivet anslag.</w:t>
      </w:r>
    </w:p>
    <w:p w:rsidR="0033747D" w:rsidRPr="0033747D" w:rsidRDefault="0033747D">
      <w:pPr>
        <w:pStyle w:val="Normaltindrag"/>
        <w:shd w:val="clear" w:color="000000" w:fill="auto"/>
      </w:pPr>
      <w:r w:rsidRPr="0033747D">
        <w:t>Vi föreslår därför att anslaget 4:1 minskas med 600 miljoner kronor för år 2010, vilket motsvarar anslagets storlek före det svenska ordförandeskapet i EU.</w:t>
      </w:r>
    </w:p>
    <w:p w:rsidR="0033747D" w:rsidRPr="0033747D" w:rsidRDefault="0033747D">
      <w:pPr>
        <w:pStyle w:val="Rubrik1"/>
        <w:shd w:val="clear" w:color="000000" w:fill="auto"/>
        <w:rPr>
          <w:color w:val="000000"/>
        </w:rPr>
      </w:pPr>
      <w:r w:rsidRPr="0033747D">
        <w:rPr>
          <w:color w:val="000000"/>
        </w:rPr>
        <w:t>9:1 Svenska institutet för europapolitiska studier samt EU-information</w:t>
      </w:r>
    </w:p>
    <w:p w:rsidR="0033747D" w:rsidRPr="0033747D" w:rsidRDefault="0033747D">
      <w:pPr>
        <w:shd w:val="clear" w:color="000000" w:fill="auto"/>
      </w:pPr>
      <w:r w:rsidRPr="0033747D">
        <w:t xml:space="preserve">Vänsterpartiet anser att Svenska institutet för europapolitiska studier (Sieps) bör läggas ned i brist på folklig förankring. Europapolitisk forskning bör bedrivas på universitet och högskolor. </w:t>
      </w:r>
    </w:p>
    <w:p w:rsidR="0033747D" w:rsidRPr="0033747D" w:rsidRDefault="0033747D">
      <w:pPr>
        <w:pStyle w:val="Normaltindrag"/>
        <w:shd w:val="clear" w:color="000000" w:fill="auto"/>
        <w:rPr>
          <w:szCs w:val="24"/>
        </w:rPr>
      </w:pPr>
      <w:r w:rsidRPr="0033747D">
        <w:t>Vänsterpartiet anser att det är viktigt med en levande och bred debatt om EU och svensk EU-politik. I den borgerliga regeringens första budgetpropos</w:t>
      </w:r>
      <w:r w:rsidRPr="0033747D">
        <w:t>i</w:t>
      </w:r>
      <w:r w:rsidRPr="0033747D">
        <w:t>tion lades Kommittén för EU-debatt ned, och anslaget kommittén disponerade för att stimulera debatt och upplysningsverksamhet kring EU-frågor i folkr</w:t>
      </w:r>
      <w:r w:rsidRPr="0033747D">
        <w:t>ö</w:t>
      </w:r>
      <w:r w:rsidRPr="0033747D">
        <w:t xml:space="preserve">relseregi plockades bort. </w:t>
      </w:r>
      <w:r w:rsidRPr="0033747D">
        <w:rPr>
          <w:rFonts w:ascii="TimesNewRoman" w:hAnsi="TimesNewRoman" w:cs="TimesNewRoman"/>
          <w:szCs w:val="24"/>
        </w:rPr>
        <w:t>Kommittén för debatt om Europeiska unionens u</w:t>
      </w:r>
      <w:r w:rsidRPr="0033747D">
        <w:rPr>
          <w:rFonts w:ascii="TimesNewRoman" w:hAnsi="TimesNewRoman" w:cs="TimesNewRoman"/>
          <w:szCs w:val="24"/>
        </w:rPr>
        <w:t>t</w:t>
      </w:r>
      <w:r w:rsidRPr="0033747D">
        <w:rPr>
          <w:rFonts w:ascii="TimesNewRoman" w:hAnsi="TimesNewRoman" w:cs="TimesNewRoman"/>
          <w:szCs w:val="24"/>
        </w:rPr>
        <w:t>veckling och framtid</w:t>
      </w:r>
      <w:r w:rsidRPr="0033747D">
        <w:rPr>
          <w:szCs w:val="24"/>
        </w:rPr>
        <w:t xml:space="preserve"> </w:t>
      </w:r>
      <w:r w:rsidRPr="0033747D">
        <w:rPr>
          <w:rFonts w:ascii="TimesNewRoman" w:hAnsi="TimesNewRoman" w:cs="TimesNewRoman"/>
          <w:szCs w:val="24"/>
        </w:rPr>
        <w:t>inför 2004 års regeringskonferens tillsattes år 2001 med uppdrag (SB</w:t>
      </w:r>
      <w:r w:rsidRPr="0033747D">
        <w:rPr>
          <w:szCs w:val="24"/>
        </w:rPr>
        <w:t xml:space="preserve"> </w:t>
      </w:r>
      <w:r w:rsidRPr="0033747D">
        <w:rPr>
          <w:rFonts w:ascii="TimesNewRoman" w:hAnsi="TimesNewRoman" w:cs="TimesNewRoman"/>
          <w:szCs w:val="24"/>
        </w:rPr>
        <w:t>2001:01, dir. 2001:35) att</w:t>
      </w:r>
    </w:p>
    <w:p w:rsidR="0033747D" w:rsidRPr="0033747D" w:rsidRDefault="0033747D">
      <w:pPr>
        <w:pStyle w:val="PunktlistaTankstreck"/>
        <w:shd w:val="clear" w:color="000000" w:fill="auto"/>
      </w:pPr>
      <w:r w:rsidRPr="0033747D">
        <w:t>stimulera en bred offentlig debatt, om Europeiska unionen (EU), särskilt inför den kommande regeringskonferensen, för att bidra till att öka ku</w:t>
      </w:r>
      <w:r w:rsidRPr="0033747D">
        <w:t>n</w:t>
      </w:r>
      <w:r w:rsidRPr="0033747D">
        <w:t>skaperna hos allmänheten om aktuella frågeställningar kring EU:s u</w:t>
      </w:r>
      <w:r w:rsidRPr="0033747D">
        <w:t>t</w:t>
      </w:r>
      <w:r w:rsidRPr="0033747D">
        <w:t>veckling samt ge företrädare för olika åsiktsriktningar utrymme att a</w:t>
      </w:r>
      <w:r w:rsidRPr="0033747D">
        <w:t>r</w:t>
      </w:r>
      <w:r w:rsidRPr="0033747D">
        <w:t>gumentera för sina uppfattningar</w:t>
      </w:r>
    </w:p>
    <w:p w:rsidR="0033747D" w:rsidRPr="0033747D" w:rsidRDefault="0033747D">
      <w:pPr>
        <w:pStyle w:val="PunktlistaTankstreck"/>
        <w:shd w:val="clear" w:color="000000" w:fill="auto"/>
        <w:spacing w:before="0"/>
      </w:pPr>
      <w:r w:rsidRPr="0033747D">
        <w:t>skapa kontaktytor mellan den svenska debatten om EU och motsvarande debatt i övriga europeiska länder</w:t>
      </w:r>
    </w:p>
    <w:p w:rsidR="0033747D" w:rsidRPr="0033747D" w:rsidRDefault="0033747D">
      <w:pPr>
        <w:pStyle w:val="PunktlistaTankstreck"/>
        <w:shd w:val="clear" w:color="000000" w:fill="auto"/>
        <w:spacing w:before="0"/>
      </w:pPr>
      <w:r w:rsidRPr="0033747D">
        <w:t>sammanställa analyser av de frågor som kan komma att behandlas vid regeringskonferensen.</w:t>
      </w:r>
    </w:p>
    <w:p w:rsidR="0033747D" w:rsidRPr="0033747D" w:rsidRDefault="0033747D">
      <w:pPr>
        <w:shd w:val="clear" w:color="000000" w:fill="auto"/>
        <w:rPr>
          <w:rFonts w:ascii="TimesNewRoman" w:hAnsi="TimesNewRoman" w:cs="TimesNewRoman"/>
          <w:szCs w:val="24"/>
        </w:rPr>
      </w:pPr>
      <w:r w:rsidRPr="0033747D">
        <w:t>Kommitténs uppdrag skulle enligt de ursprungliga direktiven vara slutfört när 2004 års regeringskonferens började, men tiden för kommittén att slutföra sitt uppdrag förlängdes i olika omgångar, senast i oktober 2005, då tiden förlän</w:t>
      </w:r>
      <w:r w:rsidRPr="0033747D">
        <w:t>g</w:t>
      </w:r>
      <w:r w:rsidRPr="0033747D">
        <w:t>des till den 31 december 2006 (dir. 2005:113). Syftet med förlängningarna var att stimulera och ge stöd åt den offentliga debatten även under regering</w:t>
      </w:r>
      <w:r w:rsidRPr="0033747D">
        <w:t>s</w:t>
      </w:r>
      <w:r w:rsidRPr="0033747D">
        <w:t>konferensen och den planerade svenska ratificeringsprocessen. Vid den sena</w:t>
      </w:r>
      <w:r w:rsidRPr="0033747D">
        <w:t>s</w:t>
      </w:r>
      <w:r w:rsidRPr="0033747D">
        <w:t xml:space="preserve">te förlängningen angavs att kommitténs </w:t>
      </w:r>
      <w:r w:rsidRPr="0033747D">
        <w:rPr>
          <w:rFonts w:ascii="TimesNewRoman" w:hAnsi="TimesNewRoman" w:cs="TimesNewRoman"/>
          <w:szCs w:val="24"/>
        </w:rPr>
        <w:t>verksamhet borde fortsätta och sa</w:t>
      </w:r>
      <w:r w:rsidRPr="0033747D">
        <w:rPr>
          <w:rFonts w:ascii="TimesNewRoman" w:hAnsi="TimesNewRoman" w:cs="TimesNewRoman"/>
          <w:szCs w:val="24"/>
        </w:rPr>
        <w:t>m</w:t>
      </w:r>
      <w:r w:rsidRPr="0033747D">
        <w:rPr>
          <w:rFonts w:ascii="TimesNewRoman" w:hAnsi="TimesNewRoman" w:cs="TimesNewRoman"/>
          <w:szCs w:val="24"/>
        </w:rPr>
        <w:t>tidigt breddas för att öka fokus på de sa</w:t>
      </w:r>
      <w:r w:rsidRPr="0033747D">
        <w:rPr>
          <w:rFonts w:ascii="TimesNewRoman" w:hAnsi="TimesNewRoman" w:cs="TimesNewRoman"/>
          <w:szCs w:val="24"/>
        </w:rPr>
        <w:t>k</w:t>
      </w:r>
      <w:r w:rsidRPr="0033747D">
        <w:rPr>
          <w:rFonts w:ascii="TimesNewRoman" w:hAnsi="TimesNewRoman" w:cs="TimesNewRoman"/>
          <w:szCs w:val="24"/>
        </w:rPr>
        <w:t>politiska frågorna inom EU.</w:t>
      </w:r>
    </w:p>
    <w:p w:rsidR="0033747D" w:rsidRPr="0033747D" w:rsidRDefault="0033747D">
      <w:pPr>
        <w:pStyle w:val="Normaltindrag"/>
        <w:shd w:val="clear" w:color="000000" w:fill="auto"/>
      </w:pPr>
      <w:r w:rsidRPr="0033747D">
        <w:t>Vänsterpartiet anser att en bred folkligt förankrad EU-politisk debatt b</w:t>
      </w:r>
      <w:r w:rsidRPr="0033747D">
        <w:t>e</w:t>
      </w:r>
      <w:r w:rsidRPr="0033747D">
        <w:t xml:space="preserve">hövs, vilket Kommittén för EU-debatt tidigare initierade. Med Kommittén för EU-debatt försvann även möjligheten för föreningar och andra att söka bidrag för olika aktiviteter och debatter som har med EU att göra. Regeringen har under ett par års tid sagt sig prioritera att Sverige ska tillhöra kärnan i EU, vilket rimligtvis borde innebära att de EU-politiska frågorna brett behöver debatteras. I samband med nedläggningen av Kommittén för EU-debatt gavs Sieps ökat anslag. </w:t>
      </w:r>
    </w:p>
    <w:p w:rsidR="0033747D" w:rsidRPr="0033747D" w:rsidRDefault="0033747D">
      <w:pPr>
        <w:pStyle w:val="Normaltindrag"/>
        <w:shd w:val="clear" w:color="000000" w:fill="auto"/>
      </w:pPr>
      <w:r w:rsidRPr="0033747D">
        <w:t>Sieps verksamhet är uppbyggd utifrå</w:t>
      </w:r>
      <w:r w:rsidRPr="0033747D">
        <w:t xml:space="preserve">n helt andra syften. Syftet för Sieps är, enligt förordning 2008:748, att göra analyser och underlag tillgängliga för regeringen och övriga aktörer i den politiska beslutsprocessen i Sverige. Det är med andra ord inte att initiera en bred och folkligt förankrad EU-debatt. </w:t>
      </w:r>
    </w:p>
    <w:p w:rsidR="0033747D" w:rsidRPr="0033747D" w:rsidRDefault="0033747D">
      <w:pPr>
        <w:pStyle w:val="Normaltindrag"/>
        <w:shd w:val="clear" w:color="000000" w:fill="auto"/>
      </w:pPr>
      <w:r w:rsidRPr="0033747D">
        <w:t>En folkligt förankrad bred EU-politisk debatt behövs, men Sieps verksa</w:t>
      </w:r>
      <w:r w:rsidRPr="0033747D">
        <w:t>m</w:t>
      </w:r>
      <w:r w:rsidRPr="0033747D">
        <w:t>het är uppbyggd utifrån helt andra ändamål. Svenska institutet för europapol</w:t>
      </w:r>
      <w:r w:rsidRPr="0033747D">
        <w:t>i</w:t>
      </w:r>
      <w:r w:rsidRPr="0033747D">
        <w:t>tiska studier (Sieps) bör läggas ned. Detta bör riksdagen som sin mening ge regeringen till känna. Regeringen bör återkomma till riksdagen med förslag på hur en bred och folkligt förankrad EU-debatt bäst kan stimuleras. Detta bör riksdagen tillkännage för regeringen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747D">
        <w:trPr>
          <w:cantSplit/>
        </w:trPr>
        <w:tc>
          <w:tcPr>
            <w:tcW w:w="3046" w:type="dxa"/>
          </w:tcPr>
          <w:p w:rsidR="0033747D" w:rsidRPr="0033747D" w:rsidRDefault="0033747D">
            <w:pPr>
              <w:pStyle w:val="UnderskriftDatum"/>
              <w:shd w:val="clear" w:color="000000" w:fill="auto"/>
              <w:spacing w:before="240"/>
            </w:pPr>
            <w:r w:rsidRPr="0033747D">
              <w:t>Stockholm den 2 oktober 2009</w:t>
            </w:r>
          </w:p>
        </w:tc>
        <w:tc>
          <w:tcPr>
            <w:tcW w:w="3047" w:type="dxa"/>
          </w:tcPr>
          <w:p w:rsidR="0033747D" w:rsidRPr="0033747D" w:rsidRDefault="0033747D">
            <w:pPr>
              <w:pStyle w:val="Underskrifter"/>
              <w:shd w:val="clear" w:color="000000" w:fill="auto"/>
              <w:spacing w:before="240"/>
            </w:pPr>
          </w:p>
        </w:tc>
      </w:tr>
      <w:tr w:rsidR="00000000" w:rsidRPr="0033747D">
        <w:trPr>
          <w:cantSplit/>
        </w:trPr>
        <w:tc>
          <w:tcPr>
            <w:tcW w:w="3046" w:type="dxa"/>
          </w:tcPr>
          <w:p w:rsidR="0033747D" w:rsidRPr="0033747D" w:rsidRDefault="0033747D">
            <w:pPr>
              <w:pStyle w:val="Underskrifter"/>
              <w:shd w:val="clear" w:color="000000" w:fill="auto"/>
            </w:pPr>
            <w:r w:rsidRPr="0033747D">
              <w:t>Lars Ohly (v)</w:t>
            </w:r>
          </w:p>
        </w:tc>
        <w:tc>
          <w:tcPr>
            <w:tcW w:w="3046" w:type="dxa"/>
          </w:tcPr>
          <w:p w:rsidR="0033747D" w:rsidRPr="0033747D" w:rsidRDefault="0033747D">
            <w:pPr>
              <w:pStyle w:val="Underskrifter"/>
              <w:shd w:val="clear" w:color="000000" w:fill="auto"/>
            </w:pPr>
          </w:p>
        </w:tc>
      </w:tr>
      <w:tr w:rsidR="00000000" w:rsidRPr="0033747D">
        <w:trPr>
          <w:cantSplit/>
        </w:trPr>
        <w:tc>
          <w:tcPr>
            <w:tcW w:w="3046" w:type="dxa"/>
          </w:tcPr>
          <w:p w:rsidR="0033747D" w:rsidRPr="0033747D" w:rsidRDefault="0033747D">
            <w:pPr>
              <w:pStyle w:val="Underskrifter"/>
              <w:shd w:val="clear" w:color="000000" w:fill="auto"/>
            </w:pPr>
            <w:r w:rsidRPr="0033747D">
              <w:t>Marianne Berg (v)</w:t>
            </w:r>
          </w:p>
        </w:tc>
        <w:tc>
          <w:tcPr>
            <w:tcW w:w="3046" w:type="dxa"/>
          </w:tcPr>
          <w:p w:rsidR="0033747D" w:rsidRPr="0033747D" w:rsidRDefault="0033747D">
            <w:pPr>
              <w:pStyle w:val="Underskrifter"/>
              <w:shd w:val="clear" w:color="000000" w:fill="auto"/>
            </w:pPr>
            <w:r w:rsidRPr="0033747D">
              <w:t>Jacob Johnson (v)</w:t>
            </w:r>
          </w:p>
        </w:tc>
      </w:tr>
      <w:tr w:rsidR="00000000" w:rsidRPr="0033747D">
        <w:trPr>
          <w:cantSplit/>
        </w:trPr>
        <w:tc>
          <w:tcPr>
            <w:tcW w:w="3046" w:type="dxa"/>
          </w:tcPr>
          <w:p w:rsidR="0033747D" w:rsidRPr="0033747D" w:rsidRDefault="0033747D">
            <w:pPr>
              <w:pStyle w:val="Underskrifter"/>
              <w:shd w:val="clear" w:color="000000" w:fill="auto"/>
            </w:pPr>
            <w:r w:rsidRPr="0033747D">
              <w:t>Hans Linde (v)</w:t>
            </w:r>
          </w:p>
        </w:tc>
        <w:tc>
          <w:tcPr>
            <w:tcW w:w="3046" w:type="dxa"/>
          </w:tcPr>
          <w:p w:rsidR="0033747D" w:rsidRPr="0033747D" w:rsidRDefault="0033747D">
            <w:pPr>
              <w:pStyle w:val="Underskrifter"/>
              <w:shd w:val="clear" w:color="000000" w:fill="auto"/>
            </w:pPr>
            <w:r w:rsidRPr="0033747D">
              <w:t>Elina Linna (v)</w:t>
            </w:r>
          </w:p>
        </w:tc>
      </w:tr>
      <w:tr w:rsidR="00000000" w:rsidRPr="0033747D">
        <w:trPr>
          <w:cantSplit/>
        </w:trPr>
        <w:tc>
          <w:tcPr>
            <w:tcW w:w="3046" w:type="dxa"/>
          </w:tcPr>
          <w:p w:rsidR="0033747D" w:rsidRPr="0033747D" w:rsidRDefault="0033747D">
            <w:pPr>
              <w:pStyle w:val="Underskrifter"/>
              <w:shd w:val="clear" w:color="000000" w:fill="auto"/>
            </w:pPr>
            <w:r w:rsidRPr="0033747D">
              <w:t>Lena Olsson (v)</w:t>
            </w:r>
          </w:p>
        </w:tc>
        <w:tc>
          <w:tcPr>
            <w:tcW w:w="3046" w:type="dxa"/>
          </w:tcPr>
          <w:p w:rsidR="0033747D" w:rsidRPr="0033747D" w:rsidRDefault="0033747D">
            <w:pPr>
              <w:pStyle w:val="Underskrifter"/>
              <w:shd w:val="clear" w:color="000000" w:fill="auto"/>
            </w:pPr>
            <w:r w:rsidRPr="0033747D">
              <w:t>Alice Åström (v)</w:t>
            </w:r>
          </w:p>
        </w:tc>
      </w:tr>
    </w:tbl>
    <w:p w:rsidR="0033747D" w:rsidRPr="0033747D" w:rsidRDefault="0033747D">
      <w:pPr>
        <w:pStyle w:val="Normaltindrag"/>
        <w:shd w:val="clear" w:color="000000" w:fill="auto"/>
      </w:pPr>
    </w:p>
    <w:sectPr w:rsidR="00000000" w:rsidRPr="003374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747D" w:rsidRPr="0033747D" w:rsidRDefault="0033747D">
      <w:r w:rsidRPr="0033747D">
        <w:separator/>
      </w:r>
    </w:p>
  </w:endnote>
  <w:endnote w:type="continuationSeparator" w:id="0">
    <w:p w:rsidR="0033747D" w:rsidRPr="0033747D" w:rsidRDefault="0033747D">
      <w:r w:rsidRPr="003374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47D" w:rsidRPr="0033747D" w:rsidRDefault="0033747D">
    <w:pPr>
      <w:pStyle w:val="Sidfot"/>
    </w:pPr>
    <w:r w:rsidRPr="003374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4258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47D" w:rsidRDefault="0033747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747D" w:rsidRDefault="0033747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47D" w:rsidRPr="0033747D" w:rsidRDefault="0033747D">
    <w:pPr>
      <w:pStyle w:val="Sidfot"/>
    </w:pPr>
    <w:r w:rsidRPr="003374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02421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47D" w:rsidRDefault="0033747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747D" w:rsidRDefault="0033747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47D" w:rsidRPr="0033747D" w:rsidRDefault="0033747D">
    <w:pPr>
      <w:pStyle w:val="Sidfot"/>
    </w:pPr>
    <w:r w:rsidRPr="003374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4691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47D" w:rsidRDefault="003374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747D" w:rsidRDefault="003374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747D" w:rsidRPr="0033747D" w:rsidRDefault="0033747D">
      <w:pPr>
        <w:pStyle w:val="Sidfot"/>
      </w:pPr>
    </w:p>
  </w:footnote>
  <w:footnote w:type="continuationSeparator" w:id="0">
    <w:p w:rsidR="0033747D" w:rsidRPr="0033747D" w:rsidRDefault="0033747D">
      <w:pPr>
        <w:pStyle w:val="Sidfot"/>
      </w:pPr>
    </w:p>
  </w:footnote>
  <w:footnote w:id="1">
    <w:p w:rsidR="0033747D" w:rsidRPr="0033747D" w:rsidRDefault="0033747D">
      <w:pPr>
        <w:pStyle w:val="Fotnotstext"/>
      </w:pPr>
      <w:r w:rsidRPr="0033747D">
        <w:rPr>
          <w:rStyle w:val="Fotnotsreferens"/>
          <w:sz w:val="19"/>
          <w:szCs w:val="19"/>
        </w:rPr>
        <w:footnoteRef/>
      </w:r>
      <w:r w:rsidRPr="0033747D">
        <w:t xml:space="preserve"> </w:t>
      </w:r>
      <w:r w:rsidRPr="0033747D">
        <w:rPr>
          <w:sz w:val="16"/>
          <w:szCs w:val="16"/>
        </w:rPr>
        <w:t>Statistiska centralbyråns pressmeddelande nr 2009:191, 2009-07-09.</w:t>
      </w:r>
      <w:r w:rsidRPr="0033747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47D" w:rsidRPr="0033747D" w:rsidRDefault="0033747D">
    <w:pPr>
      <w:pStyle w:val="Sidhuvud"/>
    </w:pPr>
    <w:r w:rsidRPr="003374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77834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47D" w:rsidRDefault="0033747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747D" w:rsidRDefault="0033747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47D" w:rsidRPr="0033747D" w:rsidRDefault="0033747D">
    <w:pPr>
      <w:pStyle w:val="Sidhuvud"/>
    </w:pPr>
    <w:r w:rsidRPr="003374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44661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47D" w:rsidRDefault="0033747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747D" w:rsidRDefault="0033747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47D" w:rsidRPr="0033747D" w:rsidRDefault="0033747D">
    <w:pPr>
      <w:pStyle w:val="FSHNormal"/>
      <w:tabs>
        <w:tab w:val="right" w:pos="5840"/>
      </w:tabs>
    </w:pPr>
    <w:r w:rsidRPr="0033747D">
      <w:br/>
    </w:r>
    <w:r w:rsidRPr="0033747D">
      <w:fldChar w:fldCharType="begin" w:fldLock="1"/>
    </w:r>
    <w:r w:rsidRPr="0033747D">
      <w:instrText xml:space="preserve"> DOCPROPERTY</w:instrText>
    </w:r>
    <w:r w:rsidRPr="0033747D">
      <w:rPr>
        <w:sz w:val="18"/>
      </w:rPr>
      <w:instrText xml:space="preserve"> "YearUser" *\charformat </w:instrText>
    </w:r>
    <w:r w:rsidRPr="0033747D">
      <w:fldChar w:fldCharType="separate"/>
    </w:r>
    <w:r w:rsidRPr="0033747D">
      <w:t>2009/10</w:t>
    </w:r>
    <w:r w:rsidRPr="0033747D">
      <w:fldChar w:fldCharType="end"/>
    </w:r>
    <w:r w:rsidRPr="0033747D">
      <w:t xml:space="preserve"> </w:t>
    </w:r>
    <w:r w:rsidRPr="0033747D">
      <w:tab/>
      <w:t xml:space="preserve">mnr: </w:t>
    </w:r>
    <w:r w:rsidRPr="0033747D">
      <w:fldChar w:fldCharType="begin" w:fldLock="1"/>
    </w:r>
    <w:r w:rsidRPr="0033747D">
      <w:instrText xml:space="preserve"> DOCPROPERTY</w:instrText>
    </w:r>
    <w:r w:rsidRPr="0033747D">
      <w:rPr>
        <w:sz w:val="18"/>
      </w:rPr>
      <w:instrText xml:space="preserve"> "Motionsnummer" *\charformat </w:instrText>
    </w:r>
    <w:r w:rsidRPr="0033747D">
      <w:fldChar w:fldCharType="separate"/>
    </w:r>
    <w:r w:rsidRPr="0033747D">
      <w:t>K326</w:t>
    </w:r>
    <w:r w:rsidRPr="0033747D">
      <w:fldChar w:fldCharType="end"/>
    </w:r>
    <w:r w:rsidRPr="0033747D">
      <w:br/>
    </w:r>
    <w:r w:rsidRPr="0033747D">
      <w:fldChar w:fldCharType="begin" w:fldLock="1"/>
    </w:r>
    <w:r w:rsidRPr="0033747D">
      <w:instrText xml:space="preserve"> DOCPROPERTY</w:instrText>
    </w:r>
    <w:r w:rsidRPr="0033747D">
      <w:rPr>
        <w:sz w:val="18"/>
      </w:rPr>
      <w:instrText xml:space="preserve"> "Samling" *\charformat </w:instrText>
    </w:r>
    <w:r w:rsidRPr="0033747D">
      <w:fldChar w:fldCharType="end"/>
    </w:r>
    <w:r w:rsidRPr="0033747D">
      <w:tab/>
      <w:t xml:space="preserve">pnr: </w:t>
    </w:r>
    <w:r w:rsidRPr="0033747D">
      <w:fldChar w:fldCharType="begin" w:fldLock="1"/>
    </w:r>
    <w:r w:rsidRPr="0033747D">
      <w:instrText xml:space="preserve"> DOCPROPERTY</w:instrText>
    </w:r>
    <w:r w:rsidRPr="0033747D">
      <w:rPr>
        <w:sz w:val="18"/>
      </w:rPr>
      <w:instrText xml:space="preserve"> "Partinummer" *\charformat </w:instrText>
    </w:r>
    <w:r w:rsidRPr="0033747D">
      <w:fldChar w:fldCharType="separate"/>
    </w:r>
    <w:r w:rsidRPr="0033747D">
      <w:t>v460</w:t>
    </w:r>
    <w:r w:rsidRPr="0033747D">
      <w:fldChar w:fldCharType="end"/>
    </w:r>
  </w:p>
  <w:p w:rsidR="0033747D" w:rsidRPr="0033747D" w:rsidRDefault="0033747D">
    <w:pPr>
      <w:pStyle w:val="FSHRub1"/>
    </w:pPr>
    <w:r w:rsidRPr="0033747D">
      <w:t>Motion till riksdagen</w:t>
    </w:r>
    <w:r w:rsidRPr="0033747D">
      <w:br/>
    </w:r>
    <w:r w:rsidRPr="0033747D">
      <w:fldChar w:fldCharType="begin" w:fldLock="1"/>
    </w:r>
    <w:r w:rsidRPr="0033747D">
      <w:instrText xml:space="preserve"> DOCPROPERTY "YearUser" *\charformat </w:instrText>
    </w:r>
    <w:r w:rsidRPr="0033747D">
      <w:fldChar w:fldCharType="separate"/>
    </w:r>
    <w:r w:rsidRPr="0033747D">
      <w:t>2009/10</w:t>
    </w:r>
    <w:r w:rsidRPr="0033747D">
      <w:fldChar w:fldCharType="end"/>
    </w:r>
    <w:r w:rsidRPr="0033747D">
      <w:t>:</w:t>
    </w:r>
    <w:r w:rsidRPr="0033747D">
      <w:fldChar w:fldCharType="begin" w:fldLock="1"/>
    </w:r>
    <w:r w:rsidRPr="0033747D">
      <w:instrText xml:space="preserve"> DOCPROPERTY "Motionsnummer" *\charformat </w:instrText>
    </w:r>
    <w:r w:rsidRPr="0033747D">
      <w:fldChar w:fldCharType="separate"/>
    </w:r>
    <w:r w:rsidRPr="0033747D">
      <w:t>K326</w:t>
    </w:r>
    <w:r w:rsidRPr="0033747D">
      <w:fldChar w:fldCharType="end"/>
    </w:r>
  </w:p>
  <w:p w:rsidR="0033747D" w:rsidRPr="0033747D" w:rsidRDefault="0033747D">
    <w:pPr>
      <w:pStyle w:val="FSHNormalS5"/>
    </w:pPr>
    <w:r w:rsidRPr="0033747D">
      <w:fldChar w:fldCharType="begin" w:fldLock="1"/>
    </w:r>
    <w:r w:rsidRPr="0033747D">
      <w:instrText xml:space="preserve"> DOCPROPERTY "MotionarText" *\charformat </w:instrText>
    </w:r>
    <w:r w:rsidRPr="0033747D">
      <w:fldChar w:fldCharType="separate"/>
    </w:r>
    <w:r w:rsidRPr="0033747D">
      <w:t>av Lars Ohly m.fl. (v)</w:t>
    </w:r>
    <w:r w:rsidRPr="0033747D">
      <w:fldChar w:fldCharType="end"/>
    </w:r>
    <w:r w:rsidRPr="0033747D">
      <w:br/>
    </w:r>
    <w:r w:rsidRPr="0033747D">
      <w:fldChar w:fldCharType="begin" w:fldLock="1"/>
    </w:r>
    <w:r w:rsidRPr="0033747D">
      <w:instrText xml:space="preserve"> DOCPROPERTY "SvarFrasKort" *\charformat </w:instrText>
    </w:r>
    <w:r w:rsidRPr="0033747D">
      <w:fldChar w:fldCharType="end"/>
    </w:r>
  </w:p>
  <w:p w:rsidR="0033747D" w:rsidRPr="0033747D" w:rsidRDefault="0033747D">
    <w:pPr>
      <w:pStyle w:val="FSHTitel"/>
    </w:pPr>
    <w:r w:rsidRPr="0033747D">
      <w:fldChar w:fldCharType="begin" w:fldLock="1"/>
    </w:r>
    <w:r w:rsidRPr="0033747D">
      <w:instrText xml:space="preserve"> DOCPROPERTY</w:instrText>
    </w:r>
    <w:r w:rsidRPr="0033747D">
      <w:rPr>
        <w:sz w:val="18"/>
      </w:rPr>
      <w:instrText xml:space="preserve"> "RubrikSvar" *\charformat </w:instrText>
    </w:r>
    <w:r w:rsidRPr="0033747D">
      <w:fldChar w:fldCharType="separate"/>
    </w:r>
    <w:r w:rsidRPr="0033747D">
      <w:t>Utgiftsområde 1 Rikets styrelse</w:t>
    </w:r>
    <w:r w:rsidRPr="0033747D">
      <w:fldChar w:fldCharType="end"/>
    </w:r>
  </w:p>
  <w:p w:rsidR="0033747D" w:rsidRPr="0033747D" w:rsidRDefault="0033747D">
    <w:pPr>
      <w:pStyle w:val="Normal00"/>
    </w:pPr>
  </w:p>
  <w:p w:rsidR="0033747D" w:rsidRPr="0033747D" w:rsidRDefault="003374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6C6078B"/>
    <w:multiLevelType w:val="hybridMultilevel"/>
    <w:tmpl w:val="3572C4EE"/>
    <w:lvl w:ilvl="0" w:tplc="6D2EF2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0192F5F"/>
    <w:multiLevelType w:val="hybridMultilevel"/>
    <w:tmpl w:val="1D849474"/>
    <w:lvl w:ilvl="0" w:tplc="3B2C54F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9AB6B5A"/>
    <w:multiLevelType w:val="hybridMultilevel"/>
    <w:tmpl w:val="783633BA"/>
    <w:lvl w:ilvl="0" w:tplc="72E8C3C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5" w15:restartNumberingAfterBreak="0">
    <w:nsid w:val="3B5F7330"/>
    <w:multiLevelType w:val="hybridMultilevel"/>
    <w:tmpl w:val="94DC2B36"/>
    <w:lvl w:ilvl="0" w:tplc="3030F568">
      <w:start w:val="4"/>
      <w:numFmt w:val="bullet"/>
      <w:pStyle w:val="FormatmallPunktlistaMetaNormalLF-Roman"/>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71D1C33"/>
    <w:multiLevelType w:val="hybridMultilevel"/>
    <w:tmpl w:val="25C8D6FC"/>
    <w:lvl w:ilvl="0" w:tplc="4C1A18F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03796062">
    <w:abstractNumId w:val="8"/>
  </w:num>
  <w:num w:numId="2" w16cid:durableId="1987123557">
    <w:abstractNumId w:val="9"/>
  </w:num>
  <w:num w:numId="3" w16cid:durableId="1976056119">
    <w:abstractNumId w:val="8"/>
  </w:num>
  <w:num w:numId="4" w16cid:durableId="584385265">
    <w:abstractNumId w:val="9"/>
  </w:num>
  <w:num w:numId="5" w16cid:durableId="183905426">
    <w:abstractNumId w:val="17"/>
  </w:num>
  <w:num w:numId="6" w16cid:durableId="343093734">
    <w:abstractNumId w:val="10"/>
  </w:num>
  <w:num w:numId="7" w16cid:durableId="173766908">
    <w:abstractNumId w:val="14"/>
  </w:num>
  <w:num w:numId="8" w16cid:durableId="977035100">
    <w:abstractNumId w:val="16"/>
  </w:num>
  <w:num w:numId="9" w16cid:durableId="524370910">
    <w:abstractNumId w:val="8"/>
  </w:num>
  <w:num w:numId="10" w16cid:durableId="1378427946">
    <w:abstractNumId w:val="3"/>
  </w:num>
  <w:num w:numId="11" w16cid:durableId="265623227">
    <w:abstractNumId w:val="2"/>
  </w:num>
  <w:num w:numId="12" w16cid:durableId="960913470">
    <w:abstractNumId w:val="1"/>
  </w:num>
  <w:num w:numId="13" w16cid:durableId="1936397546">
    <w:abstractNumId w:val="0"/>
  </w:num>
  <w:num w:numId="14" w16cid:durableId="97796535">
    <w:abstractNumId w:val="9"/>
  </w:num>
  <w:num w:numId="15" w16cid:durableId="1025980060">
    <w:abstractNumId w:val="7"/>
  </w:num>
  <w:num w:numId="16" w16cid:durableId="1060252492">
    <w:abstractNumId w:val="6"/>
  </w:num>
  <w:num w:numId="17" w16cid:durableId="1315835510">
    <w:abstractNumId w:val="5"/>
  </w:num>
  <w:num w:numId="18" w16cid:durableId="141584188">
    <w:abstractNumId w:val="4"/>
  </w:num>
  <w:num w:numId="19" w16cid:durableId="950211417">
    <w:abstractNumId w:val="18"/>
  </w:num>
  <w:num w:numId="20" w16cid:durableId="1942182595">
    <w:abstractNumId w:val="13"/>
  </w:num>
  <w:num w:numId="21" w16cid:durableId="1056395694">
    <w:abstractNumId w:val="12"/>
  </w:num>
  <w:num w:numId="22" w16cid:durableId="1149321804">
    <w:abstractNumId w:val="15"/>
  </w:num>
  <w:num w:numId="23" w16cid:durableId="480076872">
    <w:abstractNumId w:val="14"/>
  </w:num>
  <w:num w:numId="24" w16cid:durableId="1637636088">
    <w:abstractNumId w:val="10"/>
  </w:num>
  <w:num w:numId="25" w16cid:durableId="422801107">
    <w:abstractNumId w:val="16"/>
  </w:num>
  <w:num w:numId="26" w16cid:durableId="17941345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F1A2565D-4D2F-4887-9B1D-3D7BE825DA8C},{25384487-954A-4B3D-A759-FB67661DCC6F},{70ED92E7-062B-44F5-98C0-1732E6D079B7},{88576935-7337-4AFA-923F-6E59D33EEBED},{8B923F15-4996-4696-A089-6A5BE8BF8E1B},{5E1F5B3E-DDB9-4605-85F6-1CAF1124E96C},{7E0BF71E-CD03-4DBF-9F51-3B5B798F2741}"/>
  </w:docVars>
  <w:rsids>
    <w:rsidRoot w:val="00181D4C"/>
    <w:rsid w:val="00181D4C"/>
    <w:rsid w:val="003374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FD2B125-B18A-4453-99EB-98EDD3DE0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FormatmallPunktlistaMetaNormalLF-Roman">
    <w:name w:val="Formatmall Punktlista + MetaNormalLF-Roman"/>
    <w:basedOn w:val="Normal"/>
    <w:pPr>
      <w:numPr>
        <w:numId w:val="22"/>
      </w:numPr>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1267</Words>
  <Characters>7679</Characters>
  <Application>Microsoft Office Word</Application>
  <DocSecurity>4</DocSecurity>
  <Lines>170</Lines>
  <Paragraphs>68</Paragraphs>
  <ScaleCrop>false</ScaleCrop>
  <HeadingPairs>
    <vt:vector size="2" baseType="variant">
      <vt:variant>
        <vt:lpstr>Rubrik</vt:lpstr>
      </vt:variant>
      <vt:variant>
        <vt:i4>1</vt:i4>
      </vt:variant>
    </vt:vector>
  </HeadingPairs>
  <TitlesOfParts>
    <vt:vector size="1" baseType="lpstr">
      <vt:lpstr>v460</vt:lpstr>
    </vt:vector>
  </TitlesOfParts>
  <Company>Riksdagen</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v460</dc:title>
  <dc:subject>v460</dc:subject>
  <dc:creator>Riksdagen</dc:creator>
  <cp:keywords>Riksdagen</cp:keywords>
  <dc:description>Nya formatmallshantering för förslag+urix bakåtkomp+könamn</dc:description>
  <cp:lastModifiedBy>Lars Brink</cp:lastModifiedBy>
  <cp:revision>2</cp:revision>
  <cp:lastPrinted>2009-11-27T08:26:00Z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1 Rikets styrelse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 Rikets styrelse</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v460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(v)\Berg, Marianne (v)\Johnson, Jacob (v)\Linde, Hans (v)\Linna, Elina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K326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20092010000000000118000004600080</vt:lpwstr>
  </property>
  <property fmtid="{D5CDD505-2E9C-101B-9397-08002B2CF9AE}" pid="47" name="datum">
    <vt:lpwstr>091002</vt:lpwstr>
  </property>
  <property fmtid="{D5CDD505-2E9C-101B-9397-08002B2CF9AE}" pid="48" name="avsändar-e-post">
    <vt:lpwstr>anna-maria.westwood@riksdagen.se</vt:lpwstr>
  </property>
  <property fmtid="{D5CDD505-2E9C-101B-9397-08002B2CF9AE}" pid="49" name="id">
    <vt:lpwstr>20092010000000000118000004600080</vt:lpwstr>
  </property>
  <property fmtid="{D5CDD505-2E9C-101B-9397-08002B2CF9AE}" pid="50" name="nummer">
    <vt:lpwstr>326</vt:lpwstr>
  </property>
  <property fmtid="{D5CDD505-2E9C-101B-9397-08002B2CF9AE}" pid="51" name="utskottsbeteckning">
    <vt:lpwstr>K</vt:lpwstr>
  </property>
  <property fmtid="{D5CDD505-2E9C-101B-9397-08002B2CF9AE}" pid="52" name="GlobalUID">
    <vt:lpwstr>{4B129132-E784-42BB-866F-47860B994216}</vt:lpwstr>
  </property>
  <property fmtid="{D5CDD505-2E9C-101B-9397-08002B2CF9AE}" pid="53" name="Överföringar">
    <vt:i4>0</vt:i4>
  </property>
  <property fmtid="{D5CDD505-2E9C-101B-9397-08002B2CF9AE}" pid="54" name="Checksum">
    <vt:lpwstr>*0004371133084*</vt:lpwstr>
  </property>
  <property fmtid="{D5CDD505-2E9C-101B-9397-08002B2CF9AE}" pid="55" name="skuggnummer">
    <vt:lpwstr>2048</vt:lpwstr>
  </property>
  <property fmtid="{D5CDD505-2E9C-101B-9397-08002B2CF9AE}" pid="56" name="urixVersion">
    <vt:lpwstr>4.0.0.9</vt:lpwstr>
  </property>
  <property fmtid="{D5CDD505-2E9C-101B-9397-08002B2CF9AE}" pid="57" name="urixOrigin">
    <vt:lpwstr>091127 09:27:05.549</vt:lpwstr>
  </property>
  <property fmtid="{D5CDD505-2E9C-101B-9397-08002B2CF9AE}" pid="58" name="urixGuid">
    <vt:lpwstr>{642EAE94-8B02-4B87-92DE-DBE86A6B6381}</vt:lpwstr>
  </property>
</Properties>
</file>