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F05E90" w:rsidRPr="00A50CB5">
        <w:tblPrEx>
          <w:tblCellMar>
            <w:top w:w="0" w:type="dxa"/>
            <w:bottom w:w="0" w:type="dxa"/>
          </w:tblCellMar>
        </w:tblPrEx>
        <w:tc>
          <w:tcPr>
            <w:tcW w:w="2268" w:type="dxa"/>
          </w:tcPr>
          <w:p w:rsidR="00F05E90" w:rsidRPr="00A50CB5" w:rsidRDefault="00F05E90" w:rsidP="002B2617">
            <w:pPr>
              <w:framePr w:w="4400" w:h="1644" w:wrap="notBeside" w:vAnchor="page" w:hAnchor="page" w:x="6573" w:y="721"/>
              <w:rPr>
                <w:rFonts w:ascii="TradeGothic" w:hAnsi="TradeGothic"/>
                <w:i/>
                <w:sz w:val="18"/>
              </w:rPr>
            </w:pPr>
          </w:p>
        </w:tc>
        <w:tc>
          <w:tcPr>
            <w:tcW w:w="2347" w:type="dxa"/>
            <w:gridSpan w:val="2"/>
          </w:tcPr>
          <w:p w:rsidR="00F05E90" w:rsidRPr="00A50CB5" w:rsidRDefault="00F05E90">
            <w:pPr>
              <w:framePr w:w="4400" w:h="1644" w:wrap="notBeside" w:vAnchor="page" w:hAnchor="page" w:x="6573" w:y="721"/>
              <w:rPr>
                <w:rFonts w:ascii="TradeGothic" w:hAnsi="TradeGothic"/>
                <w:i/>
                <w:sz w:val="18"/>
              </w:rPr>
            </w:pPr>
          </w:p>
        </w:tc>
      </w:tr>
      <w:tr w:rsidR="00F05E90" w:rsidRPr="00A50CB5">
        <w:tblPrEx>
          <w:tblCellMar>
            <w:top w:w="0" w:type="dxa"/>
            <w:bottom w:w="0" w:type="dxa"/>
          </w:tblCellMar>
        </w:tblPrEx>
        <w:tc>
          <w:tcPr>
            <w:tcW w:w="2268" w:type="dxa"/>
          </w:tcPr>
          <w:p w:rsidR="00F05E90" w:rsidRPr="00A50CB5" w:rsidRDefault="00F05E90">
            <w:pPr>
              <w:framePr w:w="4400" w:h="1644" w:wrap="notBeside" w:vAnchor="page" w:hAnchor="page" w:x="6573" w:y="721"/>
              <w:rPr>
                <w:rFonts w:ascii="TradeGothic" w:hAnsi="TradeGothic"/>
                <w:b/>
                <w:sz w:val="22"/>
              </w:rPr>
            </w:pPr>
            <w:r w:rsidRPr="00A50CB5">
              <w:rPr>
                <w:rFonts w:ascii="TradeGothic" w:hAnsi="TradeGothic"/>
                <w:b/>
                <w:sz w:val="22"/>
              </w:rPr>
              <w:t xml:space="preserve">Kommenterad dagordning </w:t>
            </w:r>
          </w:p>
        </w:tc>
        <w:tc>
          <w:tcPr>
            <w:tcW w:w="2347" w:type="dxa"/>
            <w:gridSpan w:val="2"/>
          </w:tcPr>
          <w:p w:rsidR="00F05E90" w:rsidRPr="00A50CB5" w:rsidRDefault="00F05E90">
            <w:pPr>
              <w:framePr w:w="4400" w:h="1644" w:wrap="notBeside" w:vAnchor="page" w:hAnchor="page" w:x="6573" w:y="721"/>
              <w:rPr>
                <w:rFonts w:ascii="TradeGothic" w:hAnsi="TradeGothic"/>
                <w:b/>
                <w:sz w:val="22"/>
              </w:rPr>
            </w:pPr>
          </w:p>
        </w:tc>
      </w:tr>
      <w:tr w:rsidR="00F05E90" w:rsidRPr="00A50CB5">
        <w:tblPrEx>
          <w:tblCellMar>
            <w:top w:w="0" w:type="dxa"/>
            <w:bottom w:w="0" w:type="dxa"/>
          </w:tblCellMar>
        </w:tblPrEx>
        <w:tc>
          <w:tcPr>
            <w:tcW w:w="3402" w:type="dxa"/>
            <w:gridSpan w:val="2"/>
          </w:tcPr>
          <w:p w:rsidR="00F05E90" w:rsidRPr="00A50CB5" w:rsidRDefault="00F05E90">
            <w:pPr>
              <w:framePr w:w="4400" w:h="1644" w:wrap="notBeside" w:vAnchor="page" w:hAnchor="page" w:x="6573" w:y="721"/>
            </w:pPr>
          </w:p>
          <w:p w:rsidR="00F05E90" w:rsidRPr="00A50CB5" w:rsidRDefault="00F05E90">
            <w:pPr>
              <w:framePr w:w="4400" w:h="1644" w:wrap="notBeside" w:vAnchor="page" w:hAnchor="page" w:x="6573" w:y="721"/>
            </w:pPr>
          </w:p>
        </w:tc>
        <w:tc>
          <w:tcPr>
            <w:tcW w:w="1213" w:type="dxa"/>
          </w:tcPr>
          <w:p w:rsidR="00F05E90" w:rsidRPr="00A50CB5" w:rsidRDefault="00F05E90">
            <w:pPr>
              <w:framePr w:w="4400" w:h="1644" w:wrap="notBeside" w:vAnchor="page" w:hAnchor="page" w:x="6573" w:y="721"/>
            </w:pPr>
          </w:p>
        </w:tc>
      </w:tr>
      <w:tr w:rsidR="00F05E90" w:rsidRPr="00A50CB5">
        <w:tblPrEx>
          <w:tblCellMar>
            <w:top w:w="0" w:type="dxa"/>
            <w:bottom w:w="0" w:type="dxa"/>
          </w:tblCellMar>
        </w:tblPrEx>
        <w:tc>
          <w:tcPr>
            <w:tcW w:w="2268" w:type="dxa"/>
          </w:tcPr>
          <w:p w:rsidR="00F05E90" w:rsidRPr="00A50CB5" w:rsidRDefault="00F05E90">
            <w:pPr>
              <w:framePr w:w="4400" w:h="1644" w:wrap="notBeside" w:vAnchor="page" w:hAnchor="page" w:x="6573" w:y="721"/>
            </w:pPr>
          </w:p>
        </w:tc>
        <w:tc>
          <w:tcPr>
            <w:tcW w:w="2347" w:type="dxa"/>
            <w:gridSpan w:val="2"/>
          </w:tcPr>
          <w:p w:rsidR="00F05E90" w:rsidRPr="00A50CB5" w:rsidRDefault="00F05E90">
            <w:pPr>
              <w:framePr w:w="4400" w:h="1644" w:wrap="notBeside" w:vAnchor="page" w:hAnchor="page" w:x="6573" w:y="721"/>
            </w:pPr>
          </w:p>
        </w:tc>
      </w:tr>
      <w:tr w:rsidR="00F05E90" w:rsidRPr="00A50CB5">
        <w:tblPrEx>
          <w:tblCellMar>
            <w:top w:w="0" w:type="dxa"/>
            <w:bottom w:w="0" w:type="dxa"/>
          </w:tblCellMar>
        </w:tblPrEx>
        <w:tc>
          <w:tcPr>
            <w:tcW w:w="2268" w:type="dxa"/>
          </w:tcPr>
          <w:p w:rsidR="00F05E90" w:rsidRPr="00A50CB5" w:rsidRDefault="00F05E90">
            <w:pPr>
              <w:framePr w:w="4400" w:h="1644" w:wrap="notBeside" w:vAnchor="page" w:hAnchor="page" w:x="6573" w:y="721"/>
            </w:pPr>
          </w:p>
        </w:tc>
        <w:tc>
          <w:tcPr>
            <w:tcW w:w="2347" w:type="dxa"/>
            <w:gridSpan w:val="2"/>
          </w:tcPr>
          <w:p w:rsidR="00F05E90" w:rsidRPr="00A50CB5" w:rsidRDefault="00F05E90">
            <w:pPr>
              <w:framePr w:w="4400" w:h="1644" w:wrap="notBeside" w:vAnchor="page" w:hAnchor="page" w:x="6573" w:y="721"/>
            </w:pPr>
          </w:p>
        </w:tc>
      </w:tr>
    </w:tbl>
    <w:p w:rsidR="00F14D93" w:rsidRPr="00A50CB5" w:rsidRDefault="00F14D93" w:rsidP="00F14D93">
      <w:pPr>
        <w:rPr>
          <w:vanish/>
        </w:rPr>
      </w:pPr>
    </w:p>
    <w:tbl>
      <w:tblPr>
        <w:tblW w:w="0" w:type="auto"/>
        <w:tblLayout w:type="fixed"/>
        <w:tblLook w:val="0000" w:firstRow="0" w:lastRow="0" w:firstColumn="0" w:lastColumn="0" w:noHBand="0" w:noVBand="0"/>
      </w:tblPr>
      <w:tblGrid>
        <w:gridCol w:w="4911"/>
      </w:tblGrid>
      <w:tr w:rsidR="00F05E90" w:rsidRPr="00A50CB5">
        <w:tblPrEx>
          <w:tblCellMar>
            <w:top w:w="0" w:type="dxa"/>
            <w:bottom w:w="0" w:type="dxa"/>
          </w:tblCellMar>
        </w:tblPrEx>
        <w:trPr>
          <w:trHeight w:val="284"/>
        </w:trPr>
        <w:tc>
          <w:tcPr>
            <w:tcW w:w="4911" w:type="dxa"/>
          </w:tcPr>
          <w:p w:rsidR="00F05E90" w:rsidRPr="00A50CB5" w:rsidRDefault="00154238">
            <w:pPr>
              <w:pStyle w:val="Avsndare"/>
              <w:framePr w:h="2483" w:wrap="notBeside" w:x="1504"/>
              <w:rPr>
                <w:b/>
                <w:i w:val="0"/>
                <w:sz w:val="22"/>
              </w:rPr>
            </w:pPr>
            <w:r w:rsidRPr="00A50CB5">
              <w:rPr>
                <w:b/>
                <w:i w:val="0"/>
                <w:sz w:val="22"/>
              </w:rPr>
              <w:t>Landsbygds</w:t>
            </w:r>
            <w:r w:rsidR="00F05E90" w:rsidRPr="00A50CB5">
              <w:rPr>
                <w:b/>
                <w:i w:val="0"/>
                <w:sz w:val="22"/>
              </w:rPr>
              <w:t>departementet</w:t>
            </w:r>
          </w:p>
        </w:tc>
      </w:tr>
      <w:tr w:rsidR="00F05E90" w:rsidRPr="00A50CB5">
        <w:tblPrEx>
          <w:tblCellMar>
            <w:top w:w="0" w:type="dxa"/>
            <w:bottom w:w="0" w:type="dxa"/>
          </w:tblCellMar>
        </w:tblPrEx>
        <w:trPr>
          <w:trHeight w:val="284"/>
        </w:trPr>
        <w:tc>
          <w:tcPr>
            <w:tcW w:w="4911" w:type="dxa"/>
          </w:tcPr>
          <w:p w:rsidR="00F05E90" w:rsidRPr="00A50CB5" w:rsidRDefault="00F05E90">
            <w:pPr>
              <w:pStyle w:val="Avsndare"/>
              <w:framePr w:h="2483" w:wrap="notBeside" w:x="1504"/>
              <w:rPr>
                <w:bCs/>
                <w:iCs/>
              </w:rPr>
            </w:pPr>
          </w:p>
        </w:tc>
      </w:tr>
      <w:tr w:rsidR="00F05E90" w:rsidRPr="00A50CB5">
        <w:tblPrEx>
          <w:tblCellMar>
            <w:top w:w="0" w:type="dxa"/>
            <w:bottom w:w="0" w:type="dxa"/>
          </w:tblCellMar>
        </w:tblPrEx>
        <w:trPr>
          <w:trHeight w:val="284"/>
        </w:trPr>
        <w:tc>
          <w:tcPr>
            <w:tcW w:w="4911" w:type="dxa"/>
          </w:tcPr>
          <w:p w:rsidR="00F05E90" w:rsidRPr="00A50CB5" w:rsidRDefault="00F05E90">
            <w:pPr>
              <w:pStyle w:val="Avsndare"/>
              <w:framePr w:h="2483" w:wrap="notBeside" w:x="1504"/>
              <w:rPr>
                <w:bCs/>
                <w:iCs/>
              </w:rPr>
            </w:pPr>
          </w:p>
        </w:tc>
      </w:tr>
    </w:tbl>
    <w:p w:rsidR="00F05E90" w:rsidRPr="00A50CB5" w:rsidRDefault="00860967">
      <w:pPr>
        <w:framePr w:w="4400" w:h="2523" w:wrap="notBeside" w:vAnchor="page" w:hAnchor="page" w:x="6453" w:y="2445"/>
        <w:ind w:left="142"/>
      </w:pPr>
      <w:r w:rsidRPr="00A50CB5">
        <w:t>2012-03-12</w:t>
      </w:r>
    </w:p>
    <w:p w:rsidR="00F05E90" w:rsidRPr="00A50CB5" w:rsidRDefault="00F05E90" w:rsidP="006B36B4">
      <w:pPr>
        <w:pStyle w:val="RKrubrik"/>
        <w:pBdr>
          <w:bottom w:val="single" w:sz="4" w:space="1" w:color="000000"/>
        </w:pBdr>
        <w:spacing w:before="0" w:after="0"/>
      </w:pPr>
      <w:r w:rsidRPr="00A50CB5">
        <w:t xml:space="preserve">Kommenterad dagordning inför Jordbruks- och fiskerådet den </w:t>
      </w:r>
      <w:r w:rsidR="00191F50" w:rsidRPr="00A50CB5">
        <w:t xml:space="preserve">19-20 mars </w:t>
      </w:r>
      <w:r w:rsidR="00BB68D2" w:rsidRPr="00A50CB5">
        <w:t>2012</w:t>
      </w:r>
    </w:p>
    <w:p w:rsidR="005265F5" w:rsidRPr="00A50CB5" w:rsidRDefault="005265F5" w:rsidP="005265F5">
      <w:pPr>
        <w:pStyle w:val="RKrubrik"/>
      </w:pPr>
      <w:r w:rsidRPr="00A50CB5">
        <w:t>1. Godkännande av dagordningen</w:t>
      </w:r>
    </w:p>
    <w:p w:rsidR="005265F5" w:rsidRPr="00A50CB5" w:rsidRDefault="00191F50" w:rsidP="005265F5">
      <w:pPr>
        <w:pStyle w:val="RKrubrik"/>
        <w:rPr>
          <w:u w:val="single"/>
        </w:rPr>
      </w:pPr>
      <w:r w:rsidRPr="00A50CB5">
        <w:rPr>
          <w:u w:val="single"/>
        </w:rPr>
        <w:t>Lagstiftningsöverläggningar</w:t>
      </w:r>
    </w:p>
    <w:p w:rsidR="00191F50" w:rsidRPr="00A50CB5" w:rsidRDefault="00191F50" w:rsidP="00191F50">
      <w:pPr>
        <w:pStyle w:val="RKnormal"/>
        <w:rPr>
          <w:b/>
          <w:i/>
        </w:rPr>
      </w:pPr>
      <w:r w:rsidRPr="00A50CB5">
        <w:rPr>
          <w:b/>
          <w:i/>
        </w:rPr>
        <w:t>(Offentlig överläggning enligt artikel 16.8 i fördraget om Europeiska unionen)</w:t>
      </w:r>
    </w:p>
    <w:p w:rsidR="00F05E90" w:rsidRPr="00A50CB5" w:rsidRDefault="005265F5" w:rsidP="005265F5">
      <w:pPr>
        <w:pStyle w:val="RKrubrik"/>
      </w:pPr>
      <w:r w:rsidRPr="00A50CB5">
        <w:t>2. Godkännande av A-punktslistan</w:t>
      </w:r>
    </w:p>
    <w:p w:rsidR="00632B2A" w:rsidRPr="00A50CB5" w:rsidRDefault="00632B2A" w:rsidP="00632B2A">
      <w:pPr>
        <w:pStyle w:val="RKnormal"/>
      </w:pPr>
    </w:p>
    <w:p w:rsidR="00BB68D2" w:rsidRPr="00A50CB5" w:rsidRDefault="00BB68D2" w:rsidP="00BB68D2">
      <w:pPr>
        <w:pStyle w:val="RKnormal"/>
      </w:pPr>
    </w:p>
    <w:p w:rsidR="00191F50" w:rsidRPr="00A50CB5" w:rsidRDefault="00191F50" w:rsidP="00BB68D2">
      <w:pPr>
        <w:pStyle w:val="RKnormal"/>
        <w:rPr>
          <w:b/>
          <w:u w:val="single"/>
        </w:rPr>
      </w:pPr>
      <w:r w:rsidRPr="00A50CB5">
        <w:rPr>
          <w:b/>
          <w:u w:val="single"/>
        </w:rPr>
        <w:t>JORDBRUK</w:t>
      </w:r>
    </w:p>
    <w:p w:rsidR="00191F50" w:rsidRPr="00A50CB5" w:rsidRDefault="00191F50" w:rsidP="00BB68D2">
      <w:pPr>
        <w:pStyle w:val="RKnormal"/>
        <w:rPr>
          <w:b/>
        </w:rPr>
      </w:pPr>
    </w:p>
    <w:p w:rsidR="00191F50" w:rsidRPr="00A50CB5" w:rsidRDefault="00191F50" w:rsidP="00BB68D2">
      <w:pPr>
        <w:pStyle w:val="RKnormal"/>
        <w:rPr>
          <w:b/>
        </w:rPr>
      </w:pPr>
      <w:r w:rsidRPr="00A50CB5">
        <w:rPr>
          <w:b/>
        </w:rPr>
        <w:t>SÄRSKILDA JORDBRUKSKOMMITTÉN</w:t>
      </w:r>
    </w:p>
    <w:p w:rsidR="00911167" w:rsidRPr="00A50CB5" w:rsidRDefault="00911167" w:rsidP="00911167">
      <w:pPr>
        <w:pStyle w:val="Rubrik3"/>
        <w:rPr>
          <w:b/>
        </w:rPr>
      </w:pPr>
      <w:r w:rsidRPr="00A50CB5">
        <w:rPr>
          <w:b/>
        </w:rPr>
        <w:t xml:space="preserve">3. </w:t>
      </w:r>
      <w:r w:rsidR="00191F50" w:rsidRPr="00A50CB5">
        <w:rPr>
          <w:b/>
        </w:rPr>
        <w:t>Reformen av den gemensamma jordbrukspolitiken: Förenkling</w:t>
      </w:r>
    </w:p>
    <w:p w:rsidR="00911167" w:rsidRPr="00A50CB5" w:rsidRDefault="00911167" w:rsidP="00911167">
      <w:pPr>
        <w:pStyle w:val="RKnormal"/>
        <w:rPr>
          <w:b/>
          <w:i/>
        </w:rPr>
      </w:pPr>
      <w:r w:rsidRPr="00A50CB5">
        <w:rPr>
          <w:b/>
          <w:i/>
        </w:rPr>
        <w:t xml:space="preserve">- </w:t>
      </w:r>
      <w:r w:rsidR="00191F50" w:rsidRPr="00A50CB5">
        <w:rPr>
          <w:b/>
          <w:i/>
        </w:rPr>
        <w:t>Utbyte av åsikter</w:t>
      </w:r>
    </w:p>
    <w:p w:rsidR="00191F50" w:rsidRPr="00A50CB5" w:rsidRDefault="00191F50" w:rsidP="00911167">
      <w:pPr>
        <w:pStyle w:val="RKnormal"/>
        <w:rPr>
          <w:b/>
          <w:i/>
        </w:rPr>
      </w:pPr>
    </w:p>
    <w:p w:rsidR="003158A9" w:rsidRPr="00A50CB5" w:rsidRDefault="003158A9" w:rsidP="003158A9">
      <w:pPr>
        <w:pStyle w:val="RKnormal"/>
        <w:rPr>
          <w:i/>
          <w:iCs/>
        </w:rPr>
      </w:pPr>
      <w:r w:rsidRPr="00A50CB5">
        <w:rPr>
          <w:i/>
          <w:iCs/>
        </w:rPr>
        <w:t>Dokumentbeteckning</w:t>
      </w:r>
    </w:p>
    <w:p w:rsidR="003158A9" w:rsidRPr="00A50CB5" w:rsidRDefault="003158A9" w:rsidP="003158A9">
      <w:pPr>
        <w:pStyle w:val="RKnormal"/>
        <w:rPr>
          <w:iCs/>
        </w:rPr>
      </w:pPr>
      <w:r w:rsidRPr="00A50CB5">
        <w:rPr>
          <w:iCs/>
        </w:rPr>
        <w:t>-</w:t>
      </w:r>
    </w:p>
    <w:p w:rsidR="003158A9" w:rsidRPr="00A50CB5" w:rsidRDefault="003158A9" w:rsidP="003158A9">
      <w:pPr>
        <w:pStyle w:val="RKnormal"/>
        <w:rPr>
          <w:i/>
          <w:iCs/>
        </w:rPr>
      </w:pPr>
    </w:p>
    <w:p w:rsidR="003158A9" w:rsidRPr="00A50CB5" w:rsidRDefault="003158A9" w:rsidP="003158A9">
      <w:pPr>
        <w:pStyle w:val="RKnormal"/>
        <w:rPr>
          <w:i/>
          <w:iCs/>
        </w:rPr>
      </w:pPr>
      <w:r w:rsidRPr="00A50CB5">
        <w:rPr>
          <w:i/>
          <w:iCs/>
        </w:rPr>
        <w:t>Rättslig grund</w:t>
      </w:r>
    </w:p>
    <w:p w:rsidR="003158A9" w:rsidRPr="00A50CB5" w:rsidRDefault="003B03AC" w:rsidP="003158A9">
      <w:pPr>
        <w:pStyle w:val="RKnormal"/>
        <w:rPr>
          <w:iCs/>
        </w:rPr>
      </w:pPr>
      <w:r w:rsidRPr="00A50CB5">
        <w:rPr>
          <w:iCs/>
        </w:rPr>
        <w:t>-</w:t>
      </w:r>
    </w:p>
    <w:p w:rsidR="003158A9" w:rsidRPr="00A50CB5" w:rsidRDefault="003158A9" w:rsidP="003158A9">
      <w:pPr>
        <w:pStyle w:val="RKnormal"/>
        <w:rPr>
          <w:i/>
          <w:iCs/>
        </w:rPr>
      </w:pPr>
    </w:p>
    <w:p w:rsidR="003158A9" w:rsidRPr="00A50CB5" w:rsidRDefault="003158A9" w:rsidP="003158A9">
      <w:pPr>
        <w:pStyle w:val="RKnormal"/>
        <w:rPr>
          <w:i/>
          <w:iCs/>
        </w:rPr>
      </w:pPr>
      <w:r w:rsidRPr="00A50CB5">
        <w:rPr>
          <w:i/>
          <w:iCs/>
        </w:rPr>
        <w:t>Bakgrund</w:t>
      </w:r>
    </w:p>
    <w:p w:rsidR="00B61E2A" w:rsidRPr="00A50CB5" w:rsidRDefault="00B61E2A" w:rsidP="00B61E2A">
      <w:pPr>
        <w:pStyle w:val="RKnormal"/>
      </w:pPr>
      <w:r w:rsidRPr="00A50CB5">
        <w:t>Kommissionen presenterade den 12 oktober 2011 lagförslag för den framtida inriktningen av den gemensamma jordbrukspolitiken. Lagstiftningspaketet består av fyra huvudförordningar som inbegriper</w:t>
      </w:r>
      <w:r w:rsidR="002B6C82" w:rsidRPr="00A50CB5">
        <w:t xml:space="preserve"> direktstöd, marknadsinstrument</w:t>
      </w:r>
      <w:r w:rsidRPr="00A50CB5">
        <w:t xml:space="preserve"> och politiken för landsbygds</w:t>
      </w:r>
      <w:r w:rsidRPr="00A50CB5">
        <w:softHyphen/>
        <w:t>utveckling. En första teknisk genomgång av lagförslagen gjordes under det polska ordförandeskapet. En förnyad teknisk genomgång av förslagen sker nu under det danska ordförandeskapet. Beslut väntas i början av 2013.</w:t>
      </w:r>
    </w:p>
    <w:p w:rsidR="003158A9" w:rsidRPr="00A50CB5" w:rsidRDefault="003158A9" w:rsidP="003158A9">
      <w:pPr>
        <w:pStyle w:val="RKnormal"/>
      </w:pPr>
    </w:p>
    <w:p w:rsidR="003158A9" w:rsidRPr="00A50CB5" w:rsidRDefault="003158A9" w:rsidP="003158A9">
      <w:pPr>
        <w:pStyle w:val="RKnormal"/>
      </w:pPr>
      <w:r w:rsidRPr="00A50CB5">
        <w:lastRenderedPageBreak/>
        <w:t>V</w:t>
      </w:r>
      <w:r w:rsidR="006527F9" w:rsidRPr="00A50CB5">
        <w:t>id rådsmötet den 19-20 mars</w:t>
      </w:r>
      <w:r w:rsidRPr="00A50CB5">
        <w:t xml:space="preserve"> är det ordförandeskapets avsikt att föra en orienteringsdebatt om möjliga förenklingar beträffande de olika lagförslagen.</w:t>
      </w:r>
    </w:p>
    <w:p w:rsidR="003158A9" w:rsidRPr="00A50CB5" w:rsidRDefault="003158A9" w:rsidP="003158A9">
      <w:pPr>
        <w:pStyle w:val="RKnormal"/>
        <w:rPr>
          <w:i/>
          <w:iCs/>
        </w:rPr>
      </w:pPr>
    </w:p>
    <w:p w:rsidR="003158A9" w:rsidRPr="00A50CB5" w:rsidRDefault="003158A9" w:rsidP="003158A9">
      <w:pPr>
        <w:pStyle w:val="RKnormal"/>
        <w:rPr>
          <w:i/>
          <w:iCs/>
        </w:rPr>
      </w:pPr>
      <w:r w:rsidRPr="00A50CB5">
        <w:rPr>
          <w:i/>
          <w:iCs/>
        </w:rPr>
        <w:t>Förslag till svensk ståndpunkt</w:t>
      </w:r>
    </w:p>
    <w:p w:rsidR="003158A9" w:rsidRPr="00A50CB5" w:rsidRDefault="003158A9" w:rsidP="003158A9">
      <w:pPr>
        <w:pStyle w:val="RKnormal"/>
      </w:pPr>
      <w:r w:rsidRPr="00A50CB5">
        <w:t>Den allmänna svenska linjen är att det krävs fortsatt kraftfulla reformer av den gemensamma jordbrukspolitiken som leder till väsentligt lägre utgifter, en ökad marknadsorientering och ett ökat relativt fokus på politiken för landsbygdsutveckling. Kommissionens förslag lever inte upp till detta.</w:t>
      </w:r>
    </w:p>
    <w:p w:rsidR="003158A9" w:rsidRPr="00A50CB5" w:rsidRDefault="003158A9" w:rsidP="003158A9">
      <w:pPr>
        <w:pStyle w:val="RKnormal"/>
      </w:pPr>
    </w:p>
    <w:p w:rsidR="003158A9" w:rsidRPr="00A50CB5" w:rsidRDefault="00B61E2A" w:rsidP="003158A9">
      <w:pPr>
        <w:tabs>
          <w:tab w:val="left" w:pos="2835"/>
        </w:tabs>
        <w:spacing w:line="240" w:lineRule="atLeast"/>
        <w:rPr>
          <w:lang w:eastAsia="sv-SE"/>
        </w:rPr>
      </w:pPr>
      <w:r w:rsidRPr="00A50CB5">
        <w:rPr>
          <w:lang w:eastAsia="sv-SE"/>
        </w:rPr>
        <w:t>Regeringen</w:t>
      </w:r>
      <w:r w:rsidR="003158A9" w:rsidRPr="00A50CB5">
        <w:rPr>
          <w:lang w:eastAsia="sv-SE"/>
        </w:rPr>
        <w:t xml:space="preserve"> förespråkar även en hög ambitionsnivå </w:t>
      </w:r>
      <w:r w:rsidR="002B6C82" w:rsidRPr="00A50CB5">
        <w:rPr>
          <w:lang w:eastAsia="sv-SE"/>
        </w:rPr>
        <w:t>för</w:t>
      </w:r>
      <w:r w:rsidR="003158A9" w:rsidRPr="00A50CB5">
        <w:rPr>
          <w:lang w:eastAsia="sv-SE"/>
        </w:rPr>
        <w:t xml:space="preserve"> förenklingar av jordbrukspolitiken. Systemet är komplext och svårbegripligt redan i nuläget och detta utgör en börda för jordbrukarna. </w:t>
      </w:r>
      <w:r w:rsidRPr="00A50CB5">
        <w:rPr>
          <w:lang w:eastAsia="sv-SE"/>
        </w:rPr>
        <w:t>Regeringens</w:t>
      </w:r>
      <w:r w:rsidR="003158A9" w:rsidRPr="00A50CB5">
        <w:rPr>
          <w:lang w:eastAsia="sv-SE"/>
        </w:rPr>
        <w:t xml:space="preserve"> bedömning är att kommissionens förslag ökar den administrativa bördan och att flera delar därför behöver förändras för att göra systemet enklare. </w:t>
      </w:r>
      <w:r w:rsidRPr="00A50CB5">
        <w:rPr>
          <w:lang w:eastAsia="sv-SE"/>
        </w:rPr>
        <w:t>Regeringen</w:t>
      </w:r>
      <w:r w:rsidR="003158A9" w:rsidRPr="00A50CB5">
        <w:rPr>
          <w:lang w:eastAsia="sv-SE"/>
        </w:rPr>
        <w:t xml:space="preserve"> delar denna bedömning med flertalet andra medlemsstater. </w:t>
      </w:r>
    </w:p>
    <w:p w:rsidR="003158A9" w:rsidRPr="00A50CB5" w:rsidRDefault="003158A9" w:rsidP="003158A9">
      <w:pPr>
        <w:pStyle w:val="RKnormal"/>
      </w:pPr>
    </w:p>
    <w:p w:rsidR="003158A9" w:rsidRPr="00A50CB5" w:rsidRDefault="003158A9" w:rsidP="003158A9">
      <w:pPr>
        <w:pStyle w:val="RKnormal"/>
        <w:rPr>
          <w:i/>
          <w:iCs/>
        </w:rPr>
      </w:pPr>
      <w:r w:rsidRPr="00A50CB5">
        <w:rPr>
          <w:i/>
          <w:iCs/>
        </w:rPr>
        <w:t>EU-nämnden och MJU</w:t>
      </w:r>
    </w:p>
    <w:p w:rsidR="003158A9" w:rsidRPr="00A50CB5" w:rsidRDefault="003158A9" w:rsidP="003158A9">
      <w:pPr>
        <w:pStyle w:val="RKnormal"/>
      </w:pPr>
      <w:r w:rsidRPr="00A50CB5">
        <w:t xml:space="preserve">Förslagen till reform av den gemensamma jordbrukspolitiken var senast föremål för </w:t>
      </w:r>
      <w:r w:rsidR="00B61E2A" w:rsidRPr="00A50CB5">
        <w:t xml:space="preserve">information i MJU och </w:t>
      </w:r>
      <w:r w:rsidRPr="00A50CB5">
        <w:t xml:space="preserve">samråd med EU-nämnden </w:t>
      </w:r>
      <w:r w:rsidR="007C1410" w:rsidRPr="00A50CB5">
        <w:t>inför J</w:t>
      </w:r>
      <w:r w:rsidR="00B61E2A" w:rsidRPr="00A50CB5">
        <w:t>ordbruks</w:t>
      </w:r>
      <w:r w:rsidR="007C1410" w:rsidRPr="00A50CB5">
        <w:t>-</w:t>
      </w:r>
      <w:r w:rsidR="00B61E2A" w:rsidRPr="00A50CB5">
        <w:t xml:space="preserve"> och fiskerådet den 23 januari 2</w:t>
      </w:r>
      <w:r w:rsidRPr="00A50CB5">
        <w:t>012.</w:t>
      </w:r>
    </w:p>
    <w:p w:rsidR="003158A9" w:rsidRPr="00A50CB5" w:rsidRDefault="003158A9" w:rsidP="00911167">
      <w:pPr>
        <w:pStyle w:val="RKnormal"/>
        <w:rPr>
          <w:b/>
          <w:i/>
        </w:rPr>
      </w:pPr>
    </w:p>
    <w:p w:rsidR="003158A9" w:rsidRPr="00A50CB5" w:rsidRDefault="003158A9" w:rsidP="00911167">
      <w:pPr>
        <w:pStyle w:val="RKnormal"/>
        <w:rPr>
          <w:b/>
          <w:i/>
        </w:rPr>
      </w:pPr>
    </w:p>
    <w:p w:rsidR="00191F50" w:rsidRPr="00A50CB5" w:rsidRDefault="00191F50" w:rsidP="00191F50">
      <w:pPr>
        <w:pStyle w:val="RKnormal"/>
        <w:rPr>
          <w:b/>
          <w:u w:val="single"/>
        </w:rPr>
      </w:pPr>
      <w:r w:rsidRPr="00A50CB5">
        <w:rPr>
          <w:b/>
          <w:u w:val="single"/>
        </w:rPr>
        <w:t>FISKE</w:t>
      </w:r>
    </w:p>
    <w:p w:rsidR="00191F50" w:rsidRPr="00A50CB5" w:rsidRDefault="00191F50" w:rsidP="00191F50">
      <w:pPr>
        <w:pStyle w:val="RKnormal"/>
        <w:rPr>
          <w:b/>
        </w:rPr>
      </w:pPr>
    </w:p>
    <w:p w:rsidR="00191F50" w:rsidRPr="00A50CB5" w:rsidRDefault="00191F50" w:rsidP="00191F50">
      <w:pPr>
        <w:pStyle w:val="RKnormal"/>
        <w:rPr>
          <w:b/>
        </w:rPr>
      </w:pPr>
      <w:r w:rsidRPr="00A50CB5">
        <w:rPr>
          <w:b/>
        </w:rPr>
        <w:t>FRÅGOR FÖR COREPER</w:t>
      </w:r>
    </w:p>
    <w:p w:rsidR="00F072D6" w:rsidRPr="00A50CB5" w:rsidRDefault="00F072D6" w:rsidP="00F072D6">
      <w:pPr>
        <w:pStyle w:val="RKrubrik"/>
      </w:pPr>
      <w:r w:rsidRPr="00A50CB5">
        <w:t xml:space="preserve">4. Förslag till Europaparlamentets och rådets förordning om den gemensamma fiskeripolitiken  </w:t>
      </w:r>
    </w:p>
    <w:p w:rsidR="00F072D6" w:rsidRPr="00A50CB5" w:rsidRDefault="00F072D6" w:rsidP="00F072D6">
      <w:pPr>
        <w:pStyle w:val="RKnormal"/>
        <w:rPr>
          <w:b/>
          <w:i/>
        </w:rPr>
      </w:pPr>
      <w:r w:rsidRPr="00A50CB5">
        <w:rPr>
          <w:b/>
          <w:i/>
        </w:rPr>
        <w:t>- Riktlinjedebatt</w:t>
      </w:r>
    </w:p>
    <w:p w:rsidR="00F072D6" w:rsidRPr="00A50CB5" w:rsidRDefault="00F072D6" w:rsidP="00F072D6">
      <w:pPr>
        <w:pStyle w:val="RKnormal"/>
      </w:pPr>
    </w:p>
    <w:p w:rsidR="00F072D6" w:rsidRPr="00A50CB5" w:rsidRDefault="00F072D6" w:rsidP="00F072D6">
      <w:pPr>
        <w:pStyle w:val="RKnormal"/>
        <w:rPr>
          <w:i/>
          <w:iCs/>
        </w:rPr>
      </w:pPr>
      <w:r w:rsidRPr="00A50CB5">
        <w:rPr>
          <w:i/>
          <w:iCs/>
        </w:rPr>
        <w:t>Dokumentbeteckning</w:t>
      </w:r>
    </w:p>
    <w:p w:rsidR="00F072D6" w:rsidRPr="00A50CB5" w:rsidRDefault="00F072D6" w:rsidP="00F072D6">
      <w:pPr>
        <w:rPr>
          <w:lang w:eastAsia="sv-SE"/>
        </w:rPr>
      </w:pPr>
      <w:r w:rsidRPr="00A50CB5">
        <w:rPr>
          <w:lang w:eastAsia="sv-SE"/>
        </w:rPr>
        <w:t>12514/11 PECHE 187 CODEC 1166</w:t>
      </w:r>
    </w:p>
    <w:p w:rsidR="00F072D6" w:rsidRPr="00A50CB5" w:rsidRDefault="00F072D6" w:rsidP="00F072D6">
      <w:pPr>
        <w:pStyle w:val="RKnormal"/>
        <w:rPr>
          <w:iCs/>
        </w:rPr>
      </w:pPr>
      <w:r w:rsidRPr="00A50CB5">
        <w:rPr>
          <w:color w:val="000000"/>
        </w:rPr>
        <w:t>7080/12 PECHE 64 CODEC 520</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Rättslig grund</w:t>
      </w:r>
    </w:p>
    <w:p w:rsidR="00F072D6" w:rsidRPr="00A50CB5" w:rsidRDefault="00F072D6" w:rsidP="00F072D6">
      <w:pPr>
        <w:pStyle w:val="RKnormal"/>
        <w:rPr>
          <w:iCs/>
        </w:rPr>
      </w:pPr>
      <w:r w:rsidRPr="00A50CB5">
        <w:rPr>
          <w:iCs/>
        </w:rPr>
        <w:t>Artikel 43.2 i Fördraget om Europeiska unionens funktionssätt</w:t>
      </w:r>
      <w:r w:rsidR="00DA17C7" w:rsidRPr="00A50CB5">
        <w:rPr>
          <w:iCs/>
        </w:rPr>
        <w:t xml:space="preserve"> </w:t>
      </w:r>
      <w:r w:rsidR="00DA17C7" w:rsidRPr="00A50CB5">
        <w:t>(</w:t>
      </w:r>
      <w:r w:rsidR="00DA17C7" w:rsidRPr="00A50CB5">
        <w:rPr>
          <w:iCs/>
        </w:rPr>
        <w:t>TFEU)</w:t>
      </w:r>
      <w:r w:rsidRPr="00A50CB5">
        <w:rPr>
          <w:iCs/>
        </w:rPr>
        <w:t>.</w:t>
      </w:r>
      <w:r w:rsidR="00181F3B" w:rsidRPr="00A50CB5">
        <w:rPr>
          <w:rFonts w:eastAsia="Calibri"/>
        </w:rPr>
        <w:t xml:space="preserve"> Beslut fattas av rådet med kvalificerad majoritet i medbeslutande med Europaparlamentet.</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Bakgrund</w:t>
      </w:r>
    </w:p>
    <w:p w:rsidR="00A9127A" w:rsidRPr="00A50CB5" w:rsidRDefault="00F072D6" w:rsidP="00F072D6">
      <w:pPr>
        <w:pStyle w:val="RKnormal"/>
        <w:rPr>
          <w:iCs/>
        </w:rPr>
      </w:pPr>
      <w:r w:rsidRPr="00A50CB5">
        <w:rPr>
          <w:iCs/>
        </w:rPr>
        <w:t xml:space="preserve">Det danska ordförandeskapet har aviserat att man under vårens </w:t>
      </w:r>
      <w:r w:rsidR="00EA7CEA" w:rsidRPr="00A50CB5">
        <w:rPr>
          <w:iCs/>
        </w:rPr>
        <w:t>J</w:t>
      </w:r>
      <w:r w:rsidRPr="00A50CB5">
        <w:rPr>
          <w:iCs/>
        </w:rPr>
        <w:t>ordbruks-</w:t>
      </w:r>
      <w:r w:rsidR="00EE6BCB" w:rsidRPr="00A50CB5">
        <w:rPr>
          <w:iCs/>
        </w:rPr>
        <w:t xml:space="preserve"> </w:t>
      </w:r>
      <w:r w:rsidRPr="00A50CB5">
        <w:rPr>
          <w:iCs/>
        </w:rPr>
        <w:t>och fiskeråd vill diskutera ett antal nyckelfrågor i kommissionens förslag till reform av den gemensamma fiskeripolitiken. Syftet med dessa debatter är att klargöra medlemsstaternas ståndpunkter för att komma fram till en så kallad allmän inriktning vid junirådet. Vid rådsmötet den 19–20 mars kommer diskussionen att röra kommissionens förslag om skyldighet att landa alla fångster</w:t>
      </w:r>
      <w:r w:rsidR="00123818" w:rsidRPr="00A50CB5">
        <w:rPr>
          <w:iCs/>
        </w:rPr>
        <w:t>, dvs ett förbud mot utkast</w:t>
      </w:r>
      <w:r w:rsidRPr="00A50CB5">
        <w:rPr>
          <w:iCs/>
        </w:rPr>
        <w:t xml:space="preserve"> (artikel 15 i förslaget till grundförordning).  </w:t>
      </w:r>
      <w:r w:rsidR="00A9127A" w:rsidRPr="00A50CB5">
        <w:rPr>
          <w:iCs/>
        </w:rPr>
        <w:t>Följande f</w:t>
      </w:r>
      <w:r w:rsidRPr="00A50CB5">
        <w:rPr>
          <w:iCs/>
        </w:rPr>
        <w:t>råg</w:t>
      </w:r>
      <w:r w:rsidR="00A9127A" w:rsidRPr="00A50CB5">
        <w:rPr>
          <w:iCs/>
        </w:rPr>
        <w:t xml:space="preserve">or </w:t>
      </w:r>
      <w:r w:rsidRPr="00A50CB5">
        <w:rPr>
          <w:iCs/>
        </w:rPr>
        <w:t xml:space="preserve">har sänts till medlemsstaterna </w:t>
      </w:r>
      <w:r w:rsidR="00A9127A" w:rsidRPr="00A50CB5">
        <w:rPr>
          <w:iCs/>
        </w:rPr>
        <w:t>för att vägled</w:t>
      </w:r>
      <w:r w:rsidR="00EB1933" w:rsidRPr="00A50CB5">
        <w:rPr>
          <w:iCs/>
        </w:rPr>
        <w:t>a</w:t>
      </w:r>
      <w:r w:rsidR="00A9127A" w:rsidRPr="00A50CB5">
        <w:rPr>
          <w:iCs/>
        </w:rPr>
        <w:t xml:space="preserve"> diskussionen:</w:t>
      </w:r>
    </w:p>
    <w:p w:rsidR="00A9127A" w:rsidRPr="00A50CB5" w:rsidRDefault="00A9127A" w:rsidP="00F072D6">
      <w:pPr>
        <w:pStyle w:val="RKnormal"/>
        <w:rPr>
          <w:iCs/>
        </w:rPr>
      </w:pPr>
    </w:p>
    <w:p w:rsidR="00A9127A" w:rsidRPr="00A50CB5" w:rsidRDefault="00A9127A" w:rsidP="00A9127A">
      <w:pPr>
        <w:pStyle w:val="RKnormal"/>
        <w:rPr>
          <w:iCs/>
        </w:rPr>
      </w:pPr>
      <w:r w:rsidRPr="00A50CB5">
        <w:rPr>
          <w:iCs/>
        </w:rPr>
        <w:t>1)Hur bör förbudet mot att kasta fångst över bord tillämpas? Bör det utgå från en artbaserad eller fiskeribaserad ansats? Hur kan man garantera ett tydligt och genomförbart tidsschema för införandet av kravet på att all fångst ska landas? Om kravet på att all fångst skulle landas vore fiskeribaserat, skulle det då omfatta alla de kommersiella arterna? Hur skulle fiskemöjligheterna anpassas i enlighet med kravet på att all fångst ska landas för att säkerställa den relativa stabiliteten i fångsterna?</w:t>
      </w:r>
    </w:p>
    <w:p w:rsidR="00A9127A" w:rsidRPr="00A50CB5" w:rsidRDefault="00A9127A" w:rsidP="00A9127A">
      <w:pPr>
        <w:pStyle w:val="RKnormal"/>
        <w:rPr>
          <w:iCs/>
        </w:rPr>
      </w:pPr>
    </w:p>
    <w:p w:rsidR="00A9127A" w:rsidRPr="00A50CB5" w:rsidRDefault="00A9127A" w:rsidP="00A9127A">
      <w:pPr>
        <w:pStyle w:val="RKnormal"/>
        <w:rPr>
          <w:iCs/>
        </w:rPr>
      </w:pPr>
      <w:r w:rsidRPr="00A50CB5">
        <w:rPr>
          <w:iCs/>
        </w:rPr>
        <w:t>2)Hur ska minimireferensstorlekarna fastställas i förhållande till kravet på att all fångst ska landas? Hur kan vi garantera att minimireferensstorlekarna fastställs på nivåer som garanterar högsta möjliga selektivitetsgrad för att i första hand undvika oönskade fångster? Hur bör vi hantera resterande oönskade fångster som inte kan undvikas trots allt större selektivitet, särskilt resterande oönskade fångster av unga exemplar?</w:t>
      </w:r>
    </w:p>
    <w:p w:rsidR="00A9127A" w:rsidRPr="00A50CB5" w:rsidRDefault="00A9127A" w:rsidP="00A9127A">
      <w:pPr>
        <w:pStyle w:val="RKnormal"/>
        <w:rPr>
          <w:iCs/>
        </w:rPr>
      </w:pPr>
    </w:p>
    <w:p w:rsidR="00A9127A" w:rsidRPr="00A50CB5" w:rsidRDefault="00A9127A" w:rsidP="00A9127A">
      <w:pPr>
        <w:pStyle w:val="RKnormal"/>
        <w:rPr>
          <w:iCs/>
        </w:rPr>
      </w:pPr>
      <w:r w:rsidRPr="00A50CB5">
        <w:rPr>
          <w:iCs/>
        </w:rPr>
        <w:t>3)Hur kan den gemensamma organisationen av marknaden och fonden bidra till att oönskade fångster kan undvikas genom selektivitet och till att kravet på att all fångst ska landas genomförs?</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Förslag till svensk ståndpunkt</w:t>
      </w:r>
    </w:p>
    <w:p w:rsidR="00F072D6" w:rsidRPr="00A50CB5" w:rsidRDefault="00F072D6" w:rsidP="00F072D6">
      <w:pPr>
        <w:pStyle w:val="RKnormal"/>
        <w:rPr>
          <w:i/>
          <w:iCs/>
        </w:rPr>
      </w:pPr>
      <w:r w:rsidRPr="00A50CB5">
        <w:t xml:space="preserve">Regeringen stödjer kommissionens förslag att införa ett utkastförbud i den gemensamma fiskeripolitiken och att all kommersiell fångst landas och räknas av kvoten. </w:t>
      </w:r>
      <w:r w:rsidRPr="00A50CB5">
        <w:rPr>
          <w:szCs w:val="24"/>
          <w:lang w:eastAsia="sv-SE"/>
        </w:rPr>
        <w:t>Regeringen föredrar dock ett generellt utkast</w:t>
      </w:r>
      <w:r w:rsidR="00EA7CEA" w:rsidRPr="00A50CB5">
        <w:rPr>
          <w:szCs w:val="24"/>
          <w:lang w:eastAsia="sv-SE"/>
        </w:rPr>
        <w:softHyphen/>
      </w:r>
      <w:r w:rsidRPr="00A50CB5">
        <w:rPr>
          <w:szCs w:val="24"/>
          <w:lang w:eastAsia="sv-SE"/>
        </w:rPr>
        <w:t xml:space="preserve">förbud med en lista på undantag snarare än ett partiellt utkastförbud som endast gäller för vissa arter. </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EU-nämnden och MJU</w:t>
      </w:r>
    </w:p>
    <w:p w:rsidR="00EA7CEA" w:rsidRPr="00A50CB5" w:rsidRDefault="00F072D6" w:rsidP="00EE6BCB">
      <w:pPr>
        <w:pStyle w:val="RKnormal"/>
      </w:pPr>
      <w:r w:rsidRPr="00A50CB5">
        <w:t xml:space="preserve">Frågan var senast föremål för samråd med EU-nämnden och information i MJU inför Jordbruks- och fiskerådet i juli 2011. </w:t>
      </w:r>
    </w:p>
    <w:p w:rsidR="008F24A3" w:rsidRPr="00A50CB5" w:rsidRDefault="008F24A3" w:rsidP="00BB68D2">
      <w:pPr>
        <w:pStyle w:val="RKrubrik"/>
      </w:pPr>
      <w:r w:rsidRPr="00A50CB5">
        <w:t xml:space="preserve">5. Förslag till Europaparlamentets och rådets förordning om </w:t>
      </w:r>
      <w:r w:rsidR="00191F50" w:rsidRPr="00A50CB5">
        <w:t>den gemensamma marknadsordningen för fiskeri- och vattenbruksprodukter</w:t>
      </w:r>
    </w:p>
    <w:p w:rsidR="008F24A3" w:rsidRPr="00A50CB5" w:rsidRDefault="008F24A3" w:rsidP="008F24A3">
      <w:pPr>
        <w:pStyle w:val="RKnormal"/>
        <w:rPr>
          <w:b/>
          <w:i/>
        </w:rPr>
      </w:pPr>
      <w:r w:rsidRPr="00A50CB5">
        <w:rPr>
          <w:b/>
          <w:i/>
        </w:rPr>
        <w:t xml:space="preserve">- </w:t>
      </w:r>
      <w:r w:rsidR="00191F50" w:rsidRPr="00A50CB5">
        <w:rPr>
          <w:b/>
          <w:i/>
        </w:rPr>
        <w:t>Riktlinjedebatt</w:t>
      </w:r>
    </w:p>
    <w:p w:rsidR="00BB68D2" w:rsidRPr="00A50CB5" w:rsidRDefault="00BB68D2" w:rsidP="00BB68D2">
      <w:pPr>
        <w:pStyle w:val="RKnormal"/>
        <w:rPr>
          <w:i/>
          <w:iCs/>
        </w:rPr>
      </w:pPr>
    </w:p>
    <w:p w:rsidR="00F072D6" w:rsidRPr="00A50CB5" w:rsidRDefault="00F072D6" w:rsidP="00F072D6">
      <w:pPr>
        <w:pStyle w:val="RKnormal"/>
        <w:rPr>
          <w:i/>
          <w:iCs/>
        </w:rPr>
      </w:pPr>
      <w:r w:rsidRPr="00A50CB5">
        <w:rPr>
          <w:i/>
          <w:iCs/>
        </w:rPr>
        <w:t>Dokumentbeteckning</w:t>
      </w:r>
    </w:p>
    <w:p w:rsidR="00F072D6" w:rsidRPr="00A50CB5" w:rsidRDefault="003B03AC" w:rsidP="00F072D6">
      <w:pPr>
        <w:pStyle w:val="RKnormal"/>
        <w:rPr>
          <w:i/>
          <w:iCs/>
        </w:rPr>
      </w:pPr>
      <w:r w:rsidRPr="00A50CB5">
        <w:t>D</w:t>
      </w:r>
      <w:r w:rsidR="00F072D6" w:rsidRPr="00A50CB5">
        <w:t>oc. 12516/11 PECHE 188 CODEC 1167</w:t>
      </w:r>
    </w:p>
    <w:p w:rsidR="00A9127A" w:rsidRPr="00A50CB5" w:rsidRDefault="00A9127A" w:rsidP="00F072D6">
      <w:pPr>
        <w:pStyle w:val="RKnormal"/>
        <w:rPr>
          <w:i/>
          <w:iCs/>
        </w:rPr>
      </w:pPr>
    </w:p>
    <w:p w:rsidR="00F072D6" w:rsidRPr="00A50CB5" w:rsidRDefault="00F072D6" w:rsidP="00F072D6">
      <w:pPr>
        <w:pStyle w:val="RKnormal"/>
        <w:rPr>
          <w:i/>
          <w:iCs/>
        </w:rPr>
      </w:pPr>
      <w:r w:rsidRPr="00A50CB5">
        <w:rPr>
          <w:i/>
          <w:iCs/>
        </w:rPr>
        <w:t>Rättslig grund</w:t>
      </w:r>
    </w:p>
    <w:p w:rsidR="00F072D6" w:rsidRPr="00A50CB5" w:rsidRDefault="00DA17C7" w:rsidP="00F072D6">
      <w:pPr>
        <w:pStyle w:val="RKnormal"/>
        <w:rPr>
          <w:iCs/>
        </w:rPr>
      </w:pPr>
      <w:r w:rsidRPr="00A50CB5">
        <w:rPr>
          <w:iCs/>
        </w:rPr>
        <w:t>A</w:t>
      </w:r>
      <w:r w:rsidR="00F072D6" w:rsidRPr="00A50CB5">
        <w:rPr>
          <w:iCs/>
        </w:rPr>
        <w:t xml:space="preserve">rtiklarna 42 och 43.2 i </w:t>
      </w:r>
      <w:r w:rsidR="00F072D6" w:rsidRPr="00A50CB5">
        <w:t>Fördraget om Europeiska Unionens funktionssätt (</w:t>
      </w:r>
      <w:r w:rsidR="00F072D6" w:rsidRPr="00A50CB5">
        <w:rPr>
          <w:iCs/>
        </w:rPr>
        <w:t>TFEU).</w:t>
      </w:r>
      <w:r w:rsidR="00181F3B" w:rsidRPr="00A50CB5">
        <w:rPr>
          <w:rFonts w:eastAsia="Calibri"/>
        </w:rPr>
        <w:t xml:space="preserve"> Beslut fattas av rådet med kvalificerad majoritet i medbeslutande med Europaparlamentet.</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Bakgrund</w:t>
      </w:r>
    </w:p>
    <w:p w:rsidR="00F072D6" w:rsidRPr="00A50CB5" w:rsidRDefault="00F072D6" w:rsidP="00F072D6">
      <w:pPr>
        <w:spacing w:line="240" w:lineRule="auto"/>
        <w:rPr>
          <w:color w:val="000000"/>
        </w:rPr>
      </w:pPr>
      <w:r w:rsidRPr="00A50CB5">
        <w:rPr>
          <w:color w:val="000000"/>
        </w:rPr>
        <w:t>K</w:t>
      </w:r>
      <w:r w:rsidR="00DA17C7" w:rsidRPr="00A50CB5">
        <w:rPr>
          <w:color w:val="000000"/>
        </w:rPr>
        <w:t>ommissionen</w:t>
      </w:r>
      <w:r w:rsidRPr="00A50CB5">
        <w:rPr>
          <w:color w:val="000000"/>
        </w:rPr>
        <w:t xml:space="preserve"> presenterade den 14 juli 2011 ett förslag till förordning vad gäller den gemensamma marknadsordningen för fiske- och vattenbruksprodukter inom ramen för CFP-reformen.</w:t>
      </w:r>
    </w:p>
    <w:p w:rsidR="00F072D6" w:rsidRPr="00A50CB5" w:rsidRDefault="00F072D6" w:rsidP="00F072D6">
      <w:pPr>
        <w:pStyle w:val="RKnormal"/>
      </w:pPr>
    </w:p>
    <w:p w:rsidR="00F072D6" w:rsidRPr="00A50CB5" w:rsidRDefault="00F072D6" w:rsidP="00F072D6">
      <w:r w:rsidRPr="00A50CB5">
        <w:t>Förslaget till ny marknadsordning innebär i korthet en tydligare koppling mellan marknadsordningen och de uppsatta målen i den gemensamma fiskeripolitiken. Producentorganisationer ges i förslaget ett större ansvar för resursförvaltning, övervakning och kontroll samtidigt som interventionssystemet fasas ut och konsument</w:t>
      </w:r>
      <w:r w:rsidR="00EE6BCB" w:rsidRPr="00A50CB5">
        <w:softHyphen/>
      </w:r>
      <w:r w:rsidRPr="00A50CB5">
        <w:t>informationen kompletteras.</w:t>
      </w:r>
    </w:p>
    <w:p w:rsidR="00F072D6" w:rsidRPr="00A50CB5" w:rsidRDefault="00F072D6" w:rsidP="00F072D6"/>
    <w:p w:rsidR="00F072D6" w:rsidRPr="00A50CB5" w:rsidRDefault="00EE6BCB" w:rsidP="00F072D6">
      <w:pPr>
        <w:pStyle w:val="RKnormal"/>
      </w:pPr>
      <w:r w:rsidRPr="00A50CB5">
        <w:t xml:space="preserve">Som vägledning för meningsutbytet vid </w:t>
      </w:r>
      <w:r w:rsidR="00EA7CEA" w:rsidRPr="00A50CB5">
        <w:t>J</w:t>
      </w:r>
      <w:r w:rsidR="00F072D6" w:rsidRPr="00A50CB5">
        <w:t xml:space="preserve">ordbruks- och fiskerådet </w:t>
      </w:r>
      <w:r w:rsidRPr="00A50CB5">
        <w:t>har det danska ordförandeskapet tagit fram följande frågor:</w:t>
      </w:r>
    </w:p>
    <w:p w:rsidR="00A9127A" w:rsidRPr="00A50CB5" w:rsidRDefault="00A9127A" w:rsidP="00F072D6">
      <w:pPr>
        <w:pStyle w:val="RKnormal"/>
      </w:pPr>
    </w:p>
    <w:p w:rsidR="00F072D6" w:rsidRPr="00A50CB5" w:rsidRDefault="00A9127A" w:rsidP="00A9127A">
      <w:pPr>
        <w:widowControl w:val="0"/>
        <w:overflowPunct/>
        <w:autoSpaceDE/>
        <w:autoSpaceDN/>
        <w:adjustRightInd/>
        <w:spacing w:line="240" w:lineRule="auto"/>
        <w:textAlignment w:val="auto"/>
        <w:rPr>
          <w:color w:val="000000"/>
          <w:szCs w:val="24"/>
          <w:lang w:eastAsia="fr-BE"/>
        </w:rPr>
      </w:pPr>
      <w:r w:rsidRPr="00A50CB5">
        <w:rPr>
          <w:color w:val="000000"/>
          <w:szCs w:val="24"/>
          <w:lang w:eastAsia="fr-BE"/>
        </w:rPr>
        <w:t>1)</w:t>
      </w:r>
      <w:r w:rsidR="00F072D6" w:rsidRPr="00A50CB5">
        <w:rPr>
          <w:color w:val="000000"/>
          <w:szCs w:val="24"/>
          <w:lang w:eastAsia="fr-BE"/>
        </w:rPr>
        <w:t>Hur kan producentorganisationernas roll stärkas, vilket ansvar ska de ha och hur ska EU-finansieringen se ut? Vad ska vara deras mål och vilka åtgärder behövs för att främja en hållbar förvaltning av fisket och vattenbruket, samt utveckling av marknadsstrategier och marknadsinformation?</w:t>
      </w:r>
    </w:p>
    <w:p w:rsidR="00A9127A" w:rsidRPr="00A50CB5" w:rsidRDefault="00A9127A" w:rsidP="00A9127A">
      <w:pPr>
        <w:widowControl w:val="0"/>
        <w:overflowPunct/>
        <w:autoSpaceDE/>
        <w:autoSpaceDN/>
        <w:adjustRightInd/>
        <w:spacing w:line="240" w:lineRule="auto"/>
        <w:textAlignment w:val="auto"/>
        <w:rPr>
          <w:color w:val="000000"/>
          <w:szCs w:val="24"/>
          <w:lang w:eastAsia="fr-BE"/>
        </w:rPr>
      </w:pPr>
    </w:p>
    <w:p w:rsidR="00F072D6" w:rsidRPr="00A50CB5" w:rsidRDefault="00A9127A" w:rsidP="00A9127A">
      <w:pPr>
        <w:widowControl w:val="0"/>
        <w:overflowPunct/>
        <w:autoSpaceDE/>
        <w:autoSpaceDN/>
        <w:adjustRightInd/>
        <w:spacing w:line="240" w:lineRule="auto"/>
        <w:textAlignment w:val="auto"/>
        <w:rPr>
          <w:color w:val="000000"/>
          <w:szCs w:val="24"/>
          <w:lang w:eastAsia="fr-BE"/>
        </w:rPr>
      </w:pPr>
      <w:r w:rsidRPr="00A50CB5">
        <w:rPr>
          <w:color w:val="000000"/>
          <w:szCs w:val="24"/>
          <w:lang w:eastAsia="fr-BE"/>
        </w:rPr>
        <w:t>2)</w:t>
      </w:r>
      <w:r w:rsidR="00F072D6" w:rsidRPr="00A50CB5">
        <w:rPr>
          <w:color w:val="000000"/>
          <w:szCs w:val="24"/>
          <w:lang w:eastAsia="fr-BE"/>
        </w:rPr>
        <w:t>Vilka är de lämpligaste verktygen och de legala instrumenten för att förbättra konsumentinformation?</w:t>
      </w:r>
    </w:p>
    <w:p w:rsidR="00A9127A" w:rsidRPr="00A50CB5" w:rsidRDefault="00A9127A" w:rsidP="00A9127A">
      <w:pPr>
        <w:widowControl w:val="0"/>
        <w:overflowPunct/>
        <w:autoSpaceDE/>
        <w:autoSpaceDN/>
        <w:adjustRightInd/>
        <w:spacing w:line="240" w:lineRule="auto"/>
        <w:textAlignment w:val="auto"/>
        <w:rPr>
          <w:color w:val="000000"/>
          <w:szCs w:val="24"/>
          <w:lang w:eastAsia="fr-BE"/>
        </w:rPr>
      </w:pPr>
    </w:p>
    <w:p w:rsidR="00F072D6" w:rsidRPr="00A50CB5" w:rsidRDefault="00A9127A" w:rsidP="00A9127A">
      <w:pPr>
        <w:widowControl w:val="0"/>
        <w:overflowPunct/>
        <w:autoSpaceDE/>
        <w:autoSpaceDN/>
        <w:adjustRightInd/>
        <w:spacing w:line="240" w:lineRule="auto"/>
        <w:textAlignment w:val="auto"/>
        <w:rPr>
          <w:color w:val="000000"/>
          <w:szCs w:val="24"/>
          <w:lang w:eastAsia="fr-BE"/>
        </w:rPr>
      </w:pPr>
      <w:r w:rsidRPr="00A50CB5">
        <w:rPr>
          <w:color w:val="000000"/>
          <w:szCs w:val="24"/>
          <w:lang w:eastAsia="fr-BE"/>
        </w:rPr>
        <w:t>3)</w:t>
      </w:r>
      <w:r w:rsidR="00F072D6" w:rsidRPr="00A50CB5">
        <w:rPr>
          <w:color w:val="000000"/>
          <w:szCs w:val="24"/>
          <w:lang w:eastAsia="fr-BE"/>
        </w:rPr>
        <w:t>Vilka andra marknadsinstrument behövs för att stödja införandet av en reformerad CFP?</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Förslag till svensk ståndpunkt</w:t>
      </w:r>
    </w:p>
    <w:p w:rsidR="00F072D6" w:rsidRPr="00A50CB5" w:rsidRDefault="00F072D6" w:rsidP="00F072D6">
      <w:r w:rsidRPr="00A50CB5">
        <w:t xml:space="preserve">Regeringen är positivt inställd till att förslaget till marknadsordning innehåller flera instrument för att ge näringen möjlighet att själv ta ett större ansvar för resursförvaltningen och en hållbar produktion. Genom att utnyttja </w:t>
      </w:r>
      <w:r w:rsidR="00EE6BCB" w:rsidRPr="00A50CB5">
        <w:t xml:space="preserve">producentorganisationer </w:t>
      </w:r>
      <w:r w:rsidRPr="00A50CB5">
        <w:t>kan enskilda fiskare gå samman i åtgärder som man enskilt inte kunnat göra. Regeringen välkomnar samarbete i</w:t>
      </w:r>
      <w:r w:rsidR="00DA17C7" w:rsidRPr="00A50CB5">
        <w:t>nom</w:t>
      </w:r>
      <w:r w:rsidRPr="00A50CB5">
        <w:t xml:space="preserve"> näringen</w:t>
      </w:r>
      <w:r w:rsidR="00F965C5" w:rsidRPr="00A50CB5">
        <w:t>, men</w:t>
      </w:r>
      <w:r w:rsidR="00923059" w:rsidRPr="00A50CB5">
        <w:t xml:space="preserve"> vill</w:t>
      </w:r>
      <w:r w:rsidRPr="00A50CB5">
        <w:t xml:space="preserve"> betona att det måste vara fråga om frivilliga initiativ.</w:t>
      </w:r>
    </w:p>
    <w:p w:rsidR="00F072D6" w:rsidRPr="00A50CB5" w:rsidRDefault="00F072D6" w:rsidP="00F072D6">
      <w:pPr>
        <w:overflowPunct/>
        <w:spacing w:line="240" w:lineRule="auto"/>
        <w:textAlignment w:val="auto"/>
        <w:rPr>
          <w:rFonts w:ascii="Helv" w:hAnsi="Helv" w:cs="Helv"/>
          <w:color w:val="000000"/>
          <w:sz w:val="20"/>
          <w:lang w:eastAsia="sv-SE"/>
        </w:rPr>
      </w:pPr>
    </w:p>
    <w:p w:rsidR="00F072D6" w:rsidRPr="00A50CB5" w:rsidRDefault="00F072D6" w:rsidP="00F072D6">
      <w:r w:rsidRPr="00A50CB5">
        <w:t>När det gäller konsumentinformationen anser regerin</w:t>
      </w:r>
      <w:r w:rsidR="00EA7CEA" w:rsidRPr="00A50CB5">
        <w:t>gen att det är viktigt att den</w:t>
      </w:r>
      <w:r w:rsidRPr="00A50CB5">
        <w:t xml:space="preserve"> inte dubbelregleras utan endast regleras inom ramen för det politikområde där konsumentinformation hör hemma, förslagsvis i förordningen om livsmedelsinformation. Regeringen stödjer ambitionen att minska den administrativa bördan och förenkla regelverket och då bör dubbelregleringar undvikas. I sammanhanget är det viktigt att ifrågasätta nyttan av de regler om frivillig konsumentinformation som följer av förslaget.</w:t>
      </w:r>
    </w:p>
    <w:p w:rsidR="00F072D6" w:rsidRPr="00A50CB5" w:rsidRDefault="00F072D6" w:rsidP="00F072D6"/>
    <w:p w:rsidR="00F072D6" w:rsidRPr="00A50CB5" w:rsidRDefault="00F072D6" w:rsidP="00F072D6">
      <w:r w:rsidRPr="00A50CB5">
        <w:t>Regeringen anser för övrigt inte att det bör införas några ytterligare marknadsinstrument i den gemensamma fiskeripolitiken utan är istället positiv till att förslaget syftar till att minska antalet marknadsstörande element, särskilt genom utfasningen av stödet till privat lagring.</w:t>
      </w:r>
    </w:p>
    <w:p w:rsidR="00F072D6" w:rsidRPr="00A50CB5" w:rsidRDefault="00F072D6" w:rsidP="00F072D6"/>
    <w:p w:rsidR="00F072D6" w:rsidRPr="00A50CB5" w:rsidRDefault="00F072D6" w:rsidP="00F072D6">
      <w:pPr>
        <w:pStyle w:val="RKnormal"/>
        <w:rPr>
          <w:i/>
          <w:iCs/>
        </w:rPr>
      </w:pPr>
      <w:r w:rsidRPr="00A50CB5">
        <w:rPr>
          <w:i/>
          <w:iCs/>
        </w:rPr>
        <w:t>EU-nämnden och MJU</w:t>
      </w:r>
    </w:p>
    <w:p w:rsidR="00F072D6" w:rsidRPr="00A50CB5" w:rsidRDefault="00F072D6" w:rsidP="00F072D6">
      <w:pPr>
        <w:pStyle w:val="RKnormal"/>
      </w:pPr>
      <w:r w:rsidRPr="00A50CB5">
        <w:t xml:space="preserve">Frågan var senast föremål för information i MJU </w:t>
      </w:r>
      <w:r w:rsidR="00123818" w:rsidRPr="00A50CB5">
        <w:t>och samråd med EU</w:t>
      </w:r>
      <w:r w:rsidR="00EA7CEA" w:rsidRPr="00A50CB5">
        <w:t>-nämnden</w:t>
      </w:r>
      <w:r w:rsidR="00123818" w:rsidRPr="00A50CB5">
        <w:t xml:space="preserve"> i samband med den första presentationen av kommissionens reformförslag vid Jordbruks- och fiskerådet i juli 2011. Frågan har sedan varit föremål för särskild överläggning i MJU </w:t>
      </w:r>
      <w:r w:rsidRPr="00A50CB5">
        <w:t xml:space="preserve">den 27 oktober 2011. </w:t>
      </w:r>
    </w:p>
    <w:p w:rsidR="00BB68D2" w:rsidRPr="00A50CB5" w:rsidRDefault="00BB68D2" w:rsidP="0049632F">
      <w:pPr>
        <w:pStyle w:val="RKrubrik"/>
      </w:pPr>
      <w:r w:rsidRPr="00A50CB5">
        <w:t>6</w:t>
      </w:r>
      <w:r w:rsidR="00191F50" w:rsidRPr="00A50CB5">
        <w:t>.</w:t>
      </w:r>
      <w:r w:rsidRPr="00A50CB5">
        <w:t xml:space="preserve"> </w:t>
      </w:r>
      <w:r w:rsidR="00191F50" w:rsidRPr="00A50CB5">
        <w:t xml:space="preserve">Förslag till Europaparlamentets och rådets förordning om Europeiska havs- och fiskerifonden och om upphävande av rådets förordning (EG) nr 1198/2006, rådets förordning (EG) nr 861/2006 och rådets förordning (EG) nr XXX/2011 om en integrerad havspolitik </w:t>
      </w:r>
    </w:p>
    <w:p w:rsidR="00191F50" w:rsidRPr="00A50CB5" w:rsidRDefault="00191F50" w:rsidP="00191F50">
      <w:pPr>
        <w:pStyle w:val="RKnormal"/>
        <w:rPr>
          <w:b/>
          <w:bCs/>
          <w:i/>
          <w:iCs/>
        </w:rPr>
      </w:pPr>
      <w:r w:rsidRPr="00A50CB5">
        <w:rPr>
          <w:b/>
          <w:bCs/>
          <w:i/>
          <w:iCs/>
        </w:rPr>
        <w:t>- Riktlinjedebatt</w:t>
      </w:r>
    </w:p>
    <w:p w:rsidR="00191F50" w:rsidRPr="00A50CB5" w:rsidRDefault="00191F50" w:rsidP="00191F50">
      <w:pPr>
        <w:pStyle w:val="RKnormal"/>
        <w:rPr>
          <w:b/>
          <w:bCs/>
          <w:i/>
          <w:iCs/>
        </w:rPr>
      </w:pPr>
    </w:p>
    <w:p w:rsidR="00F072D6" w:rsidRPr="00A50CB5" w:rsidRDefault="00F072D6" w:rsidP="00F072D6">
      <w:pPr>
        <w:rPr>
          <w:i/>
        </w:rPr>
      </w:pPr>
      <w:r w:rsidRPr="00A50CB5">
        <w:rPr>
          <w:i/>
        </w:rPr>
        <w:t>Dokumentbeteckning</w:t>
      </w:r>
    </w:p>
    <w:p w:rsidR="00F072D6" w:rsidRPr="00A50CB5" w:rsidRDefault="00237595" w:rsidP="00F072D6">
      <w:pPr>
        <w:pStyle w:val="RKnormal"/>
        <w:rPr>
          <w:lang w:eastAsia="sv-SE"/>
        </w:rPr>
      </w:pPr>
      <w:r w:rsidRPr="00A50CB5">
        <w:t>17870/11 PECHE 368 CADREFIN 162 CODEC 2255</w:t>
      </w:r>
    </w:p>
    <w:p w:rsidR="00F072D6" w:rsidRPr="00A50CB5" w:rsidRDefault="00F072D6" w:rsidP="00F072D6">
      <w:pPr>
        <w:rPr>
          <w:i/>
        </w:rPr>
      </w:pPr>
    </w:p>
    <w:p w:rsidR="00F072D6" w:rsidRPr="00A50CB5" w:rsidRDefault="00F072D6" w:rsidP="00F072D6">
      <w:pPr>
        <w:rPr>
          <w:i/>
        </w:rPr>
      </w:pPr>
      <w:r w:rsidRPr="00A50CB5">
        <w:rPr>
          <w:i/>
        </w:rPr>
        <w:t>Rättslig grund och beslutsförfarande</w:t>
      </w:r>
    </w:p>
    <w:p w:rsidR="00F072D6" w:rsidRPr="00A50CB5" w:rsidRDefault="00F072D6" w:rsidP="00F072D6">
      <w:pPr>
        <w:rPr>
          <w:rFonts w:eastAsia="Calibri"/>
        </w:rPr>
      </w:pPr>
      <w:r w:rsidRPr="00A50CB5">
        <w:rPr>
          <w:rFonts w:eastAsia="Calibri"/>
        </w:rPr>
        <w:t xml:space="preserve">Rättslig grund för förslaget är artiklarna </w:t>
      </w:r>
      <w:r w:rsidRPr="00A50CB5">
        <w:t>42, 43.2, 91.1, 100.2, 53.3, 55, 188, 192.1, 194.2 och 195.2</w:t>
      </w:r>
      <w:r w:rsidRPr="00A50CB5">
        <w:rPr>
          <w:rFonts w:eastAsia="Calibri"/>
        </w:rPr>
        <w:t xml:space="preserve"> i fördraget om Europeiska unionens funktionssätt.</w:t>
      </w:r>
      <w:r w:rsidR="00923059" w:rsidRPr="00A50CB5">
        <w:rPr>
          <w:rFonts w:eastAsia="Calibri"/>
        </w:rPr>
        <w:t xml:space="preserve"> B</w:t>
      </w:r>
      <w:r w:rsidRPr="00A50CB5">
        <w:rPr>
          <w:rFonts w:eastAsia="Calibri"/>
        </w:rPr>
        <w:t>eslut fattas av rådet med kvalificerad majoritet i medbeslutande med Europaparlamentet.</w:t>
      </w:r>
    </w:p>
    <w:p w:rsidR="00F072D6" w:rsidRPr="00A50CB5" w:rsidRDefault="00F072D6" w:rsidP="00F072D6">
      <w:pPr>
        <w:pStyle w:val="RKnormal"/>
        <w:rPr>
          <w:i/>
        </w:rPr>
      </w:pPr>
    </w:p>
    <w:p w:rsidR="00F072D6" w:rsidRPr="00A50CB5" w:rsidRDefault="00F072D6" w:rsidP="00F072D6">
      <w:pPr>
        <w:rPr>
          <w:i/>
        </w:rPr>
      </w:pPr>
      <w:r w:rsidRPr="00A50CB5">
        <w:rPr>
          <w:i/>
        </w:rPr>
        <w:t>Bakgrund</w:t>
      </w:r>
    </w:p>
    <w:p w:rsidR="00F072D6" w:rsidRPr="00A50CB5" w:rsidRDefault="00F072D6" w:rsidP="00F072D6">
      <w:r w:rsidRPr="00A50CB5">
        <w:t>EHFF-förslaget är en del av den pågående reformen av den gemensamma fiskeripolitiken. Förslaget publicerades den 2 december 2011 och presenterades vid Jordbruks- och fiskerådet den 16 december. En första läsning av förslaget har inletts i rådsarbets</w:t>
      </w:r>
      <w:r w:rsidR="00EA7CEA" w:rsidRPr="00A50CB5">
        <w:softHyphen/>
      </w:r>
      <w:r w:rsidRPr="00A50CB5">
        <w:t>gruppen för den externa och interna fiskeripolitiken. Avsikten är att förslaget ska träda i kraft den 1 januari 2013.</w:t>
      </w:r>
    </w:p>
    <w:p w:rsidR="00F072D6" w:rsidRPr="00A50CB5" w:rsidRDefault="00F072D6" w:rsidP="00F072D6"/>
    <w:p w:rsidR="00F072D6" w:rsidRPr="00A50CB5" w:rsidRDefault="00F072D6" w:rsidP="00F072D6">
      <w:r w:rsidRPr="00A50CB5">
        <w:t xml:space="preserve">Med EHFF-förslaget kommer bestämmelser om EU-finansiering som tidigare varit spridda på flera förordningar att samlas i en förordning. EHFF kommer att ha ett större tillämpningsområde än den nu gällande europeiska fiskerifonden, EFF. Hela fem finansieringsinstrument för den gemensamma fiskeripolitiken och för den integrerade havspolitiken sammanförs i denna fond. Dock finansieras inte fiskepartnerskapsavtalen (FPA) och de regionala fiskeriorganisationationerna genom fonden. </w:t>
      </w:r>
    </w:p>
    <w:p w:rsidR="00F072D6" w:rsidRPr="00A50CB5" w:rsidRDefault="00F072D6" w:rsidP="00F072D6"/>
    <w:p w:rsidR="00F072D6" w:rsidRPr="00A50CB5" w:rsidRDefault="00F072D6" w:rsidP="00F072D6">
      <w:r w:rsidRPr="00A50CB5">
        <w:t xml:space="preserve">EHFF kommer att kopplas tydligt till Europa 2020-strategin om en smart och hållbar tillväxt för alla och till den integrerade havspolitiken. EHFF kommer också tydligt att kopplas till förslaget om en ny grundförordning om den gemensamma fiskeripolitiken genom att stöd </w:t>
      </w:r>
      <w:r w:rsidR="00860967" w:rsidRPr="00A50CB5">
        <w:t>kan</w:t>
      </w:r>
      <w:r w:rsidRPr="00A50CB5">
        <w:t xml:space="preserve"> att ges för bl.a. införandet av ett system med överlåtbara fiske</w:t>
      </w:r>
      <w:r w:rsidR="00860967" w:rsidRPr="00A50CB5">
        <w:softHyphen/>
      </w:r>
      <w:r w:rsidRPr="00A50CB5">
        <w:t>rättigheter, för datainsamling, samt för kontroll och marknadsåtgärder.</w:t>
      </w:r>
    </w:p>
    <w:p w:rsidR="00F072D6" w:rsidRPr="00A50CB5" w:rsidRDefault="00F072D6" w:rsidP="00F072D6"/>
    <w:p w:rsidR="00F072D6" w:rsidRPr="00A50CB5" w:rsidRDefault="00F072D6" w:rsidP="00F072D6">
      <w:r w:rsidRPr="00A50CB5">
        <w:t>Synergier mellan EHFF och övriga fonder inom samma</w:t>
      </w:r>
      <w:r w:rsidR="00237595" w:rsidRPr="00A50CB5">
        <w:t>n</w:t>
      </w:r>
      <w:r w:rsidRPr="00A50CB5">
        <w:t>hållnings</w:t>
      </w:r>
      <w:r w:rsidR="00EA7CEA" w:rsidRPr="00A50CB5">
        <w:softHyphen/>
      </w:r>
      <w:r w:rsidRPr="00A50CB5">
        <w:t>politiken</w:t>
      </w:r>
      <w:r w:rsidR="00923059" w:rsidRPr="00A50CB5">
        <w:rPr>
          <w:rStyle w:val="Fotnotsreferens"/>
        </w:rPr>
        <w:footnoteReference w:id="1"/>
      </w:r>
      <w:r w:rsidR="00923059" w:rsidRPr="00A50CB5">
        <w:t xml:space="preserve"> </w:t>
      </w:r>
      <w:r w:rsidRPr="00A50CB5">
        <w:t>kommer att säkerställas genom införandet av ett gemensamt strategiskt ramverk. För detta ändamål har kommissionen föreslagit att det införs en särskild horisontell förordning som är gem</w:t>
      </w:r>
      <w:r w:rsidR="00EA7CEA" w:rsidRPr="00A50CB5">
        <w:t>ensam för samtliga fonder, en så kallad</w:t>
      </w:r>
      <w:r w:rsidRPr="00A50CB5">
        <w:t xml:space="preserve"> paraplyförordning. Av paraplyförordningen följer att ett partnerskapskontrakt ska upprättas mellan medlemsstaterna och kommissionen om användningen av fonde</w:t>
      </w:r>
      <w:r w:rsidR="00EA7CEA" w:rsidRPr="00A50CB5">
        <w:t>rnas medel. Kontraktet ska bland annat</w:t>
      </w:r>
      <w:r w:rsidRPr="00A50CB5">
        <w:t xml:space="preserve"> innehålla en sammanställning av de </w:t>
      </w:r>
      <w:r w:rsidR="00EA7CEA" w:rsidRPr="00A50CB5">
        <w:t>så kallade</w:t>
      </w:r>
      <w:r w:rsidRPr="00A50CB5">
        <w:t xml:space="preserve"> milstolpar och målsättningar som ska upprättas inom varje program. Kontraktet ska innehålla en ingående beskrivning av hur fonderna ska nå EU 2020-målen, institutionella arrangemang samt den indikativa budget</w:t>
      </w:r>
      <w:r w:rsidR="00EE6BCB" w:rsidRPr="00A50CB5">
        <w:softHyphen/>
      </w:r>
      <w:r w:rsidRPr="00A50CB5">
        <w:t>fördelningen till respektive EU-prioritering.</w:t>
      </w:r>
    </w:p>
    <w:p w:rsidR="00237595" w:rsidRPr="00A50CB5" w:rsidRDefault="00237595" w:rsidP="00237595"/>
    <w:p w:rsidR="00237595" w:rsidRPr="00A50CB5" w:rsidRDefault="00237595" w:rsidP="00237595">
      <w:r w:rsidRPr="00A50CB5">
        <w:t xml:space="preserve">Ordförandeskapet har </w:t>
      </w:r>
      <w:r w:rsidR="00EA7CEA" w:rsidRPr="00A50CB5">
        <w:t>bett medlemsstaterna att inför J</w:t>
      </w:r>
      <w:r w:rsidRPr="00A50CB5">
        <w:t>ordbruks- och fiskerådet den 19</w:t>
      </w:r>
      <w:r w:rsidR="00EA7CEA" w:rsidRPr="00A50CB5">
        <w:t>-20</w:t>
      </w:r>
      <w:r w:rsidRPr="00A50CB5">
        <w:t xml:space="preserve"> mars ta ställning till följande frågor:</w:t>
      </w:r>
    </w:p>
    <w:p w:rsidR="00A9127A" w:rsidRPr="00A50CB5" w:rsidRDefault="00A9127A" w:rsidP="00237595"/>
    <w:p w:rsidR="00237595" w:rsidRPr="00A50CB5" w:rsidRDefault="00A9127A" w:rsidP="00A9127A">
      <w:r w:rsidRPr="00A50CB5">
        <w:t>1)</w:t>
      </w:r>
      <w:r w:rsidR="00237595" w:rsidRPr="00A50CB5">
        <w:t>V</w:t>
      </w:r>
      <w:r w:rsidR="00EE6BCB" w:rsidRPr="00A50CB5">
        <w:t>ilka</w:t>
      </w:r>
      <w:r w:rsidR="00237595" w:rsidRPr="00A50CB5">
        <w:t xml:space="preserve"> bör huvudprioriteringar </w:t>
      </w:r>
      <w:r w:rsidR="00C06B3E" w:rsidRPr="00A50CB5">
        <w:t xml:space="preserve">i </w:t>
      </w:r>
      <w:r w:rsidR="00EE6BCB" w:rsidRPr="00A50CB5">
        <w:t>vara</w:t>
      </w:r>
      <w:r w:rsidR="00C06B3E" w:rsidRPr="00A50CB5">
        <w:t xml:space="preserve"> </w:t>
      </w:r>
      <w:r w:rsidR="00237595" w:rsidRPr="00A50CB5">
        <w:t xml:space="preserve">EHFF för att målen med reformen ska uppnås? </w:t>
      </w:r>
    </w:p>
    <w:p w:rsidR="00A9127A" w:rsidRPr="00A50CB5" w:rsidRDefault="00A9127A" w:rsidP="00A9127A"/>
    <w:p w:rsidR="00237595" w:rsidRPr="00A50CB5" w:rsidRDefault="00A9127A" w:rsidP="00A9127A">
      <w:r w:rsidRPr="00A50CB5">
        <w:t>2)</w:t>
      </w:r>
      <w:r w:rsidR="00237595" w:rsidRPr="00A50CB5">
        <w:t>Hur kan EHFF användas för att främja innovation, selektivitet, miljöskydd, datainsamling, vetenskapliga studier, vetenskaplig rådgivning och kontroll?</w:t>
      </w:r>
    </w:p>
    <w:p w:rsidR="00A9127A" w:rsidRPr="00A50CB5" w:rsidRDefault="00A9127A" w:rsidP="00A9127A"/>
    <w:p w:rsidR="00237595" w:rsidRPr="00A50CB5" w:rsidRDefault="00A9127A" w:rsidP="00A9127A">
      <w:r w:rsidRPr="00A50CB5">
        <w:t>3)</w:t>
      </w:r>
      <w:r w:rsidR="00237595" w:rsidRPr="00A50CB5">
        <w:t>Hur kan användandet av EHFF:s medel optimeras för att säkerställa tillväxt, jobbskapande och social sammanhållning i kust- och landsbygdsområden?</w:t>
      </w:r>
    </w:p>
    <w:p w:rsidR="00F072D6" w:rsidRPr="00A50CB5" w:rsidRDefault="00F072D6" w:rsidP="00F072D6">
      <w:pPr>
        <w:rPr>
          <w:i/>
        </w:rPr>
      </w:pPr>
    </w:p>
    <w:p w:rsidR="00F072D6" w:rsidRPr="00A50CB5" w:rsidRDefault="00F072D6" w:rsidP="00F072D6">
      <w:pPr>
        <w:rPr>
          <w:i/>
        </w:rPr>
      </w:pPr>
      <w:r w:rsidRPr="00A50CB5">
        <w:rPr>
          <w:i/>
        </w:rPr>
        <w:t>Förslag till svensk ståndpunkt</w:t>
      </w:r>
    </w:p>
    <w:p w:rsidR="00237595" w:rsidRPr="00A50CB5" w:rsidRDefault="00F072D6" w:rsidP="00F072D6">
      <w:r w:rsidRPr="00A50CB5">
        <w:t xml:space="preserve">Rent allmänt är det regeringens utgångspunkt att ekonomiskt stöd till fisket bör reserveras för sådana åtgärder som kan bidra till en långsiktigt hållbar resurspolitik. Enligt regeringens uppfattning bör de huvudsakliga prioriteringarna därför vara att EHFF ska understödja övergången till ett resursmässigt uthålligt fiske och målet om maximalt hållbart uttag </w:t>
      </w:r>
      <w:r w:rsidRPr="00A50CB5">
        <w:rPr>
          <w:lang w:eastAsia="sv-SE"/>
        </w:rPr>
        <w:t>och underlätta genomförandet av utkastförbudet</w:t>
      </w:r>
      <w:r w:rsidRPr="00A50CB5">
        <w:t>. Regeringen bedömer att kommissionens förslag innehåller nödvändiga åtgärder för att göra just detta</w:t>
      </w:r>
      <w:r w:rsidR="00237595" w:rsidRPr="00A50CB5">
        <w:t xml:space="preserve"> och</w:t>
      </w:r>
      <w:r w:rsidR="00923059" w:rsidRPr="00A50CB5">
        <w:t xml:space="preserve"> </w:t>
      </w:r>
      <w:r w:rsidRPr="00A50CB5">
        <w:t>välkomnar därför förslag</w:t>
      </w:r>
      <w:r w:rsidR="003801E9" w:rsidRPr="00A50CB5">
        <w:t>et</w:t>
      </w:r>
      <w:r w:rsidRPr="00A50CB5">
        <w:t xml:space="preserve">. </w:t>
      </w:r>
    </w:p>
    <w:p w:rsidR="00237595" w:rsidRPr="00A50CB5" w:rsidRDefault="00237595" w:rsidP="00F072D6"/>
    <w:p w:rsidR="00237595" w:rsidRPr="00A50CB5" w:rsidRDefault="00F072D6" w:rsidP="00F072D6">
      <w:r w:rsidRPr="00A50CB5">
        <w:t>Regeringen uppskattar också kommissionens förslag att tydligare koppla EHFF till Europa 2020-strategin för smart och hållbar tillväxt för alla, då detta kan säkerställa att E</w:t>
      </w:r>
      <w:r w:rsidR="00237595" w:rsidRPr="00A50CB5">
        <w:t>H</w:t>
      </w:r>
      <w:r w:rsidRPr="00A50CB5">
        <w:t xml:space="preserve">FF tillför ett europeiskt mervärde. </w:t>
      </w:r>
    </w:p>
    <w:p w:rsidR="00237595" w:rsidRPr="00A50CB5" w:rsidRDefault="00237595" w:rsidP="00F072D6"/>
    <w:p w:rsidR="00F072D6" w:rsidRPr="00A50CB5" w:rsidRDefault="00F072D6" w:rsidP="00F072D6">
      <w:r w:rsidRPr="00A50CB5">
        <w:t>Regeringen välkomnar vidare att förslaget möjliggör stöd till genomförandet av den integrerade havspolitiken</w:t>
      </w:r>
      <w:r w:rsidR="00237595" w:rsidRPr="00A50CB5">
        <w:t>,</w:t>
      </w:r>
      <w:r w:rsidRPr="00A50CB5">
        <w:t xml:space="preserve"> inklusive åtgärder i enlighet med EU:s ramdirektiv om en marin strategi samt för havsplanering. Vidare svarar förslaget väl mot regeringens generella uppfattning att ekonomiskt stöd som är marknadsingripande eller kapacitetsdrivande bör undvikas och att ekonomiskt stöd i stället bör reserveras för sådana åtgärder som kan bidra till en långsiktigt hållbar resurspolitik på fiskets område. </w:t>
      </w:r>
      <w:r w:rsidR="00237595" w:rsidRPr="00A50CB5">
        <w:t>Regeringen delar kommissionens bedömning att skrotningsstödet inte har varit så effektivt som det var tänkt.  Mot bakgrund av detta stödjer r</w:t>
      </w:r>
      <w:r w:rsidRPr="00A50CB5">
        <w:t xml:space="preserve">egeringen kommissionens ambition att slopa stödet till skrotning och motorbyten samt minska omfattningen av stödet till investeringar ombord. </w:t>
      </w:r>
    </w:p>
    <w:p w:rsidR="00923059" w:rsidRPr="00A50CB5" w:rsidRDefault="00923059" w:rsidP="00F072D6"/>
    <w:p w:rsidR="00F072D6" w:rsidRPr="00A50CB5" w:rsidRDefault="00F072D6" w:rsidP="00F072D6">
      <w:r w:rsidRPr="00A50CB5">
        <w:t xml:space="preserve">Det är regeringens uppfattning att överlåtbara fiskenyttjanderätter – tillsammans med en ökad satsning på selektiva redskap, innovation, forskning, diversifiering, m.m. – är viktiga åtgärder för att bidra till både en mer ansvarsfull förvaltning av resursen och främja en anpassning till ett resursmässigt uthålligt fiske. </w:t>
      </w:r>
    </w:p>
    <w:p w:rsidR="00F072D6" w:rsidRPr="00A50CB5" w:rsidRDefault="00F072D6" w:rsidP="00F072D6">
      <w:pPr>
        <w:pStyle w:val="RKnormal"/>
        <w:rPr>
          <w:i/>
          <w:iCs/>
        </w:rPr>
      </w:pPr>
    </w:p>
    <w:p w:rsidR="00F072D6" w:rsidRPr="00A50CB5" w:rsidRDefault="00F072D6" w:rsidP="00F072D6">
      <w:pPr>
        <w:pStyle w:val="RKnormal"/>
        <w:rPr>
          <w:i/>
          <w:iCs/>
        </w:rPr>
      </w:pPr>
      <w:r w:rsidRPr="00A50CB5">
        <w:rPr>
          <w:i/>
          <w:iCs/>
        </w:rPr>
        <w:t>EU-nämnden och MJU</w:t>
      </w:r>
    </w:p>
    <w:p w:rsidR="00F072D6" w:rsidRPr="00A50CB5" w:rsidRDefault="00F072D6" w:rsidP="00F072D6">
      <w:pPr>
        <w:pStyle w:val="RKnormal"/>
      </w:pPr>
      <w:r w:rsidRPr="00A50CB5">
        <w:t>Frågan har inte tidigare varit föremål för samråd med EU-nämnden</w:t>
      </w:r>
      <w:r w:rsidR="003801E9" w:rsidRPr="00A50CB5">
        <w:t>,</w:t>
      </w:r>
      <w:r w:rsidRPr="00A50CB5">
        <w:t xml:space="preserve"> men </w:t>
      </w:r>
      <w:r w:rsidR="00C06B3E" w:rsidRPr="00A50CB5">
        <w:t>diskuterats vid en</w:t>
      </w:r>
      <w:r w:rsidRPr="00A50CB5">
        <w:t xml:space="preserve"> </w:t>
      </w:r>
      <w:r w:rsidR="00923059" w:rsidRPr="00A50CB5">
        <w:t>särskild överläggning</w:t>
      </w:r>
      <w:r w:rsidRPr="00A50CB5">
        <w:t xml:space="preserve"> i MJU den 16 februari 2012.</w:t>
      </w:r>
    </w:p>
    <w:p w:rsidR="00191F50" w:rsidRPr="00A50CB5" w:rsidRDefault="00191F50" w:rsidP="00191F50">
      <w:pPr>
        <w:pStyle w:val="RKrubrik"/>
        <w:rPr>
          <w:u w:val="single"/>
        </w:rPr>
      </w:pPr>
      <w:r w:rsidRPr="00A50CB5">
        <w:rPr>
          <w:u w:val="single"/>
        </w:rPr>
        <w:t>Icke lagstiftande verksamhet</w:t>
      </w:r>
    </w:p>
    <w:p w:rsidR="00191F50" w:rsidRPr="00A50CB5" w:rsidRDefault="00191F50" w:rsidP="00191F50">
      <w:pPr>
        <w:pStyle w:val="RKrubrik"/>
      </w:pPr>
      <w:r w:rsidRPr="00A50CB5">
        <w:t>7. Godkännande av förteckningen över A-punkter</w:t>
      </w:r>
    </w:p>
    <w:p w:rsidR="00191F50" w:rsidRPr="00A50CB5" w:rsidRDefault="00191F50" w:rsidP="00191F50">
      <w:pPr>
        <w:pStyle w:val="RKrubrik"/>
      </w:pPr>
      <w:r w:rsidRPr="00A50CB5">
        <w:t>8. Meddelande från kommissionen till Europaparlamentet och rådet om den gemensamma fiskeripolitikens internationella dimension</w:t>
      </w:r>
    </w:p>
    <w:p w:rsidR="00191F50" w:rsidRPr="00A50CB5" w:rsidRDefault="00191F50" w:rsidP="00191F50">
      <w:pPr>
        <w:pStyle w:val="RKnormal"/>
        <w:rPr>
          <w:b/>
          <w:i/>
        </w:rPr>
      </w:pPr>
      <w:r w:rsidRPr="00A50CB5">
        <w:rPr>
          <w:b/>
          <w:i/>
        </w:rPr>
        <w:t>- Antagande av rådets slutsatser</w:t>
      </w:r>
    </w:p>
    <w:p w:rsidR="00AA6027" w:rsidRPr="00A50CB5" w:rsidRDefault="00AA6027" w:rsidP="00C314EE">
      <w:pPr>
        <w:pStyle w:val="RKnormal"/>
        <w:rPr>
          <w:i/>
          <w:iCs/>
        </w:rPr>
      </w:pPr>
    </w:p>
    <w:p w:rsidR="00C314EE" w:rsidRPr="00A50CB5" w:rsidRDefault="00C314EE" w:rsidP="00C314EE">
      <w:pPr>
        <w:pStyle w:val="RKnormal"/>
        <w:rPr>
          <w:i/>
          <w:iCs/>
        </w:rPr>
      </w:pPr>
      <w:r w:rsidRPr="00A50CB5">
        <w:rPr>
          <w:i/>
          <w:iCs/>
        </w:rPr>
        <w:t>Dokumentbeteckning</w:t>
      </w:r>
    </w:p>
    <w:p w:rsidR="00C314EE" w:rsidRPr="00A50CB5" w:rsidRDefault="00C314EE" w:rsidP="00C314EE">
      <w:pPr>
        <w:spacing w:line="240" w:lineRule="auto"/>
        <w:rPr>
          <w:color w:val="000000"/>
        </w:rPr>
      </w:pPr>
      <w:r w:rsidRPr="00A50CB5">
        <w:rPr>
          <w:color w:val="000000"/>
        </w:rPr>
        <w:t xml:space="preserve">12517/11 PECHE 189 </w:t>
      </w:r>
    </w:p>
    <w:p w:rsidR="00C314EE" w:rsidRPr="00A50CB5" w:rsidRDefault="00C314EE" w:rsidP="00C314EE">
      <w:pPr>
        <w:pStyle w:val="RKnormal"/>
        <w:rPr>
          <w:i/>
          <w:iCs/>
        </w:rPr>
      </w:pPr>
    </w:p>
    <w:p w:rsidR="00C314EE" w:rsidRPr="00A50CB5" w:rsidRDefault="00C314EE" w:rsidP="00C314EE">
      <w:pPr>
        <w:pStyle w:val="RKnormal"/>
        <w:rPr>
          <w:i/>
          <w:iCs/>
        </w:rPr>
      </w:pPr>
      <w:r w:rsidRPr="00A50CB5">
        <w:rPr>
          <w:i/>
          <w:iCs/>
        </w:rPr>
        <w:t>Rättslig grund</w:t>
      </w:r>
    </w:p>
    <w:p w:rsidR="00C314EE" w:rsidRPr="00A50CB5" w:rsidRDefault="00097E86" w:rsidP="00C314EE">
      <w:pPr>
        <w:pStyle w:val="RKnormal"/>
        <w:rPr>
          <w:iCs/>
        </w:rPr>
      </w:pPr>
      <w:r w:rsidRPr="00A50CB5">
        <w:rPr>
          <w:iCs/>
        </w:rPr>
        <w:t>Inte aktuellt</w:t>
      </w:r>
      <w:r w:rsidR="00AA6027" w:rsidRPr="00A50CB5">
        <w:rPr>
          <w:iCs/>
        </w:rPr>
        <w:t xml:space="preserve">. </w:t>
      </w:r>
    </w:p>
    <w:p w:rsidR="00097E86" w:rsidRPr="00A50CB5" w:rsidRDefault="00097E86" w:rsidP="00C314EE">
      <w:pPr>
        <w:pStyle w:val="RKnormal"/>
        <w:rPr>
          <w:i/>
          <w:iCs/>
        </w:rPr>
      </w:pPr>
    </w:p>
    <w:p w:rsidR="00C314EE" w:rsidRPr="00A50CB5" w:rsidRDefault="00C314EE" w:rsidP="00C314EE">
      <w:pPr>
        <w:pStyle w:val="RKnormal"/>
        <w:rPr>
          <w:i/>
          <w:iCs/>
        </w:rPr>
      </w:pPr>
      <w:r w:rsidRPr="00A50CB5">
        <w:rPr>
          <w:i/>
          <w:iCs/>
        </w:rPr>
        <w:t>Bakgrund</w:t>
      </w:r>
    </w:p>
    <w:p w:rsidR="00DF0B01" w:rsidRPr="00A50CB5" w:rsidRDefault="00AA6027" w:rsidP="00DF0B01">
      <w:pPr>
        <w:rPr>
          <w:iCs/>
        </w:rPr>
      </w:pPr>
      <w:r w:rsidRPr="00A50CB5">
        <w:t>Det danska o</w:t>
      </w:r>
      <w:r w:rsidR="00C314EE" w:rsidRPr="00A50CB5">
        <w:t>rdförandeskapet har presenterat ett förslag till råds</w:t>
      </w:r>
      <w:r w:rsidR="00EA7CEA" w:rsidRPr="00A50CB5">
        <w:softHyphen/>
      </w:r>
      <w:r w:rsidR="00C314EE" w:rsidRPr="00A50CB5">
        <w:t>slutsatser som tar ett brett grepp på den internationella dimensionen av den gemensamma fiskeripolitiken. Slutsatserna tar upp regionala fiskeriförvaltningsorganisationer (RFMO), bilaterala fiskeavtal samt bilaterala avtal med nordliga stater. Ordförande</w:t>
      </w:r>
      <w:r w:rsidRPr="00A50CB5">
        <w:t xml:space="preserve">skapets </w:t>
      </w:r>
      <w:r w:rsidR="00C314EE" w:rsidRPr="00A50CB5">
        <w:t xml:space="preserve">avsikt är att </w:t>
      </w:r>
      <w:r w:rsidR="00EA7CEA" w:rsidRPr="00A50CB5">
        <w:t>rådsslutsatserna ska antas vid J</w:t>
      </w:r>
      <w:r w:rsidR="00C314EE" w:rsidRPr="00A50CB5">
        <w:t xml:space="preserve">ordbruks- och fiskerådet den 19-20 mars. Sverige har under behandlingen fått gehör för flera framförda synpunkter. </w:t>
      </w:r>
      <w:r w:rsidR="00C314EE" w:rsidRPr="00A50CB5">
        <w:rPr>
          <w:iCs/>
        </w:rPr>
        <w:t>Exempel på viktiga aspekter som finns med i råds</w:t>
      </w:r>
      <w:r w:rsidR="00EA7CEA" w:rsidRPr="00A50CB5">
        <w:rPr>
          <w:iCs/>
        </w:rPr>
        <w:softHyphen/>
      </w:r>
      <w:r w:rsidR="00C314EE" w:rsidRPr="00A50CB5">
        <w:rPr>
          <w:iCs/>
        </w:rPr>
        <w:t xml:space="preserve">slutsatserna är: </w:t>
      </w:r>
    </w:p>
    <w:p w:rsidR="00C314EE" w:rsidRPr="00A50CB5" w:rsidRDefault="00C314EE" w:rsidP="00DF0B01">
      <w:pPr>
        <w:numPr>
          <w:ilvl w:val="0"/>
          <w:numId w:val="19"/>
        </w:numPr>
        <w:rPr>
          <w:iCs/>
        </w:rPr>
      </w:pPr>
      <w:r w:rsidRPr="00A50CB5">
        <w:rPr>
          <w:iCs/>
        </w:rPr>
        <w:t xml:space="preserve">Att samma principer som gäller för fiskeriförvaltning inom EU:s vatten ska gälla även utanför. </w:t>
      </w:r>
    </w:p>
    <w:p w:rsidR="00C314EE" w:rsidRPr="00A50CB5" w:rsidRDefault="00C314EE" w:rsidP="00DF0B01">
      <w:pPr>
        <w:numPr>
          <w:ilvl w:val="0"/>
          <w:numId w:val="19"/>
        </w:numPr>
        <w:rPr>
          <w:iCs/>
        </w:rPr>
      </w:pPr>
      <w:r w:rsidRPr="00A50CB5">
        <w:rPr>
          <w:iCs/>
        </w:rPr>
        <w:t>Beslutsprocessen inom RFMO:erna ska stärkas.</w:t>
      </w:r>
    </w:p>
    <w:p w:rsidR="00C314EE" w:rsidRPr="00A50CB5" w:rsidRDefault="00C314EE" w:rsidP="00DF0B01">
      <w:pPr>
        <w:numPr>
          <w:ilvl w:val="0"/>
          <w:numId w:val="19"/>
        </w:numPr>
        <w:rPr>
          <w:iCs/>
        </w:rPr>
      </w:pPr>
      <w:r w:rsidRPr="00A50CB5">
        <w:rPr>
          <w:iCs/>
        </w:rPr>
        <w:t>Den vetenskapliga rådgivningen inom RFMO:er ska stärkas.</w:t>
      </w:r>
    </w:p>
    <w:p w:rsidR="00C314EE" w:rsidRPr="00A50CB5" w:rsidRDefault="00EA7CEA" w:rsidP="00DF0B01">
      <w:pPr>
        <w:numPr>
          <w:ilvl w:val="0"/>
          <w:numId w:val="19"/>
        </w:numPr>
        <w:rPr>
          <w:iCs/>
        </w:rPr>
      </w:pPr>
      <w:r w:rsidRPr="00A50CB5">
        <w:rPr>
          <w:iCs/>
        </w:rPr>
        <w:t>A</w:t>
      </w:r>
      <w:r w:rsidR="00C314EE" w:rsidRPr="00A50CB5">
        <w:rPr>
          <w:iCs/>
        </w:rPr>
        <w:t xml:space="preserve">tt fisket </w:t>
      </w:r>
      <w:r w:rsidR="00AA6027" w:rsidRPr="00A50CB5">
        <w:rPr>
          <w:iCs/>
        </w:rPr>
        <w:t xml:space="preserve">ska vara </w:t>
      </w:r>
      <w:r w:rsidR="00C314EE" w:rsidRPr="00A50CB5">
        <w:rPr>
          <w:iCs/>
        </w:rPr>
        <w:t xml:space="preserve">hållbart och ske på ett överskott. </w:t>
      </w:r>
    </w:p>
    <w:p w:rsidR="00C314EE" w:rsidRPr="00A50CB5" w:rsidRDefault="00C314EE" w:rsidP="00DF0B01">
      <w:pPr>
        <w:numPr>
          <w:ilvl w:val="0"/>
          <w:numId w:val="19"/>
        </w:numPr>
        <w:rPr>
          <w:iCs/>
        </w:rPr>
      </w:pPr>
      <w:r w:rsidRPr="00A50CB5">
        <w:rPr>
          <w:iCs/>
        </w:rPr>
        <w:t xml:space="preserve">Ökad transparens </w:t>
      </w:r>
      <w:r w:rsidR="00AA6027" w:rsidRPr="00A50CB5">
        <w:rPr>
          <w:iCs/>
        </w:rPr>
        <w:t xml:space="preserve">när det gäller </w:t>
      </w:r>
      <w:r w:rsidR="00097E86" w:rsidRPr="00A50CB5">
        <w:rPr>
          <w:iCs/>
        </w:rPr>
        <w:t>avtalslandets</w:t>
      </w:r>
      <w:r w:rsidRPr="00A50CB5">
        <w:rPr>
          <w:iCs/>
        </w:rPr>
        <w:t xml:space="preserve"> kumulativa fiske.</w:t>
      </w:r>
    </w:p>
    <w:p w:rsidR="00C314EE" w:rsidRPr="00A50CB5" w:rsidRDefault="00C314EE" w:rsidP="00DF0B01">
      <w:pPr>
        <w:numPr>
          <w:ilvl w:val="0"/>
          <w:numId w:val="19"/>
        </w:numPr>
        <w:rPr>
          <w:iCs/>
        </w:rPr>
      </w:pPr>
      <w:r w:rsidRPr="00A50CB5">
        <w:rPr>
          <w:iCs/>
        </w:rPr>
        <w:t>Möjlighet att upphäva avtalen vid allvarliga brott mot mänskliga rättigheter och demokratiska principer.</w:t>
      </w:r>
    </w:p>
    <w:p w:rsidR="00C314EE" w:rsidRPr="00A50CB5" w:rsidRDefault="00C314EE" w:rsidP="00DF0B01">
      <w:pPr>
        <w:numPr>
          <w:ilvl w:val="0"/>
          <w:numId w:val="19"/>
        </w:numPr>
        <w:rPr>
          <w:iCs/>
        </w:rPr>
      </w:pPr>
      <w:r w:rsidRPr="00A50CB5">
        <w:rPr>
          <w:iCs/>
        </w:rPr>
        <w:t>Sektorstödet ska ta hänsyn till det lokala fisket så väl som livsmedelsförsörjning och andra fördelar till lokalbefolkningen.</w:t>
      </w:r>
    </w:p>
    <w:p w:rsidR="00C314EE" w:rsidRPr="00A50CB5" w:rsidRDefault="00AA6027" w:rsidP="00DF0B01">
      <w:pPr>
        <w:numPr>
          <w:ilvl w:val="0"/>
          <w:numId w:val="19"/>
        </w:numPr>
        <w:rPr>
          <w:iCs/>
        </w:rPr>
      </w:pPr>
      <w:r w:rsidRPr="00A50CB5">
        <w:rPr>
          <w:iCs/>
        </w:rPr>
        <w:t xml:space="preserve">En </w:t>
      </w:r>
      <w:r w:rsidR="00097E86" w:rsidRPr="00A50CB5">
        <w:rPr>
          <w:iCs/>
        </w:rPr>
        <w:t>f</w:t>
      </w:r>
      <w:r w:rsidR="00C314EE" w:rsidRPr="00A50CB5">
        <w:rPr>
          <w:iCs/>
        </w:rPr>
        <w:t>örstärk</w:t>
      </w:r>
      <w:r w:rsidR="00097E86" w:rsidRPr="00A50CB5">
        <w:rPr>
          <w:iCs/>
        </w:rPr>
        <w:t>t</w:t>
      </w:r>
      <w:r w:rsidR="00C314EE" w:rsidRPr="00A50CB5">
        <w:rPr>
          <w:iCs/>
        </w:rPr>
        <w:t xml:space="preserve"> exklusivitetsklausul (</w:t>
      </w:r>
      <w:r w:rsidRPr="00A50CB5">
        <w:rPr>
          <w:iCs/>
        </w:rPr>
        <w:t xml:space="preserve">för att </w:t>
      </w:r>
      <w:r w:rsidR="00C314EE" w:rsidRPr="00A50CB5">
        <w:rPr>
          <w:iCs/>
        </w:rPr>
        <w:t>undvika att EU:s fartyg fiskar utanför avtalets ram).</w:t>
      </w:r>
    </w:p>
    <w:p w:rsidR="00C314EE" w:rsidRPr="00A50CB5" w:rsidRDefault="00C314EE" w:rsidP="00DF0B01">
      <w:pPr>
        <w:numPr>
          <w:ilvl w:val="0"/>
          <w:numId w:val="19"/>
        </w:numPr>
        <w:rPr>
          <w:iCs/>
        </w:rPr>
      </w:pPr>
      <w:r w:rsidRPr="00A50CB5">
        <w:rPr>
          <w:iCs/>
        </w:rPr>
        <w:t xml:space="preserve">Ex-ante och ex-post utvärderingar </w:t>
      </w:r>
      <w:r w:rsidR="00AA6027" w:rsidRPr="00A50CB5">
        <w:rPr>
          <w:iCs/>
        </w:rPr>
        <w:t xml:space="preserve">ska </w:t>
      </w:r>
      <w:r w:rsidRPr="00A50CB5">
        <w:rPr>
          <w:iCs/>
        </w:rPr>
        <w:t>gör</w:t>
      </w:r>
      <w:r w:rsidR="00AA6027" w:rsidRPr="00A50CB5">
        <w:rPr>
          <w:iCs/>
        </w:rPr>
        <w:t>a</w:t>
      </w:r>
      <w:r w:rsidRPr="00A50CB5">
        <w:rPr>
          <w:iCs/>
        </w:rPr>
        <w:t>s tillgängliga i god tid inför beslut om förhandlingsmandat och därefter gör</w:t>
      </w:r>
      <w:r w:rsidR="00AA6027" w:rsidRPr="00A50CB5">
        <w:rPr>
          <w:iCs/>
        </w:rPr>
        <w:t>a</w:t>
      </w:r>
      <w:r w:rsidRPr="00A50CB5">
        <w:rPr>
          <w:iCs/>
        </w:rPr>
        <w:t>s offentliga.</w:t>
      </w:r>
    </w:p>
    <w:p w:rsidR="00C314EE" w:rsidRPr="00A50CB5" w:rsidRDefault="00C314EE" w:rsidP="00DF0B01">
      <w:pPr>
        <w:numPr>
          <w:ilvl w:val="0"/>
          <w:numId w:val="19"/>
        </w:numPr>
        <w:rPr>
          <w:iCs/>
        </w:rPr>
      </w:pPr>
      <w:r w:rsidRPr="00A50CB5">
        <w:rPr>
          <w:iCs/>
        </w:rPr>
        <w:t xml:space="preserve">Inom de nordliga avtalen ges möjlighet att utbyta fiskemöjligheter mellan EU och de nordliga staterna. </w:t>
      </w:r>
    </w:p>
    <w:p w:rsidR="00C314EE" w:rsidRPr="00A50CB5" w:rsidRDefault="00C314EE" w:rsidP="00C314EE">
      <w:pPr>
        <w:pStyle w:val="RKnormal"/>
        <w:rPr>
          <w:i/>
          <w:iCs/>
        </w:rPr>
      </w:pPr>
    </w:p>
    <w:p w:rsidR="00C314EE" w:rsidRPr="00A50CB5" w:rsidRDefault="00C314EE" w:rsidP="00C314EE">
      <w:pPr>
        <w:pStyle w:val="RKnormal"/>
        <w:rPr>
          <w:i/>
          <w:iCs/>
        </w:rPr>
      </w:pPr>
      <w:r w:rsidRPr="00A50CB5">
        <w:rPr>
          <w:i/>
          <w:iCs/>
        </w:rPr>
        <w:t>Förslag till svensk ståndpunkt</w:t>
      </w:r>
    </w:p>
    <w:p w:rsidR="00C314EE" w:rsidRPr="00A50CB5" w:rsidRDefault="00C314EE" w:rsidP="00C314EE">
      <w:pPr>
        <w:pStyle w:val="RKnormal"/>
        <w:rPr>
          <w:iCs/>
        </w:rPr>
      </w:pPr>
      <w:r w:rsidRPr="00A50CB5">
        <w:rPr>
          <w:iCs/>
        </w:rPr>
        <w:t xml:space="preserve">Regeringen anser att rådsslutsatserna har skarpare skrivningar i jämförelse med </w:t>
      </w:r>
      <w:r w:rsidR="00AA6027" w:rsidRPr="00A50CB5">
        <w:rPr>
          <w:iCs/>
        </w:rPr>
        <w:t xml:space="preserve">de </w:t>
      </w:r>
      <w:r w:rsidR="00ED4140" w:rsidRPr="00A50CB5">
        <w:rPr>
          <w:iCs/>
        </w:rPr>
        <w:t xml:space="preserve">tidigare </w:t>
      </w:r>
      <w:r w:rsidRPr="00A50CB5">
        <w:rPr>
          <w:iCs/>
        </w:rPr>
        <w:t>slutsatser</w:t>
      </w:r>
      <w:r w:rsidR="00AA6027" w:rsidRPr="00A50CB5">
        <w:rPr>
          <w:iCs/>
        </w:rPr>
        <w:t xml:space="preserve">na från 2004, vilka Sverige ställde sig bakom, </w:t>
      </w:r>
      <w:r w:rsidR="00ED4140" w:rsidRPr="00A50CB5">
        <w:rPr>
          <w:iCs/>
        </w:rPr>
        <w:t xml:space="preserve">och </w:t>
      </w:r>
      <w:r w:rsidRPr="00A50CB5">
        <w:rPr>
          <w:iCs/>
        </w:rPr>
        <w:t>därmed innebär att avtalen med tredje land skärps ytterligare. Regeringen stödjer att råd</w:t>
      </w:r>
      <w:r w:rsidR="00EA7CEA" w:rsidRPr="00A50CB5">
        <w:rPr>
          <w:iCs/>
        </w:rPr>
        <w:t>s</w:t>
      </w:r>
      <w:r w:rsidRPr="00A50CB5">
        <w:rPr>
          <w:iCs/>
        </w:rPr>
        <w:t xml:space="preserve">slutsatserna antas. </w:t>
      </w:r>
    </w:p>
    <w:p w:rsidR="00C314EE" w:rsidRPr="00A50CB5" w:rsidRDefault="00C314EE" w:rsidP="00C314EE">
      <w:pPr>
        <w:pStyle w:val="RKnormal"/>
        <w:rPr>
          <w:i/>
          <w:iCs/>
        </w:rPr>
      </w:pPr>
    </w:p>
    <w:p w:rsidR="00C314EE" w:rsidRPr="00A50CB5" w:rsidRDefault="00C314EE" w:rsidP="00C314EE">
      <w:pPr>
        <w:pStyle w:val="RKnormal"/>
        <w:rPr>
          <w:i/>
          <w:iCs/>
        </w:rPr>
      </w:pPr>
      <w:r w:rsidRPr="00A50CB5">
        <w:rPr>
          <w:i/>
          <w:iCs/>
        </w:rPr>
        <w:t>EU-nämnden och MJU</w:t>
      </w:r>
    </w:p>
    <w:p w:rsidR="00C314EE" w:rsidRPr="00A50CB5" w:rsidRDefault="00C314EE" w:rsidP="00C314EE">
      <w:pPr>
        <w:pStyle w:val="RKnormal"/>
      </w:pPr>
      <w:r w:rsidRPr="00A50CB5">
        <w:t>Frågan har inte tidigare varit föremål för samråd med EU-nämnden eller information i MJU.</w:t>
      </w:r>
    </w:p>
    <w:p w:rsidR="00191F50" w:rsidRPr="00A50CB5" w:rsidRDefault="00191F50" w:rsidP="00191F50">
      <w:pPr>
        <w:pStyle w:val="RKrubrik"/>
        <w:rPr>
          <w:u w:val="single"/>
        </w:rPr>
      </w:pPr>
      <w:r w:rsidRPr="00A50CB5">
        <w:rPr>
          <w:u w:val="single"/>
        </w:rPr>
        <w:t>Övriga frågor</w:t>
      </w:r>
    </w:p>
    <w:p w:rsidR="0099487D" w:rsidRPr="00A50CB5" w:rsidRDefault="00BB1FB0" w:rsidP="0099487D">
      <w:pPr>
        <w:pStyle w:val="RKrubrik"/>
      </w:pPr>
      <w:r w:rsidRPr="00A50CB5">
        <w:t xml:space="preserve">9. </w:t>
      </w:r>
      <w:r w:rsidR="008F24A3" w:rsidRPr="00A50CB5">
        <w:t xml:space="preserve">Meddelande </w:t>
      </w:r>
      <w:r w:rsidR="0081264A" w:rsidRPr="00A50CB5">
        <w:t>från kommissionen till Europaparlamentet och</w:t>
      </w:r>
      <w:r w:rsidR="008F24A3" w:rsidRPr="00A50CB5">
        <w:t xml:space="preserve"> rådet </w:t>
      </w:r>
      <w:r w:rsidR="0081264A" w:rsidRPr="00A50CB5">
        <w:t xml:space="preserve">om ett europeiskt innovationspartnerskap </w:t>
      </w:r>
      <w:r w:rsidR="0081264A" w:rsidRPr="00A50CB5">
        <w:rPr>
          <w:i/>
        </w:rPr>
        <w:t>Produktivitet och hållbar utveckling inom jordbruk</w:t>
      </w:r>
    </w:p>
    <w:p w:rsidR="0099487D" w:rsidRPr="00A50CB5" w:rsidRDefault="0099487D" w:rsidP="0099487D">
      <w:pPr>
        <w:pStyle w:val="RKnormal"/>
        <w:rPr>
          <w:b/>
          <w:bCs/>
          <w:i/>
          <w:iCs/>
        </w:rPr>
      </w:pPr>
      <w:r w:rsidRPr="00A50CB5">
        <w:rPr>
          <w:b/>
          <w:bCs/>
          <w:i/>
          <w:iCs/>
        </w:rPr>
        <w:t xml:space="preserve">- </w:t>
      </w:r>
      <w:r w:rsidR="0081264A" w:rsidRPr="00A50CB5">
        <w:rPr>
          <w:b/>
          <w:bCs/>
          <w:i/>
          <w:iCs/>
        </w:rPr>
        <w:t>Presentation</w:t>
      </w:r>
      <w:r w:rsidR="008F24A3" w:rsidRPr="00A50CB5">
        <w:rPr>
          <w:b/>
          <w:bCs/>
          <w:i/>
          <w:iCs/>
        </w:rPr>
        <w:t xml:space="preserve"> </w:t>
      </w:r>
      <w:r w:rsidR="0081264A" w:rsidRPr="00A50CB5">
        <w:rPr>
          <w:b/>
          <w:bCs/>
          <w:i/>
          <w:iCs/>
        </w:rPr>
        <w:t>från</w:t>
      </w:r>
      <w:r w:rsidR="008F24A3" w:rsidRPr="00A50CB5">
        <w:rPr>
          <w:b/>
          <w:bCs/>
          <w:i/>
          <w:iCs/>
        </w:rPr>
        <w:t xml:space="preserve"> </w:t>
      </w:r>
      <w:r w:rsidRPr="00A50CB5">
        <w:rPr>
          <w:b/>
          <w:bCs/>
          <w:i/>
          <w:iCs/>
        </w:rPr>
        <w:t>kommissionen</w:t>
      </w:r>
    </w:p>
    <w:p w:rsidR="0099487D" w:rsidRPr="00A50CB5" w:rsidRDefault="0099487D" w:rsidP="0099487D">
      <w:pPr>
        <w:pStyle w:val="RKnormal"/>
        <w:rPr>
          <w:i/>
          <w:iCs/>
        </w:rPr>
      </w:pPr>
    </w:p>
    <w:p w:rsidR="00A1338B" w:rsidRPr="00A50CB5" w:rsidRDefault="00A1338B" w:rsidP="00A1338B">
      <w:pPr>
        <w:pStyle w:val="RKnormal"/>
        <w:rPr>
          <w:i/>
          <w:iCs/>
        </w:rPr>
      </w:pPr>
      <w:r w:rsidRPr="00A50CB5">
        <w:rPr>
          <w:i/>
          <w:iCs/>
        </w:rPr>
        <w:t>Dokumentbeteckning</w:t>
      </w:r>
    </w:p>
    <w:p w:rsidR="00A1338B" w:rsidRPr="00A50CB5" w:rsidRDefault="00A1338B" w:rsidP="00A1338B">
      <w:pPr>
        <w:pStyle w:val="RKnormal"/>
        <w:rPr>
          <w:iCs/>
        </w:rPr>
      </w:pPr>
      <w:r w:rsidRPr="00A50CB5">
        <w:rPr>
          <w:iCs/>
        </w:rPr>
        <w:t xml:space="preserve">COM(2012)79 </w:t>
      </w:r>
      <w:r w:rsidR="00E03E98" w:rsidRPr="00A50CB5">
        <w:rPr>
          <w:iCs/>
        </w:rPr>
        <w:t>slutlig</w:t>
      </w:r>
    </w:p>
    <w:p w:rsidR="00A1338B" w:rsidRPr="00A50CB5" w:rsidRDefault="00A1338B" w:rsidP="00A1338B">
      <w:pPr>
        <w:pStyle w:val="RKnormal"/>
        <w:rPr>
          <w:i/>
          <w:iCs/>
        </w:rPr>
      </w:pPr>
    </w:p>
    <w:p w:rsidR="00BB1FB0" w:rsidRPr="00A50CB5" w:rsidRDefault="00BB1FB0" w:rsidP="00BB1FB0">
      <w:pPr>
        <w:pStyle w:val="RKnormal"/>
        <w:rPr>
          <w:i/>
          <w:iCs/>
        </w:rPr>
      </w:pPr>
      <w:r w:rsidRPr="00A50CB5">
        <w:rPr>
          <w:i/>
          <w:iCs/>
        </w:rPr>
        <w:t>Rättslig grund</w:t>
      </w:r>
    </w:p>
    <w:p w:rsidR="00BB1FB0" w:rsidRPr="00A50CB5" w:rsidRDefault="00BB1FB0" w:rsidP="00BB1FB0">
      <w:pPr>
        <w:pStyle w:val="RKnormal"/>
        <w:rPr>
          <w:i/>
          <w:iCs/>
        </w:rPr>
      </w:pPr>
      <w:r w:rsidRPr="00A50CB5">
        <w:rPr>
          <w:i/>
          <w:iCs/>
        </w:rPr>
        <w:t>-</w:t>
      </w:r>
    </w:p>
    <w:p w:rsidR="00BB1FB0" w:rsidRPr="00A50CB5" w:rsidRDefault="00BB1FB0" w:rsidP="00BB1FB0">
      <w:pPr>
        <w:pStyle w:val="RKnormal"/>
        <w:rPr>
          <w:i/>
          <w:iCs/>
        </w:rPr>
      </w:pPr>
    </w:p>
    <w:p w:rsidR="00BB1FB0" w:rsidRPr="00A50CB5" w:rsidRDefault="00BB1FB0" w:rsidP="00BB1FB0">
      <w:pPr>
        <w:pStyle w:val="RKnormal"/>
        <w:rPr>
          <w:i/>
          <w:iCs/>
        </w:rPr>
      </w:pPr>
      <w:r w:rsidRPr="00A50CB5">
        <w:rPr>
          <w:i/>
          <w:iCs/>
        </w:rPr>
        <w:t>Bakgrund</w:t>
      </w:r>
    </w:p>
    <w:p w:rsidR="00BB1FB0" w:rsidRPr="00A50CB5" w:rsidRDefault="00BB1FB0" w:rsidP="00BB1FB0">
      <w:pPr>
        <w:rPr>
          <w:lang w:eastAsia="sv-SE"/>
        </w:rPr>
      </w:pPr>
      <w:r w:rsidRPr="00A50CB5">
        <w:rPr>
          <w:lang w:eastAsia="sv-SE"/>
        </w:rPr>
        <w:t xml:space="preserve">I </w:t>
      </w:r>
      <w:r w:rsidR="00F54E66" w:rsidRPr="00A50CB5">
        <w:rPr>
          <w:lang w:eastAsia="sv-SE"/>
        </w:rPr>
        <w:t>kommissionens</w:t>
      </w:r>
      <w:r w:rsidRPr="00A50CB5">
        <w:rPr>
          <w:lang w:eastAsia="sv-SE"/>
        </w:rPr>
        <w:t xml:space="preserve"> Europa 2020-strategi</w:t>
      </w:r>
      <w:r w:rsidRPr="00A50CB5">
        <w:rPr>
          <w:sz w:val="16"/>
          <w:szCs w:val="16"/>
          <w:lang w:eastAsia="sv-SE"/>
        </w:rPr>
        <w:t xml:space="preserve"> </w:t>
      </w:r>
      <w:r w:rsidRPr="00A50CB5">
        <w:t>betona</w:t>
      </w:r>
      <w:r w:rsidR="00F54E66" w:rsidRPr="00A50CB5">
        <w:t>s</w:t>
      </w:r>
      <w:r w:rsidRPr="00A50CB5">
        <w:rPr>
          <w:lang w:eastAsia="sv-SE"/>
        </w:rPr>
        <w:t xml:space="preserve"> </w:t>
      </w:r>
      <w:r w:rsidR="00F54E66" w:rsidRPr="00A50CB5">
        <w:rPr>
          <w:lang w:eastAsia="sv-SE"/>
        </w:rPr>
        <w:t>vikten av</w:t>
      </w:r>
      <w:r w:rsidRPr="00A50CB5">
        <w:rPr>
          <w:lang w:eastAsia="sv-SE"/>
        </w:rPr>
        <w:t xml:space="preserve"> forskning och innovation för att förbereda Europeiska unionen på framtidens utmaningar.</w:t>
      </w:r>
      <w:r w:rsidRPr="00A50CB5">
        <w:rPr>
          <w:sz w:val="19"/>
          <w:lang w:eastAsia="sv-SE"/>
        </w:rPr>
        <w:t xml:space="preserve"> </w:t>
      </w:r>
      <w:r w:rsidRPr="00A50CB5">
        <w:rPr>
          <w:lang w:eastAsia="sv-SE"/>
        </w:rPr>
        <w:t xml:space="preserve">De Europeiska innovationspartnerskap (EIP) som föreslogs i flaggskeppsinitiativet </w:t>
      </w:r>
      <w:r w:rsidRPr="00A50CB5">
        <w:rPr>
          <w:i/>
          <w:lang w:eastAsia="sv-SE"/>
        </w:rPr>
        <w:t>Innovationsunionen</w:t>
      </w:r>
      <w:r w:rsidRPr="00A50CB5">
        <w:rPr>
          <w:lang w:eastAsia="sv-SE"/>
        </w:rPr>
        <w:t xml:space="preserve"> är varken offentlig-offentliga eller offentlig-privata partnerskap, utan forum som för samman a</w:t>
      </w:r>
      <w:r w:rsidR="009A7F78" w:rsidRPr="00A50CB5">
        <w:rPr>
          <w:lang w:eastAsia="sv-SE"/>
        </w:rPr>
        <w:t>ktörer från olika policyområden</w:t>
      </w:r>
      <w:r w:rsidRPr="00A50CB5">
        <w:rPr>
          <w:lang w:eastAsia="sv-SE"/>
        </w:rPr>
        <w:t xml:space="preserve"> </w:t>
      </w:r>
      <w:r w:rsidR="009A7F78" w:rsidRPr="00A50CB5">
        <w:rPr>
          <w:lang w:eastAsia="sv-SE"/>
        </w:rPr>
        <w:t>(</w:t>
      </w:r>
      <w:r w:rsidR="009A7F78" w:rsidRPr="00A50CB5">
        <w:t xml:space="preserve">se faktapromemoria </w:t>
      </w:r>
      <w:r w:rsidR="009A7F78" w:rsidRPr="00A50CB5">
        <w:fldChar w:fldCharType="begin" w:fldLock="1"/>
      </w:r>
      <w:r w:rsidR="009A7F78" w:rsidRPr="00A50CB5">
        <w:instrText>DOCPROPERTY Ar</w:instrText>
      </w:r>
      <w:r w:rsidR="009A7F78" w:rsidRPr="00A50CB5">
        <w:fldChar w:fldCharType="separate"/>
      </w:r>
      <w:r w:rsidR="009A7F78" w:rsidRPr="00A50CB5">
        <w:t>2011/12</w:t>
      </w:r>
      <w:r w:rsidR="009A7F78" w:rsidRPr="00A50CB5">
        <w:fldChar w:fldCharType="end"/>
      </w:r>
      <w:r w:rsidR="009A7F78" w:rsidRPr="00A50CB5">
        <w:t>:</w:t>
      </w:r>
      <w:r w:rsidR="009A7F78" w:rsidRPr="00A50CB5">
        <w:fldChar w:fldCharType="begin" w:fldLock="1"/>
      </w:r>
      <w:r w:rsidR="009A7F78" w:rsidRPr="00A50CB5">
        <w:instrText>DOCPROPERTY Typ</w:instrText>
      </w:r>
      <w:r w:rsidR="009A7F78" w:rsidRPr="00A50CB5">
        <w:fldChar w:fldCharType="separate"/>
      </w:r>
      <w:r w:rsidR="009A7F78" w:rsidRPr="00A50CB5">
        <w:t>FPM</w:t>
      </w:r>
      <w:r w:rsidR="009A7F78" w:rsidRPr="00A50CB5">
        <w:fldChar w:fldCharType="end"/>
      </w:r>
      <w:r w:rsidR="009A7F78" w:rsidRPr="00A50CB5">
        <w:t xml:space="preserve">17). </w:t>
      </w:r>
      <w:r w:rsidRPr="00A50CB5">
        <w:rPr>
          <w:lang w:eastAsia="sv-SE"/>
        </w:rPr>
        <w:t>Syftet är att partnerskapen ska vara verksamma inom hela forsknings- och innovationskedjan. De europeiska innovationspartnerskapen ska fungera som brobyggare mellan vetenskap och tillämpning av innovativa metoder i praktiken. Ett pilotpartnerskap för aktivt åldrande med bibehållen god hälsa har inletts. Dessutom pågår förberedelser för att utveckla europeiska innovationspartnerskap på områden som råvaruförsörjning, vatteneffektivitet och jordbruk.</w:t>
      </w:r>
      <w:r w:rsidR="00971A96" w:rsidRPr="00A50CB5">
        <w:rPr>
          <w:lang w:eastAsia="sv-SE"/>
        </w:rPr>
        <w:t xml:space="preserve"> </w:t>
      </w:r>
      <w:r w:rsidRPr="00A50CB5">
        <w:rPr>
          <w:lang w:eastAsia="sv-SE"/>
        </w:rPr>
        <w:t xml:space="preserve">Innovationspartnerskapen innebär inte att några nya medel tillförs utan har som syfte att samordna andra instrument för att nå synergieffekter. </w:t>
      </w:r>
      <w:r w:rsidRPr="00A50CB5">
        <w:t>Budgetära konsekvenser uppstår först när Sverige väljer att delta i ett visst program.</w:t>
      </w:r>
    </w:p>
    <w:p w:rsidR="00BB1FB0" w:rsidRPr="00A50CB5" w:rsidRDefault="00BB1FB0" w:rsidP="00BB1FB0"/>
    <w:p w:rsidR="00BB1FB0" w:rsidRPr="00A50CB5" w:rsidRDefault="00BB1FB0" w:rsidP="00BB1FB0">
      <w:pPr>
        <w:rPr>
          <w:lang w:eastAsia="sv-SE"/>
        </w:rPr>
      </w:pPr>
      <w:r w:rsidRPr="00A50CB5">
        <w:t>Kommissionen har nu presenterat ett förslag på ett</w:t>
      </w:r>
      <w:r w:rsidRPr="00A50CB5">
        <w:rPr>
          <w:lang w:eastAsia="sv-SE"/>
        </w:rPr>
        <w:t xml:space="preserve"> europeiskt innovationspartnerskap för produktivitet och hållbarhet i jordbruket som nämndes i meddelandet om innovationsuni</w:t>
      </w:r>
      <w:r w:rsidR="009A7F78" w:rsidRPr="00A50CB5">
        <w:rPr>
          <w:lang w:eastAsia="sv-SE"/>
        </w:rPr>
        <w:t>onen. P</w:t>
      </w:r>
      <w:r w:rsidRPr="00A50CB5">
        <w:rPr>
          <w:lang w:eastAsia="sv-SE"/>
        </w:rPr>
        <w:t xml:space="preserve">artnerskapet omfattar flera faser: Från grundläggande forskning och spridning av forskningsresultat till utveckling av produkter och tekniker och deras integrering i produktionsprocessen. </w:t>
      </w:r>
    </w:p>
    <w:p w:rsidR="00BB1FB0" w:rsidRPr="00A50CB5" w:rsidRDefault="00BB1FB0" w:rsidP="00BB1FB0">
      <w:pPr>
        <w:rPr>
          <w:lang w:eastAsia="sv-SE"/>
        </w:rPr>
      </w:pPr>
    </w:p>
    <w:p w:rsidR="00BB1FB0" w:rsidRPr="00A50CB5" w:rsidRDefault="00BB1FB0" w:rsidP="00BB1FB0">
      <w:pPr>
        <w:rPr>
          <w:lang w:eastAsia="sv-SE"/>
        </w:rPr>
      </w:pPr>
      <w:r w:rsidRPr="00A50CB5">
        <w:rPr>
          <w:lang w:eastAsia="sv-SE"/>
        </w:rPr>
        <w:t>För att omvandla innovationer till praktiskt tillämpade jordbruks</w:t>
      </w:r>
      <w:r w:rsidR="008C04F0" w:rsidRPr="00A50CB5">
        <w:rPr>
          <w:lang w:eastAsia="sv-SE"/>
        </w:rPr>
        <w:softHyphen/>
      </w:r>
      <w:r w:rsidRPr="00A50CB5">
        <w:rPr>
          <w:lang w:eastAsia="sv-SE"/>
        </w:rPr>
        <w:t>metoder kommer det europeiska innovationspartnerskapet att utnyttja en rad befintl</w:t>
      </w:r>
      <w:r w:rsidR="009A7F78" w:rsidRPr="00A50CB5">
        <w:rPr>
          <w:lang w:eastAsia="sv-SE"/>
        </w:rPr>
        <w:t xml:space="preserve">iga politikområden, särskilt </w:t>
      </w:r>
      <w:r w:rsidRPr="00A50CB5">
        <w:rPr>
          <w:lang w:eastAsia="sv-SE"/>
        </w:rPr>
        <w:t>landsbygds</w:t>
      </w:r>
      <w:r w:rsidR="002B6C82" w:rsidRPr="00A50CB5">
        <w:rPr>
          <w:lang w:eastAsia="sv-SE"/>
        </w:rPr>
        <w:softHyphen/>
      </w:r>
      <w:r w:rsidRPr="00A50CB5">
        <w:rPr>
          <w:lang w:eastAsia="sv-SE"/>
        </w:rPr>
        <w:t>utvecklings</w:t>
      </w:r>
      <w:r w:rsidR="002B6C82" w:rsidRPr="00A50CB5">
        <w:rPr>
          <w:lang w:eastAsia="sv-SE"/>
        </w:rPr>
        <w:softHyphen/>
      </w:r>
      <w:r w:rsidRPr="00A50CB5">
        <w:rPr>
          <w:lang w:eastAsia="sv-SE"/>
        </w:rPr>
        <w:t>politik</w:t>
      </w:r>
      <w:r w:rsidR="009A7F78" w:rsidRPr="00A50CB5">
        <w:rPr>
          <w:lang w:eastAsia="sv-SE"/>
        </w:rPr>
        <w:t>en</w:t>
      </w:r>
      <w:r w:rsidRPr="00A50CB5">
        <w:rPr>
          <w:lang w:eastAsia="sv-SE"/>
        </w:rPr>
        <w:t xml:space="preserve"> och unionens forsknings- och innovationspolitik, för att finansiera konkreta innovativa åtgärder. Det kommer att utarbetas en strategisk genomförandeplan som tar hänsyn till Europaparlamentets och rådets synpunkter på meddelande</w:t>
      </w:r>
      <w:r w:rsidR="002B6C82" w:rsidRPr="00A50CB5">
        <w:rPr>
          <w:lang w:eastAsia="sv-SE"/>
        </w:rPr>
        <w:t>t</w:t>
      </w:r>
      <w:r w:rsidRPr="00A50CB5">
        <w:rPr>
          <w:lang w:eastAsia="sv-SE"/>
        </w:rPr>
        <w:t>. I förberedelsearbetet kommer tekniskt bistånd från landsbygdsutvecklingspolitiken att användas för att skapa nätverksfaciliteter.</w:t>
      </w:r>
    </w:p>
    <w:p w:rsidR="00BB1FB0" w:rsidRPr="00A50CB5" w:rsidRDefault="00BB1FB0" w:rsidP="00BB1FB0">
      <w:pPr>
        <w:pStyle w:val="RKnormal"/>
        <w:rPr>
          <w:i/>
          <w:iCs/>
        </w:rPr>
      </w:pPr>
    </w:p>
    <w:p w:rsidR="00BB1FB0" w:rsidRPr="00A50CB5" w:rsidRDefault="00BB1FB0" w:rsidP="00BB1FB0">
      <w:pPr>
        <w:pStyle w:val="RKnormal"/>
        <w:rPr>
          <w:i/>
          <w:iCs/>
        </w:rPr>
      </w:pPr>
      <w:r w:rsidRPr="00A50CB5">
        <w:rPr>
          <w:i/>
          <w:iCs/>
        </w:rPr>
        <w:t>Förslag till svensk ståndpunkt</w:t>
      </w:r>
    </w:p>
    <w:p w:rsidR="00BB1FB0" w:rsidRPr="00A50CB5" w:rsidRDefault="00BB1FB0" w:rsidP="00BB1FB0">
      <w:r w:rsidRPr="00A50CB5">
        <w:t xml:space="preserve">Regeringen välkomnar att kommissionen tar ett samlat grepp på alla de olika instrument som finns för offentliga-offentliga och offentliga-privata partnerskap på EU-nivå. Det är även fortsatt viktigt att utvärdera de pågående partnerskapen så att kommande initiativ kan utformas på </w:t>
      </w:r>
      <w:r w:rsidR="009D5BBA" w:rsidRPr="00A50CB5">
        <w:t xml:space="preserve">ett kostnadseffektivt och </w:t>
      </w:r>
      <w:r w:rsidRPr="00A50CB5">
        <w:t>optimalt sätt.</w:t>
      </w:r>
    </w:p>
    <w:p w:rsidR="00BB1FB0" w:rsidRPr="00A50CB5" w:rsidRDefault="00BB1FB0" w:rsidP="00BB1FB0">
      <w:pPr>
        <w:pStyle w:val="RKnormal"/>
        <w:rPr>
          <w:i/>
          <w:iCs/>
        </w:rPr>
      </w:pPr>
    </w:p>
    <w:p w:rsidR="00BB1FB0" w:rsidRPr="00A50CB5" w:rsidRDefault="00BB1FB0" w:rsidP="00BB1FB0">
      <w:pPr>
        <w:pStyle w:val="RKnormal"/>
        <w:rPr>
          <w:i/>
          <w:iCs/>
        </w:rPr>
      </w:pPr>
      <w:r w:rsidRPr="00A50CB5">
        <w:rPr>
          <w:i/>
          <w:iCs/>
        </w:rPr>
        <w:t>EU-nämnden och MJU</w:t>
      </w:r>
    </w:p>
    <w:p w:rsidR="00BB68D2" w:rsidRPr="00A50CB5" w:rsidRDefault="00BB1FB0" w:rsidP="00A1338B">
      <w:r w:rsidRPr="00A50CB5">
        <w:t xml:space="preserve">Frågan om de </w:t>
      </w:r>
      <w:r w:rsidRPr="00A50CB5">
        <w:rPr>
          <w:lang w:eastAsia="sv-SE"/>
        </w:rPr>
        <w:t xml:space="preserve">Europeiska Innovationspartnerskapen </w:t>
      </w:r>
      <w:r w:rsidRPr="00A50CB5">
        <w:t>generellt var föremål för samråd med EU-nämnden för den 2 december 2011</w:t>
      </w:r>
      <w:r w:rsidR="00FD01E4" w:rsidRPr="00A50CB5">
        <w:t xml:space="preserve"> inför konkurrenskrafts</w:t>
      </w:r>
      <w:r w:rsidRPr="00A50CB5">
        <w:t>rådet</w:t>
      </w:r>
      <w:r w:rsidR="00FD01E4" w:rsidRPr="00A50CB5">
        <w:t xml:space="preserve"> den</w:t>
      </w:r>
      <w:r w:rsidRPr="00A50CB5">
        <w:t xml:space="preserve"> 6 december 2011.</w:t>
      </w:r>
    </w:p>
    <w:sectPr w:rsidR="00BB68D2" w:rsidRPr="00A50CB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546" w:rsidRPr="00A50CB5" w:rsidRDefault="008A3546">
      <w:r w:rsidRPr="00A50CB5">
        <w:separator/>
      </w:r>
    </w:p>
  </w:endnote>
  <w:endnote w:type="continuationSeparator" w:id="0">
    <w:p w:rsidR="008A3546" w:rsidRPr="00A50CB5" w:rsidRDefault="008A3546">
      <w:r w:rsidRPr="00A50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546" w:rsidRPr="00A50CB5" w:rsidRDefault="008A3546">
      <w:r w:rsidRPr="00A50CB5">
        <w:separator/>
      </w:r>
    </w:p>
  </w:footnote>
  <w:footnote w:type="continuationSeparator" w:id="0">
    <w:p w:rsidR="008A3546" w:rsidRPr="00A50CB5" w:rsidRDefault="008A3546">
      <w:r w:rsidRPr="00A50CB5">
        <w:continuationSeparator/>
      </w:r>
    </w:p>
  </w:footnote>
  <w:footnote w:id="1">
    <w:p w:rsidR="00A9127A" w:rsidRPr="00A50CB5" w:rsidRDefault="00A9127A" w:rsidP="00923059">
      <w:pPr>
        <w:pStyle w:val="Fotnotstext"/>
      </w:pPr>
      <w:r w:rsidRPr="00A50CB5">
        <w:rPr>
          <w:rStyle w:val="Fotnotsreferens"/>
        </w:rPr>
        <w:footnoteRef/>
      </w:r>
      <w:r w:rsidRPr="00A50CB5">
        <w:t xml:space="preserve"> EU:s sammanhållningspolitik har som mål att bidra till ekonomisk, social och territoriell sammanhållning inom EU. Den syftar till att minska regionala skillnader och ojämlikhet mellan människor. Dess främsta instrument är strukturfonderna och sammanhållningsfonden, som omfattar drygt en tredjedel av EU:s budget eller cirka 350 miljarder euro och utgör ett verktyg för hela EU och Sveriges arbete med att skapa hållbar regional tillväxt.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A" w:rsidRPr="00A50CB5" w:rsidRDefault="00A9127A">
    <w:pPr>
      <w:pStyle w:val="Sidhuvud"/>
      <w:framePr w:wrap="around" w:vAnchor="text" w:hAnchor="margin" w:xAlign="right" w:y="1"/>
      <w:rPr>
        <w:rStyle w:val="Sidnummer"/>
      </w:rPr>
    </w:pPr>
    <w:r w:rsidRPr="00A50CB5">
      <w:rPr>
        <w:rStyle w:val="Sidnummer"/>
      </w:rPr>
      <w:fldChar w:fldCharType="begin" w:fldLock="1"/>
    </w:r>
    <w:r w:rsidRPr="00A50CB5">
      <w:rPr>
        <w:rStyle w:val="Sidnummer"/>
      </w:rPr>
      <w:instrText xml:space="preserve">PAGE  </w:instrText>
    </w:r>
    <w:r w:rsidRPr="00A50CB5">
      <w:rPr>
        <w:rStyle w:val="Sidnummer"/>
      </w:rPr>
      <w:fldChar w:fldCharType="separate"/>
    </w:r>
    <w:r w:rsidR="00E14329" w:rsidRPr="00A50CB5">
      <w:rPr>
        <w:rStyle w:val="Sidnummer"/>
      </w:rPr>
      <w:t>10</w:t>
    </w:r>
    <w:r w:rsidRPr="00A50CB5">
      <w:rPr>
        <w:rStyle w:val="Sidnummer"/>
      </w:rPr>
      <w:fldChar w:fldCharType="end"/>
    </w:r>
  </w:p>
  <w:p w:rsidR="00A9127A" w:rsidRPr="00A50CB5" w:rsidRDefault="00A9127A">
    <w:pPr>
      <w:pStyle w:val="Sidhuvud"/>
      <w:ind w:right="360"/>
    </w:pPr>
  </w:p>
  <w:p w:rsidR="00A9127A" w:rsidRPr="00A50CB5" w:rsidRDefault="00A9127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A" w:rsidRPr="00A50CB5" w:rsidRDefault="00A9127A">
    <w:pPr>
      <w:pStyle w:val="Sidhuvud"/>
      <w:framePr w:wrap="around" w:vAnchor="text" w:hAnchor="margin" w:xAlign="right" w:y="1"/>
      <w:rPr>
        <w:rStyle w:val="Sidnummer"/>
      </w:rPr>
    </w:pPr>
    <w:r w:rsidRPr="00A50CB5">
      <w:rPr>
        <w:rStyle w:val="Sidnummer"/>
      </w:rPr>
      <w:fldChar w:fldCharType="begin" w:fldLock="1"/>
    </w:r>
    <w:r w:rsidRPr="00A50CB5">
      <w:rPr>
        <w:rStyle w:val="Sidnummer"/>
      </w:rPr>
      <w:instrText xml:space="preserve">PAGE  </w:instrText>
    </w:r>
    <w:r w:rsidRPr="00A50CB5">
      <w:rPr>
        <w:rStyle w:val="Sidnummer"/>
      </w:rPr>
      <w:fldChar w:fldCharType="separate"/>
    </w:r>
    <w:r w:rsidR="00E14329" w:rsidRPr="00A50CB5">
      <w:rPr>
        <w:rStyle w:val="Sidnummer"/>
      </w:rPr>
      <w:t>9</w:t>
    </w:r>
    <w:r w:rsidRPr="00A50CB5">
      <w:rPr>
        <w:rStyle w:val="Sidnummer"/>
      </w:rPr>
      <w:fldChar w:fldCharType="end"/>
    </w:r>
  </w:p>
  <w:p w:rsidR="00A9127A" w:rsidRPr="00A50CB5" w:rsidRDefault="00A9127A">
    <w:pPr>
      <w:pStyle w:val="Sidhuvud"/>
      <w:ind w:right="360"/>
    </w:pPr>
  </w:p>
  <w:p w:rsidR="00A9127A" w:rsidRPr="00A50CB5" w:rsidRDefault="00A9127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A" w:rsidRPr="00A50CB5" w:rsidRDefault="00A50CB5">
    <w:pPr>
      <w:framePr w:w="2948" w:h="1321" w:hRule="exact" w:wrap="notBeside" w:vAnchor="page" w:hAnchor="page" w:x="1362" w:y="653"/>
    </w:pPr>
    <w:r w:rsidRPr="00A50CB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9127A" w:rsidRPr="00A50CB5" w:rsidRDefault="00A9127A">
    <w:pPr>
      <w:pStyle w:val="RKrubrik"/>
      <w:keepNext w:val="0"/>
      <w:tabs>
        <w:tab w:val="clear" w:pos="1134"/>
        <w:tab w:val="clear" w:pos="2835"/>
      </w:tabs>
      <w:spacing w:before="0" w:after="0" w:line="320" w:lineRule="atLeast"/>
      <w:rPr>
        <w:bCs/>
      </w:rPr>
    </w:pPr>
  </w:p>
  <w:p w:rsidR="00A9127A" w:rsidRPr="00A50CB5" w:rsidRDefault="00A9127A">
    <w:pPr>
      <w:rPr>
        <w:rFonts w:ascii="TradeGothic" w:hAnsi="TradeGothic"/>
        <w:b/>
        <w:bCs/>
        <w:spacing w:val="12"/>
        <w:sz w:val="22"/>
      </w:rPr>
    </w:pPr>
  </w:p>
  <w:p w:rsidR="00A9127A" w:rsidRPr="00A50CB5" w:rsidRDefault="00A9127A">
    <w:pPr>
      <w:pStyle w:val="RKrubrik"/>
      <w:keepNext w:val="0"/>
      <w:tabs>
        <w:tab w:val="clear" w:pos="1134"/>
        <w:tab w:val="clear" w:pos="2835"/>
      </w:tabs>
      <w:spacing w:before="0" w:after="0" w:line="320" w:lineRule="atLeast"/>
      <w:rPr>
        <w:bCs/>
      </w:rPr>
    </w:pPr>
  </w:p>
  <w:p w:rsidR="00A9127A" w:rsidRPr="00A50CB5" w:rsidRDefault="00A9127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208"/>
    <w:multiLevelType w:val="hybridMultilevel"/>
    <w:tmpl w:val="602E1B8E"/>
    <w:lvl w:ilvl="0" w:tplc="80CC72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104322B"/>
    <w:multiLevelType w:val="hybridMultilevel"/>
    <w:tmpl w:val="947262C8"/>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12F9B"/>
    <w:multiLevelType w:val="hybridMultilevel"/>
    <w:tmpl w:val="F39405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BC5C28"/>
    <w:multiLevelType w:val="hybridMultilevel"/>
    <w:tmpl w:val="55224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A83530"/>
    <w:multiLevelType w:val="hybridMultilevel"/>
    <w:tmpl w:val="9C109272"/>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D972DE"/>
    <w:multiLevelType w:val="hybridMultilevel"/>
    <w:tmpl w:val="B5F05CD8"/>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2F3912"/>
    <w:multiLevelType w:val="hybridMultilevel"/>
    <w:tmpl w:val="4D6A62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757711C"/>
    <w:multiLevelType w:val="hybridMultilevel"/>
    <w:tmpl w:val="F22C2F68"/>
    <w:lvl w:ilvl="0" w:tplc="EF60F49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A606F"/>
    <w:multiLevelType w:val="hybridMultilevel"/>
    <w:tmpl w:val="7BE461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85327"/>
    <w:multiLevelType w:val="hybridMultilevel"/>
    <w:tmpl w:val="E5660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FB6C5B"/>
    <w:multiLevelType w:val="hybridMultilevel"/>
    <w:tmpl w:val="09FEA7F2"/>
    <w:lvl w:ilvl="0" w:tplc="740A302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A917AD"/>
    <w:multiLevelType w:val="hybridMultilevel"/>
    <w:tmpl w:val="123A96A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3"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89660D"/>
    <w:multiLevelType w:val="hybridMultilevel"/>
    <w:tmpl w:val="A2007B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03BD0"/>
    <w:multiLevelType w:val="hybridMultilevel"/>
    <w:tmpl w:val="1FE02DB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3FF23BA"/>
    <w:multiLevelType w:val="hybridMultilevel"/>
    <w:tmpl w:val="0D026AF4"/>
    <w:lvl w:ilvl="0" w:tplc="2126117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5BD53741"/>
    <w:multiLevelType w:val="hybridMultilevel"/>
    <w:tmpl w:val="691CBB1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DB52002"/>
    <w:multiLevelType w:val="hybridMultilevel"/>
    <w:tmpl w:val="785621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B2C65"/>
    <w:multiLevelType w:val="hybridMultilevel"/>
    <w:tmpl w:val="9EB28A38"/>
    <w:lvl w:ilvl="0" w:tplc="A0B81FD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02397B"/>
    <w:multiLevelType w:val="hybridMultilevel"/>
    <w:tmpl w:val="5E02F09E"/>
    <w:lvl w:ilvl="0" w:tplc="7F8EC788">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6432D5"/>
    <w:multiLevelType w:val="hybridMultilevel"/>
    <w:tmpl w:val="143C85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09147B5"/>
    <w:multiLevelType w:val="hybridMultilevel"/>
    <w:tmpl w:val="22AECF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84A734F"/>
    <w:multiLevelType w:val="hybridMultilevel"/>
    <w:tmpl w:val="6DCEED1C"/>
    <w:lvl w:ilvl="0" w:tplc="3BC66E36">
      <w:start w:val="2"/>
      <w:numFmt w:val="bullet"/>
      <w:pStyle w:val="Par-number1"/>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867AF7"/>
    <w:multiLevelType w:val="hybridMultilevel"/>
    <w:tmpl w:val="272C43AC"/>
    <w:lvl w:ilvl="0" w:tplc="E68AC51A">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1758554">
    <w:abstractNumId w:val="18"/>
  </w:num>
  <w:num w:numId="2" w16cid:durableId="1272779163">
    <w:abstractNumId w:val="13"/>
  </w:num>
  <w:num w:numId="3" w16cid:durableId="514654485">
    <w:abstractNumId w:val="14"/>
  </w:num>
  <w:num w:numId="4" w16cid:durableId="986788192">
    <w:abstractNumId w:val="8"/>
  </w:num>
  <w:num w:numId="5" w16cid:durableId="1672945695">
    <w:abstractNumId w:val="1"/>
  </w:num>
  <w:num w:numId="6" w16cid:durableId="150752829">
    <w:abstractNumId w:val="7"/>
  </w:num>
  <w:num w:numId="7" w16cid:durableId="1051417613">
    <w:abstractNumId w:val="24"/>
  </w:num>
  <w:num w:numId="8" w16cid:durableId="564921513">
    <w:abstractNumId w:val="4"/>
  </w:num>
  <w:num w:numId="9" w16cid:durableId="119616700">
    <w:abstractNumId w:val="10"/>
  </w:num>
  <w:num w:numId="10" w16cid:durableId="1129318147">
    <w:abstractNumId w:val="19"/>
  </w:num>
  <w:num w:numId="11" w16cid:durableId="699361477">
    <w:abstractNumId w:val="12"/>
  </w:num>
  <w:num w:numId="12" w16cid:durableId="590087306">
    <w:abstractNumId w:val="21"/>
  </w:num>
  <w:num w:numId="13" w16cid:durableId="1107311640">
    <w:abstractNumId w:val="25"/>
  </w:num>
  <w:num w:numId="14" w16cid:durableId="529613636">
    <w:abstractNumId w:val="0"/>
  </w:num>
  <w:num w:numId="15" w16cid:durableId="1208640293">
    <w:abstractNumId w:val="2"/>
  </w:num>
  <w:num w:numId="16" w16cid:durableId="1236166447">
    <w:abstractNumId w:val="9"/>
  </w:num>
  <w:num w:numId="17" w16cid:durableId="1054891409">
    <w:abstractNumId w:val="20"/>
  </w:num>
  <w:num w:numId="18" w16cid:durableId="1120226907">
    <w:abstractNumId w:val="3"/>
  </w:num>
  <w:num w:numId="19" w16cid:durableId="1239099085">
    <w:abstractNumId w:val="11"/>
  </w:num>
  <w:num w:numId="20" w16cid:durableId="1125583304">
    <w:abstractNumId w:val="23"/>
  </w:num>
  <w:num w:numId="21" w16cid:durableId="2021424194">
    <w:abstractNumId w:val="16"/>
  </w:num>
  <w:num w:numId="22" w16cid:durableId="1098257637">
    <w:abstractNumId w:val="22"/>
  </w:num>
  <w:num w:numId="23" w16cid:durableId="1163201878">
    <w:abstractNumId w:val="5"/>
  </w:num>
  <w:num w:numId="24" w16cid:durableId="1057124537">
    <w:abstractNumId w:val="15"/>
  </w:num>
  <w:num w:numId="25" w16cid:durableId="1158885434">
    <w:abstractNumId w:val="17"/>
  </w:num>
  <w:num w:numId="26" w16cid:durableId="1395161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F05E90"/>
    <w:rsid w:val="0005717C"/>
    <w:rsid w:val="0006025B"/>
    <w:rsid w:val="0006356E"/>
    <w:rsid w:val="00066014"/>
    <w:rsid w:val="00067ADE"/>
    <w:rsid w:val="0009204B"/>
    <w:rsid w:val="00094C97"/>
    <w:rsid w:val="00097E86"/>
    <w:rsid w:val="000A1CC0"/>
    <w:rsid w:val="000A66C0"/>
    <w:rsid w:val="000D60DC"/>
    <w:rsid w:val="000E20D3"/>
    <w:rsid w:val="000F0D3E"/>
    <w:rsid w:val="00103932"/>
    <w:rsid w:val="001229C7"/>
    <w:rsid w:val="001237DC"/>
    <w:rsid w:val="00123818"/>
    <w:rsid w:val="00127D2B"/>
    <w:rsid w:val="00154238"/>
    <w:rsid w:val="00181F3B"/>
    <w:rsid w:val="00185098"/>
    <w:rsid w:val="0019061E"/>
    <w:rsid w:val="00191F50"/>
    <w:rsid w:val="00193B61"/>
    <w:rsid w:val="001A6FFE"/>
    <w:rsid w:val="001B651A"/>
    <w:rsid w:val="001C101C"/>
    <w:rsid w:val="001C6991"/>
    <w:rsid w:val="001D5DC3"/>
    <w:rsid w:val="00202200"/>
    <w:rsid w:val="00222DC5"/>
    <w:rsid w:val="002245D8"/>
    <w:rsid w:val="00233307"/>
    <w:rsid w:val="002337DC"/>
    <w:rsid w:val="00237595"/>
    <w:rsid w:val="002543EA"/>
    <w:rsid w:val="0027267B"/>
    <w:rsid w:val="002A261F"/>
    <w:rsid w:val="002A2D16"/>
    <w:rsid w:val="002B2617"/>
    <w:rsid w:val="002B5A68"/>
    <w:rsid w:val="002B6C82"/>
    <w:rsid w:val="002D119A"/>
    <w:rsid w:val="002E64B4"/>
    <w:rsid w:val="002F18AA"/>
    <w:rsid w:val="00300322"/>
    <w:rsid w:val="00306B14"/>
    <w:rsid w:val="003158A9"/>
    <w:rsid w:val="00331D3F"/>
    <w:rsid w:val="0033738C"/>
    <w:rsid w:val="00343151"/>
    <w:rsid w:val="003440E2"/>
    <w:rsid w:val="003801E9"/>
    <w:rsid w:val="003B03AC"/>
    <w:rsid w:val="003E538F"/>
    <w:rsid w:val="003E7DCE"/>
    <w:rsid w:val="00426880"/>
    <w:rsid w:val="0043071D"/>
    <w:rsid w:val="00441F43"/>
    <w:rsid w:val="004427B9"/>
    <w:rsid w:val="00463CB4"/>
    <w:rsid w:val="00471FC7"/>
    <w:rsid w:val="00483659"/>
    <w:rsid w:val="0049632F"/>
    <w:rsid w:val="004B726F"/>
    <w:rsid w:val="004B7799"/>
    <w:rsid w:val="004C2125"/>
    <w:rsid w:val="004E619C"/>
    <w:rsid w:val="005265F5"/>
    <w:rsid w:val="00533B72"/>
    <w:rsid w:val="00556B9C"/>
    <w:rsid w:val="00592854"/>
    <w:rsid w:val="00597E6B"/>
    <w:rsid w:val="005B07C3"/>
    <w:rsid w:val="005C22F3"/>
    <w:rsid w:val="005D1B53"/>
    <w:rsid w:val="005E61DD"/>
    <w:rsid w:val="006010D3"/>
    <w:rsid w:val="0061768E"/>
    <w:rsid w:val="00632B2A"/>
    <w:rsid w:val="00647807"/>
    <w:rsid w:val="006516B2"/>
    <w:rsid w:val="006527F9"/>
    <w:rsid w:val="00654B9A"/>
    <w:rsid w:val="006944AB"/>
    <w:rsid w:val="00696264"/>
    <w:rsid w:val="006B36B4"/>
    <w:rsid w:val="006E624E"/>
    <w:rsid w:val="007066D7"/>
    <w:rsid w:val="00713A62"/>
    <w:rsid w:val="00730B8A"/>
    <w:rsid w:val="00744BC9"/>
    <w:rsid w:val="00746D61"/>
    <w:rsid w:val="0075224E"/>
    <w:rsid w:val="007535D6"/>
    <w:rsid w:val="00760BB0"/>
    <w:rsid w:val="00764C9C"/>
    <w:rsid w:val="00797B8B"/>
    <w:rsid w:val="007B24BE"/>
    <w:rsid w:val="007C1410"/>
    <w:rsid w:val="007D7E4D"/>
    <w:rsid w:val="0081264A"/>
    <w:rsid w:val="00847F1A"/>
    <w:rsid w:val="00860967"/>
    <w:rsid w:val="00873397"/>
    <w:rsid w:val="00877857"/>
    <w:rsid w:val="00886D98"/>
    <w:rsid w:val="00890AC0"/>
    <w:rsid w:val="008A3546"/>
    <w:rsid w:val="008C04F0"/>
    <w:rsid w:val="008C0C78"/>
    <w:rsid w:val="008C7B7D"/>
    <w:rsid w:val="008E6F0E"/>
    <w:rsid w:val="008E7513"/>
    <w:rsid w:val="008F24A3"/>
    <w:rsid w:val="008F70BB"/>
    <w:rsid w:val="00901A08"/>
    <w:rsid w:val="00911167"/>
    <w:rsid w:val="00923059"/>
    <w:rsid w:val="009465C2"/>
    <w:rsid w:val="00951ED0"/>
    <w:rsid w:val="00963BFD"/>
    <w:rsid w:val="00971A96"/>
    <w:rsid w:val="0099487D"/>
    <w:rsid w:val="00994D7A"/>
    <w:rsid w:val="009A7F78"/>
    <w:rsid w:val="009C0185"/>
    <w:rsid w:val="009D5BBA"/>
    <w:rsid w:val="00A03B21"/>
    <w:rsid w:val="00A1338B"/>
    <w:rsid w:val="00A50CB5"/>
    <w:rsid w:val="00A56356"/>
    <w:rsid w:val="00A606FE"/>
    <w:rsid w:val="00A7340D"/>
    <w:rsid w:val="00A9127A"/>
    <w:rsid w:val="00A97E3A"/>
    <w:rsid w:val="00AA6027"/>
    <w:rsid w:val="00AB0C3E"/>
    <w:rsid w:val="00AB0CD3"/>
    <w:rsid w:val="00AB145D"/>
    <w:rsid w:val="00AE6EE7"/>
    <w:rsid w:val="00B0664D"/>
    <w:rsid w:val="00B06AB3"/>
    <w:rsid w:val="00B12773"/>
    <w:rsid w:val="00B24AA4"/>
    <w:rsid w:val="00B4767B"/>
    <w:rsid w:val="00B51D60"/>
    <w:rsid w:val="00B559E3"/>
    <w:rsid w:val="00B61E2A"/>
    <w:rsid w:val="00B708AC"/>
    <w:rsid w:val="00B77D0D"/>
    <w:rsid w:val="00B8509D"/>
    <w:rsid w:val="00B93020"/>
    <w:rsid w:val="00BB1FB0"/>
    <w:rsid w:val="00BB29F9"/>
    <w:rsid w:val="00BB68D2"/>
    <w:rsid w:val="00BB6A51"/>
    <w:rsid w:val="00BE4A3B"/>
    <w:rsid w:val="00C06B3E"/>
    <w:rsid w:val="00C314EE"/>
    <w:rsid w:val="00C65759"/>
    <w:rsid w:val="00CB231F"/>
    <w:rsid w:val="00CB3C50"/>
    <w:rsid w:val="00CC728B"/>
    <w:rsid w:val="00CF3BA9"/>
    <w:rsid w:val="00D35D58"/>
    <w:rsid w:val="00D4174F"/>
    <w:rsid w:val="00D7735F"/>
    <w:rsid w:val="00D8281A"/>
    <w:rsid w:val="00DA17C7"/>
    <w:rsid w:val="00DA6343"/>
    <w:rsid w:val="00DD208C"/>
    <w:rsid w:val="00DF0B01"/>
    <w:rsid w:val="00E03E98"/>
    <w:rsid w:val="00E14329"/>
    <w:rsid w:val="00E14C89"/>
    <w:rsid w:val="00E21E96"/>
    <w:rsid w:val="00E2472E"/>
    <w:rsid w:val="00E66CFD"/>
    <w:rsid w:val="00E768EC"/>
    <w:rsid w:val="00EA7CEA"/>
    <w:rsid w:val="00EA7F79"/>
    <w:rsid w:val="00EB047D"/>
    <w:rsid w:val="00EB0ADF"/>
    <w:rsid w:val="00EB1933"/>
    <w:rsid w:val="00ED3F1B"/>
    <w:rsid w:val="00ED4140"/>
    <w:rsid w:val="00EE61B6"/>
    <w:rsid w:val="00EE6BCB"/>
    <w:rsid w:val="00EF6A39"/>
    <w:rsid w:val="00F01258"/>
    <w:rsid w:val="00F05E90"/>
    <w:rsid w:val="00F072D6"/>
    <w:rsid w:val="00F14D93"/>
    <w:rsid w:val="00F33629"/>
    <w:rsid w:val="00F4585C"/>
    <w:rsid w:val="00F54E66"/>
    <w:rsid w:val="00F750C5"/>
    <w:rsid w:val="00F965C5"/>
    <w:rsid w:val="00FA049B"/>
    <w:rsid w:val="00FD01E4"/>
    <w:rsid w:val="00FD1544"/>
    <w:rsid w:val="00FF0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37C67-CC39-4812-AFFC-8CD62EB1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FD1544"/>
    <w:pPr>
      <w:overflowPunct/>
      <w:autoSpaceDE/>
      <w:autoSpaceDN/>
      <w:adjustRightInd/>
      <w:spacing w:line="320" w:lineRule="exact"/>
      <w:textAlignment w:val="auto"/>
    </w:pPr>
    <w:rPr>
      <w:rFonts w:ascii="Times New Roman" w:hAnsi="Times New Roman"/>
    </w:rPr>
  </w:style>
  <w:style w:type="character" w:customStyle="1" w:styleId="BrdtextChar">
    <w:name w:val="Brödtext Char"/>
    <w:link w:val="Brdtext"/>
    <w:rsid w:val="00FD1544"/>
    <w:rPr>
      <w:sz w:val="24"/>
      <w:lang w:val="sv-SE" w:eastAsia="en-US" w:bidi="ar-SA"/>
    </w:rPr>
  </w:style>
  <w:style w:type="character" w:customStyle="1" w:styleId="RKnormalChar">
    <w:name w:val="RKnormal Char"/>
    <w:link w:val="RKnormal"/>
    <w:rsid w:val="00CF3BA9"/>
    <w:rPr>
      <w:rFonts w:ascii="OrigGarmnd BT" w:hAnsi="OrigGarmnd BT"/>
      <w:sz w:val="24"/>
      <w:lang w:val="sv-SE" w:eastAsia="en-US" w:bidi="ar-SA"/>
    </w:rPr>
  </w:style>
  <w:style w:type="paragraph" w:styleId="Ballongtext">
    <w:name w:val="Balloon Text"/>
    <w:basedOn w:val="Normal"/>
    <w:semiHidden/>
    <w:rsid w:val="00CF3BA9"/>
    <w:rPr>
      <w:rFonts w:ascii="Tahoma" w:hAnsi="Tahoma" w:cs="Tahoma"/>
      <w:sz w:val="16"/>
      <w:szCs w:val="16"/>
    </w:rPr>
  </w:style>
  <w:style w:type="character" w:customStyle="1" w:styleId="RKrubrikChar">
    <w:name w:val="RKrubrik Char"/>
    <w:link w:val="RKrubrik"/>
    <w:locked/>
    <w:rsid w:val="008E6F0E"/>
    <w:rPr>
      <w:rFonts w:ascii="TradeGothic" w:hAnsi="TradeGothic"/>
      <w:b/>
      <w:sz w:val="22"/>
      <w:lang w:val="sv-SE" w:eastAsia="en-US" w:bidi="ar-SA"/>
    </w:rPr>
  </w:style>
  <w:style w:type="character" w:customStyle="1" w:styleId="CharChar">
    <w:name w:val=" Char Char"/>
    <w:rsid w:val="00BB29F9"/>
    <w:rPr>
      <w:sz w:val="24"/>
      <w:lang w:val="sv-SE" w:eastAsia="en-US" w:bidi="ar-SA"/>
    </w:rPr>
  </w:style>
  <w:style w:type="character" w:customStyle="1" w:styleId="Rubrik3Char">
    <w:name w:val="Rubrik 3 Char"/>
    <w:link w:val="Rubrik3"/>
    <w:rsid w:val="00911167"/>
    <w:rPr>
      <w:rFonts w:ascii="TradeGothic" w:hAnsi="TradeGothic"/>
      <w:kern w:val="28"/>
      <w:sz w:val="22"/>
      <w:lang w:eastAsia="en-US"/>
    </w:rPr>
  </w:style>
  <w:style w:type="character" w:customStyle="1" w:styleId="Rubrik4Char">
    <w:name w:val="Rubrik 4 Char"/>
    <w:link w:val="Rubrik4"/>
    <w:rsid w:val="00A606FE"/>
    <w:rPr>
      <w:rFonts w:ascii="OrigGarmnd BT" w:hAnsi="OrigGarmnd BT"/>
      <w:b/>
      <w:i/>
      <w:kern w:val="28"/>
      <w:sz w:val="22"/>
      <w:lang w:eastAsia="en-US"/>
    </w:rPr>
  </w:style>
  <w:style w:type="paragraph" w:customStyle="1" w:styleId="EntRefer">
    <w:name w:val="EntRefer"/>
    <w:basedOn w:val="Normal"/>
    <w:rsid w:val="002E64B4"/>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Par-number1">
    <w:name w:val="Par-number 1)"/>
    <w:basedOn w:val="Normal"/>
    <w:next w:val="Normal"/>
    <w:rsid w:val="002E64B4"/>
    <w:pPr>
      <w:widowControl w:val="0"/>
      <w:numPr>
        <w:numId w:val="7"/>
      </w:numPr>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rsid w:val="002E64B4"/>
    <w:pPr>
      <w:widowControl w:val="0"/>
      <w:numPr>
        <w:numId w:val="11"/>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customStyle="1" w:styleId="CarcterCarcterCharCarcterCarcterCharCarcterCarcterCharCharCarcterCarcter">
    <w:name w:val=" Carácter Carácter Char Carácter Carácter Char Carácter Carácter Char Char Carácter Carácter"/>
    <w:basedOn w:val="Normal"/>
    <w:rsid w:val="002E64B4"/>
    <w:pPr>
      <w:overflowPunct/>
      <w:autoSpaceDE/>
      <w:autoSpaceDN/>
      <w:adjustRightInd/>
      <w:spacing w:line="240" w:lineRule="auto"/>
      <w:textAlignment w:val="auto"/>
    </w:pPr>
    <w:rPr>
      <w:rFonts w:ascii="Times New Roman" w:hAnsi="Times New Roman"/>
      <w:szCs w:val="24"/>
      <w:lang w:val="pl-PL" w:eastAsia="pl-PL"/>
    </w:rPr>
  </w:style>
  <w:style w:type="character" w:styleId="Kommentarsreferens">
    <w:name w:val="annotation reference"/>
    <w:rsid w:val="00237595"/>
    <w:rPr>
      <w:sz w:val="16"/>
      <w:szCs w:val="16"/>
    </w:rPr>
  </w:style>
  <w:style w:type="paragraph" w:styleId="Kommentarer">
    <w:name w:val="annotation text"/>
    <w:basedOn w:val="Normal"/>
    <w:link w:val="KommentarerChar"/>
    <w:rsid w:val="00237595"/>
    <w:rPr>
      <w:sz w:val="20"/>
    </w:rPr>
  </w:style>
  <w:style w:type="character" w:customStyle="1" w:styleId="KommentarerChar">
    <w:name w:val="Kommentarer Char"/>
    <w:link w:val="Kommentarer"/>
    <w:rsid w:val="00237595"/>
    <w:rPr>
      <w:rFonts w:ascii="OrigGarmnd BT" w:hAnsi="OrigGarmnd BT"/>
      <w:lang w:eastAsia="en-US"/>
    </w:rPr>
  </w:style>
  <w:style w:type="paragraph" w:styleId="Kommentarsmne">
    <w:name w:val="annotation subject"/>
    <w:basedOn w:val="Kommentarer"/>
    <w:next w:val="Kommentarer"/>
    <w:link w:val="KommentarsmneChar"/>
    <w:rsid w:val="00237595"/>
    <w:rPr>
      <w:b/>
      <w:bCs/>
    </w:rPr>
  </w:style>
  <w:style w:type="character" w:customStyle="1" w:styleId="KommentarsmneChar">
    <w:name w:val="Kommentarsämne Char"/>
    <w:link w:val="Kommentarsmne"/>
    <w:rsid w:val="00237595"/>
    <w:rPr>
      <w:rFonts w:ascii="OrigGarmnd BT" w:hAnsi="OrigGarmnd BT"/>
      <w:b/>
      <w:bCs/>
      <w:lang w:eastAsia="en-US"/>
    </w:rPr>
  </w:style>
  <w:style w:type="paragraph" w:styleId="Fotnotstext">
    <w:name w:val="footnote text"/>
    <w:basedOn w:val="Normal"/>
    <w:link w:val="FotnotstextChar"/>
    <w:rsid w:val="00923059"/>
    <w:rPr>
      <w:sz w:val="20"/>
    </w:rPr>
  </w:style>
  <w:style w:type="character" w:customStyle="1" w:styleId="FotnotstextChar">
    <w:name w:val="Fotnotstext Char"/>
    <w:link w:val="Fotnotstext"/>
    <w:rsid w:val="00923059"/>
    <w:rPr>
      <w:rFonts w:ascii="OrigGarmnd BT" w:hAnsi="OrigGarmnd BT"/>
      <w:lang w:eastAsia="en-US"/>
    </w:rPr>
  </w:style>
  <w:style w:type="character" w:styleId="Fotnotsreferens">
    <w:name w:val="footnote reference"/>
    <w:rsid w:val="00923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2382</Words>
  <Characters>15701</Characters>
  <Application>Microsoft Office Word</Application>
  <DocSecurity>4</DocSecurity>
  <Lines>392</Lines>
  <Paragraphs>141</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cp:lastModifiedBy>Lars Brink</cp:lastModifiedBy>
  <cp:revision>2</cp:revision>
  <cp:lastPrinted>2012-03-12T11:19:00Z</cp:lastPrinted>
  <dcterms:created xsi:type="dcterms:W3CDTF">2025-12-17T21:41:00Z</dcterms:created>
  <dcterms:modified xsi:type="dcterms:W3CDTF">2025-12-17T21:41:00Z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RKOrdnaDepartement2">
    <vt:lpwstr>Landsbygdsdepartementet</vt:lpwstr>
  </property>
  <property fmtid="{D5CDD505-2E9C-101B-9397-08002B2CF9AE}" pid="15" name="RKOrdnaActivityCategory2">
    <vt:lpwstr>4.1.2. Rådsarbete</vt:lpwstr>
  </property>
  <property fmtid="{D5CDD505-2E9C-101B-9397-08002B2CF9AE}" pid="16" name="ContentTypeId">
    <vt:lpwstr>0x010100D4E2D80DC721422ABBDF033BB3857F4903002C6DD1B51F5C0D409F0EAFDA8023F94A</vt:lpwstr>
  </property>
</Properties>
</file>