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7C2" w:rsidRPr="002B244E" w:rsidRDefault="001047C2">
      <w:pPr>
        <w:pStyle w:val="Rubrik1"/>
        <w:shd w:val="clear" w:color="000000" w:fill="auto"/>
      </w:pPr>
      <w:r w:rsidRPr="002B244E">
        <w:t>Sammanfattning</w:t>
      </w:r>
    </w:p>
    <w:p w:rsidR="001047C2" w:rsidRPr="002B244E" w:rsidRDefault="001047C2">
      <w:pPr>
        <w:shd w:val="clear" w:color="000000" w:fill="auto"/>
      </w:pPr>
      <w:r w:rsidRPr="002B244E">
        <w:t>Vänsterpartiet anser att vårt svenska värnpliktssystem ska finnas kvar och vill förstärka detta genom att utöka antalet totalförsvarspliktiga, göra totalfö</w:t>
      </w:r>
      <w:r w:rsidRPr="002B244E">
        <w:t>r</w:t>
      </w:r>
      <w:r w:rsidRPr="002B244E">
        <w:t>svarsplikten könsneutral samt kvalitetsutveckla både värnplikts- och civi</w:t>
      </w:r>
      <w:r w:rsidRPr="002B244E">
        <w:t>l</w:t>
      </w:r>
      <w:r w:rsidRPr="002B244E">
        <w:t>pliktsutbildningen. Vi avvisar regeringens förslag att utöka resurserna till de internationella insatserna. Vänsterpartiet föreslår vidare besparingar när det gäller materielbeställningar och all verksamhet som i de olika anslagen syftar till främjande av svensk vapenexport. Vänsterpartiet vill dessutom utöka resurserna till Försvarsmaktens arbete mot diskriminering på grund av  kön, sexu</w:t>
      </w:r>
      <w:r w:rsidR="00E80436" w:rsidRPr="002B244E">
        <w:softHyphen/>
      </w:r>
      <w:r w:rsidRPr="002B244E">
        <w:t>ell läggning, könsidentitet eller etnisk bakgrund.</w:t>
      </w:r>
    </w:p>
    <w:p w:rsidR="004D7823" w:rsidRPr="002B244E" w:rsidRDefault="00C51EDE">
      <w:pPr>
        <w:pStyle w:val="Hemstlrubrik"/>
        <w:shd w:val="clear" w:color="000000" w:fill="auto"/>
      </w:pPr>
      <w:r w:rsidRPr="002B244E">
        <w:t>Förslag till riksdagsbeslut</w:t>
      </w:r>
    </w:p>
    <w:p w:rsidR="00F53D03" w:rsidRPr="002B244E" w:rsidRDefault="00F53D03">
      <w:pPr>
        <w:pStyle w:val="Hemstlatt"/>
        <w:numPr>
          <w:ilvl w:val="0"/>
          <w:numId w:val="1"/>
        </w:numPr>
        <w:shd w:val="clear" w:color="000000" w:fill="auto"/>
      </w:pPr>
      <w:r w:rsidRPr="002B244E">
        <w:t>Riksdagen anvisar med följande ändringar i fö</w:t>
      </w:r>
      <w:r w:rsidRPr="002B244E">
        <w:t>r</w:t>
      </w:r>
      <w:r w:rsidRPr="002B244E">
        <w:t>hållande till regeringens förslag anslagen under utgiftsområde 6 Försvar samt beredskap mot sårbarhet enligt uppställning:</w:t>
      </w:r>
    </w:p>
    <w:tbl>
      <w:tblPr>
        <w:tblStyle w:val="Tabellrutnt"/>
        <w:tblW w:w="60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860"/>
        <w:gridCol w:w="1168"/>
        <w:gridCol w:w="1168"/>
      </w:tblGrid>
      <w:tr w:rsidR="00DD0C0B" w:rsidRPr="002B244E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F53D03" w:rsidRPr="002B244E" w:rsidRDefault="00F53D03">
            <w:pPr>
              <w:shd w:val="clear" w:color="000000" w:fill="auto"/>
              <w:spacing w:before="20" w:line="200" w:lineRule="exact"/>
              <w:rPr>
                <w:b/>
                <w:sz w:val="18"/>
              </w:rPr>
            </w:pPr>
            <w:r w:rsidRPr="002B244E">
              <w:rPr>
                <w:b/>
                <w:sz w:val="18"/>
              </w:rPr>
              <w:t xml:space="preserve">Anslag 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:rsidR="00F53D03" w:rsidRPr="002B244E" w:rsidRDefault="00F53D03">
            <w:pPr>
              <w:pStyle w:val="Normaltindrag"/>
              <w:shd w:val="clear" w:color="000000" w:fill="auto"/>
              <w:spacing w:before="20" w:line="200" w:lineRule="exact"/>
              <w:rPr>
                <w:b/>
                <w:sz w:val="18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F53D03" w:rsidRPr="002B244E" w:rsidRDefault="00F53D03">
            <w:pPr>
              <w:pStyle w:val="Normaltindrag"/>
              <w:shd w:val="clear" w:color="000000" w:fill="auto"/>
              <w:spacing w:before="20" w:line="200" w:lineRule="exact"/>
              <w:ind w:hanging="14"/>
              <w:jc w:val="right"/>
              <w:rPr>
                <w:b/>
                <w:sz w:val="18"/>
                <w:szCs w:val="16"/>
              </w:rPr>
            </w:pPr>
            <w:r w:rsidRPr="002B244E">
              <w:rPr>
                <w:b/>
                <w:sz w:val="18"/>
                <w:szCs w:val="16"/>
              </w:rPr>
              <w:t>Regeringens förslag (tkr)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F53D03" w:rsidRPr="002B244E" w:rsidRDefault="00F53D03">
            <w:pPr>
              <w:pStyle w:val="Normaltindrag"/>
              <w:shd w:val="clear" w:color="000000" w:fill="auto"/>
              <w:spacing w:before="20" w:line="200" w:lineRule="exact"/>
              <w:ind w:hanging="14"/>
              <w:jc w:val="right"/>
              <w:rPr>
                <w:b/>
                <w:sz w:val="18"/>
                <w:szCs w:val="16"/>
              </w:rPr>
            </w:pPr>
            <w:r w:rsidRPr="002B244E">
              <w:rPr>
                <w:b/>
                <w:sz w:val="18"/>
                <w:szCs w:val="16"/>
              </w:rPr>
              <w:t>Förändring (tkr)</w:t>
            </w:r>
          </w:p>
        </w:tc>
      </w:tr>
      <w:tr w:rsidR="00DD0C0B" w:rsidRPr="002B244E">
        <w:tc>
          <w:tcPr>
            <w:tcW w:w="808" w:type="dxa"/>
            <w:tcBorders>
              <w:top w:val="single" w:sz="4" w:space="0" w:color="auto"/>
            </w:tcBorders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6:1</w:t>
            </w:r>
          </w:p>
        </w:tc>
        <w:tc>
          <w:tcPr>
            <w:tcW w:w="2860" w:type="dxa"/>
            <w:tcBorders>
              <w:top w:val="single" w:sz="4" w:space="0" w:color="auto"/>
            </w:tcBorders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ind w:right="79"/>
              <w:rPr>
                <w:spacing w:val="-2"/>
                <w:sz w:val="18"/>
              </w:rPr>
            </w:pPr>
            <w:r w:rsidRPr="002B244E">
              <w:rPr>
                <w:spacing w:val="-2"/>
                <w:sz w:val="18"/>
              </w:rPr>
              <w:t>Förbandsverksamhet, bered</w:t>
            </w:r>
            <w:r w:rsidRPr="002B244E">
              <w:rPr>
                <w:spacing w:val="-2"/>
                <w:sz w:val="18"/>
              </w:rPr>
              <w:softHyphen/>
              <w:t>skap och freds</w:t>
            </w:r>
            <w:r w:rsidRPr="002B244E">
              <w:rPr>
                <w:spacing w:val="-2"/>
                <w:sz w:val="18"/>
              </w:rPr>
              <w:softHyphen/>
              <w:t>främjande truppinsatser m.m.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bottom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hanging="14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20 413 323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bottom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 xml:space="preserve">–850 000 </w:t>
            </w:r>
          </w:p>
        </w:tc>
      </w:tr>
      <w:tr w:rsidR="00DD0C0B" w:rsidRPr="002B244E">
        <w:tc>
          <w:tcPr>
            <w:tcW w:w="80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6:2</w:t>
            </w:r>
          </w:p>
        </w:tc>
        <w:tc>
          <w:tcPr>
            <w:tcW w:w="2860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rPr>
                <w:sz w:val="18"/>
              </w:rPr>
            </w:pPr>
            <w:r w:rsidRPr="002B244E">
              <w:rPr>
                <w:sz w:val="18"/>
              </w:rPr>
              <w:t>Material och anläggningar</w:t>
            </w:r>
          </w:p>
        </w:tc>
        <w:tc>
          <w:tcPr>
            <w:tcW w:w="116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hanging="14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17 222 697</w:t>
            </w:r>
          </w:p>
        </w:tc>
        <w:tc>
          <w:tcPr>
            <w:tcW w:w="1168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>–3 000 000</w:t>
            </w:r>
          </w:p>
        </w:tc>
      </w:tr>
      <w:tr w:rsidR="00DD0C0B" w:rsidRPr="002B244E">
        <w:tc>
          <w:tcPr>
            <w:tcW w:w="80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6:3</w:t>
            </w:r>
          </w:p>
        </w:tc>
        <w:tc>
          <w:tcPr>
            <w:tcW w:w="2860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rPr>
                <w:sz w:val="18"/>
              </w:rPr>
            </w:pPr>
            <w:r w:rsidRPr="002B244E">
              <w:rPr>
                <w:sz w:val="18"/>
              </w:rPr>
              <w:t>Forskning och utveckling</w:t>
            </w:r>
          </w:p>
        </w:tc>
        <w:tc>
          <w:tcPr>
            <w:tcW w:w="116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hanging="14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1 048 242</w:t>
            </w:r>
          </w:p>
        </w:tc>
        <w:tc>
          <w:tcPr>
            <w:tcW w:w="1168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>–500 000</w:t>
            </w:r>
          </w:p>
        </w:tc>
      </w:tr>
      <w:tr w:rsidR="00DD0C0B" w:rsidRPr="002B244E">
        <w:tc>
          <w:tcPr>
            <w:tcW w:w="80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6:4</w:t>
            </w:r>
          </w:p>
        </w:tc>
        <w:tc>
          <w:tcPr>
            <w:tcW w:w="2860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rPr>
                <w:sz w:val="18"/>
              </w:rPr>
            </w:pPr>
            <w:r w:rsidRPr="002B244E">
              <w:rPr>
                <w:sz w:val="18"/>
              </w:rPr>
              <w:t>Totalförsvarets pliktverk</w:t>
            </w:r>
          </w:p>
        </w:tc>
        <w:tc>
          <w:tcPr>
            <w:tcW w:w="116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hanging="14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168 489</w:t>
            </w:r>
          </w:p>
        </w:tc>
        <w:tc>
          <w:tcPr>
            <w:tcW w:w="1168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>2 000</w:t>
            </w:r>
          </w:p>
        </w:tc>
      </w:tr>
      <w:tr w:rsidR="00DD0C0B" w:rsidRPr="002B244E">
        <w:tc>
          <w:tcPr>
            <w:tcW w:w="80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6:7</w:t>
            </w:r>
          </w:p>
        </w:tc>
        <w:tc>
          <w:tcPr>
            <w:tcW w:w="2860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rPr>
                <w:sz w:val="18"/>
              </w:rPr>
            </w:pPr>
            <w:r w:rsidRPr="002B244E">
              <w:rPr>
                <w:sz w:val="18"/>
              </w:rPr>
              <w:t>Totalförsvarets forskningsinstitut</w:t>
            </w:r>
          </w:p>
        </w:tc>
        <w:tc>
          <w:tcPr>
            <w:tcW w:w="116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hanging="14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61 971</w:t>
            </w:r>
          </w:p>
        </w:tc>
        <w:tc>
          <w:tcPr>
            <w:tcW w:w="1168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>–20 000</w:t>
            </w:r>
          </w:p>
        </w:tc>
      </w:tr>
      <w:tr w:rsidR="00DD0C0B" w:rsidRPr="002B244E">
        <w:tc>
          <w:tcPr>
            <w:tcW w:w="80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6:10</w:t>
            </w:r>
          </w:p>
        </w:tc>
        <w:tc>
          <w:tcPr>
            <w:tcW w:w="2860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rPr>
                <w:sz w:val="18"/>
              </w:rPr>
            </w:pPr>
            <w:r w:rsidRPr="002B244E">
              <w:rPr>
                <w:sz w:val="18"/>
              </w:rPr>
              <w:t>Internationella materielsamarbeten</w:t>
            </w:r>
          </w:p>
        </w:tc>
        <w:tc>
          <w:tcPr>
            <w:tcW w:w="116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hanging="14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103 609</w:t>
            </w:r>
          </w:p>
        </w:tc>
        <w:tc>
          <w:tcPr>
            <w:tcW w:w="1168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>–25 000</w:t>
            </w:r>
          </w:p>
        </w:tc>
      </w:tr>
      <w:tr w:rsidR="00DD0C0B" w:rsidRPr="002B244E">
        <w:tc>
          <w:tcPr>
            <w:tcW w:w="80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7:1</w:t>
            </w:r>
          </w:p>
        </w:tc>
        <w:tc>
          <w:tcPr>
            <w:tcW w:w="2860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rPr>
                <w:sz w:val="18"/>
              </w:rPr>
            </w:pPr>
            <w:r w:rsidRPr="002B244E">
              <w:rPr>
                <w:sz w:val="18"/>
              </w:rPr>
              <w:t>Kustbevakningen</w:t>
            </w:r>
          </w:p>
        </w:tc>
        <w:tc>
          <w:tcPr>
            <w:tcW w:w="116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hanging="14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857 244</w:t>
            </w:r>
          </w:p>
        </w:tc>
        <w:tc>
          <w:tcPr>
            <w:tcW w:w="1168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>11 000</w:t>
            </w:r>
          </w:p>
        </w:tc>
      </w:tr>
      <w:tr w:rsidR="00DD0C0B" w:rsidRPr="002B244E">
        <w:tc>
          <w:tcPr>
            <w:tcW w:w="80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7:5</w:t>
            </w:r>
          </w:p>
        </w:tc>
        <w:tc>
          <w:tcPr>
            <w:tcW w:w="2860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rPr>
                <w:sz w:val="18"/>
              </w:rPr>
            </w:pPr>
            <w:r w:rsidRPr="002B244E">
              <w:rPr>
                <w:sz w:val="18"/>
              </w:rPr>
              <w:t>Krisberedskapsmyndigheten</w:t>
            </w:r>
          </w:p>
        </w:tc>
        <w:tc>
          <w:tcPr>
            <w:tcW w:w="1168" w:type="dxa"/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right"/>
              <w:rPr>
                <w:sz w:val="18"/>
                <w:szCs w:val="16"/>
              </w:rPr>
            </w:pPr>
            <w:r w:rsidRPr="002B244E">
              <w:rPr>
                <w:sz w:val="18"/>
                <w:szCs w:val="16"/>
              </w:rPr>
              <w:t>1 636 687</w:t>
            </w:r>
          </w:p>
        </w:tc>
        <w:tc>
          <w:tcPr>
            <w:tcW w:w="1168" w:type="dxa"/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sz w:val="18"/>
              </w:rPr>
            </w:pPr>
            <w:r w:rsidRPr="002B244E">
              <w:rPr>
                <w:sz w:val="18"/>
              </w:rPr>
              <w:t>2 000</w:t>
            </w:r>
          </w:p>
        </w:tc>
      </w:tr>
      <w:tr w:rsidR="00DD0C0B" w:rsidRPr="002B244E">
        <w:tc>
          <w:tcPr>
            <w:tcW w:w="3668" w:type="dxa"/>
            <w:gridSpan w:val="2"/>
            <w:tcBorders>
              <w:bottom w:val="single" w:sz="4" w:space="0" w:color="auto"/>
            </w:tcBorders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ind w:firstLine="0"/>
              <w:jc w:val="left"/>
              <w:rPr>
                <w:b/>
                <w:sz w:val="18"/>
                <w:szCs w:val="16"/>
              </w:rPr>
            </w:pPr>
            <w:r w:rsidRPr="002B244E">
              <w:rPr>
                <w:b/>
                <w:sz w:val="18"/>
                <w:szCs w:val="16"/>
              </w:rPr>
              <w:t>Summa: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F53D03" w:rsidRPr="002B244E" w:rsidRDefault="00F53D03">
            <w:pPr>
              <w:pStyle w:val="Normaltindrag"/>
              <w:shd w:val="clear" w:color="000000" w:fill="auto"/>
              <w:spacing w:before="40" w:line="200" w:lineRule="exact"/>
              <w:rPr>
                <w:sz w:val="18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F53D03" w:rsidRPr="002B244E" w:rsidRDefault="00F53D03">
            <w:pPr>
              <w:shd w:val="clear" w:color="000000" w:fill="auto"/>
              <w:spacing w:before="40" w:line="200" w:lineRule="exact"/>
              <w:jc w:val="right"/>
              <w:rPr>
                <w:b/>
                <w:sz w:val="18"/>
              </w:rPr>
            </w:pPr>
            <w:r w:rsidRPr="002B244E">
              <w:rPr>
                <w:b/>
                <w:sz w:val="18"/>
              </w:rPr>
              <w:t>–4 380 000</w:t>
            </w:r>
          </w:p>
        </w:tc>
      </w:tr>
    </w:tbl>
    <w:p w:rsidR="00F53D03" w:rsidRPr="002B244E" w:rsidRDefault="00F53D03">
      <w:pPr>
        <w:pStyle w:val="Hemstlatt"/>
        <w:numPr>
          <w:ilvl w:val="0"/>
          <w:numId w:val="1"/>
        </w:numPr>
        <w:shd w:val="clear" w:color="000000" w:fill="auto"/>
      </w:pPr>
      <w:r w:rsidRPr="002B244E">
        <w:lastRenderedPageBreak/>
        <w:t>Riksdagen tillkännager för regeringen som sin mening vad som anförs i motionen om att regeringen bör specificera samtliga utgift</w:t>
      </w:r>
      <w:r w:rsidRPr="002B244E">
        <w:t>s</w:t>
      </w:r>
      <w:r w:rsidRPr="002B244E">
        <w:t>poster i utgiftsområde 6 i kronor.</w:t>
      </w:r>
    </w:p>
    <w:p w:rsidR="002670BA" w:rsidRPr="002B244E" w:rsidRDefault="002670BA">
      <w:pPr>
        <w:pStyle w:val="Rubrik1"/>
        <w:shd w:val="clear" w:color="000000" w:fill="auto"/>
      </w:pPr>
      <w:r w:rsidRPr="002B244E">
        <w:t>Förbandsverksamhet, beredskap och fredsfrämjande insatser</w:t>
      </w:r>
    </w:p>
    <w:p w:rsidR="002670BA" w:rsidRPr="002B244E" w:rsidRDefault="002670BA">
      <w:pPr>
        <w:shd w:val="clear" w:color="000000" w:fill="auto"/>
      </w:pPr>
      <w:r w:rsidRPr="002B244E">
        <w:t>Regeringen föreslår att resurserna till internationella insatser ska öka</w:t>
      </w:r>
      <w:r w:rsidR="004C7401" w:rsidRPr="002B244E">
        <w:t xml:space="preserve"> med 100 miljoner kronor 2008 och 750 </w:t>
      </w:r>
      <w:r w:rsidR="009C021E" w:rsidRPr="002B244E">
        <w:t xml:space="preserve">miljoner </w:t>
      </w:r>
      <w:r w:rsidR="004C7401" w:rsidRPr="002B244E">
        <w:t xml:space="preserve">kronor </w:t>
      </w:r>
      <w:r w:rsidR="009C021E" w:rsidRPr="002B244E">
        <w:t xml:space="preserve">2009. </w:t>
      </w:r>
      <w:r w:rsidRPr="002B244E">
        <w:t>Detta förslag avv</w:t>
      </w:r>
      <w:r w:rsidRPr="002B244E">
        <w:t>i</w:t>
      </w:r>
      <w:r w:rsidRPr="002B244E">
        <w:t>sar Vänsterpartiet.</w:t>
      </w:r>
      <w:r w:rsidR="00A10CB5" w:rsidRPr="002B244E">
        <w:t xml:space="preserve"> I</w:t>
      </w:r>
      <w:r w:rsidR="004C7401" w:rsidRPr="002B244E">
        <w:t> </w:t>
      </w:r>
      <w:r w:rsidR="00A10CB5" w:rsidRPr="002B244E">
        <w:t>stället för att utöka våra internationella insatser bör vi</w:t>
      </w:r>
      <w:r w:rsidR="00167DF3" w:rsidRPr="002B244E">
        <w:t xml:space="preserve"> </w:t>
      </w:r>
      <w:r w:rsidR="008305DA" w:rsidRPr="002B244E">
        <w:t xml:space="preserve">avveckla </w:t>
      </w:r>
      <w:r w:rsidR="00167DF3" w:rsidRPr="002B244E">
        <w:t>exempelvis vårt EU-styrda samarbete i Nordic Battle Group (NBG) samt dra tillbaka våra trupper från Afghanistan.</w:t>
      </w:r>
      <w:r w:rsidR="00B866B9" w:rsidRPr="002B244E">
        <w:t xml:space="preserve"> Vänsterpartiet föreslår en nedskärn</w:t>
      </w:r>
      <w:r w:rsidR="00B866B9" w:rsidRPr="002B244E">
        <w:rPr>
          <w:spacing w:val="-2"/>
        </w:rPr>
        <w:t>ing på 900</w:t>
      </w:r>
      <w:r w:rsidR="004C7401" w:rsidRPr="002B244E">
        <w:rPr>
          <w:spacing w:val="-2"/>
        </w:rPr>
        <w:t> </w:t>
      </w:r>
      <w:r w:rsidR="00B866B9" w:rsidRPr="002B244E">
        <w:rPr>
          <w:spacing w:val="-2"/>
        </w:rPr>
        <w:t xml:space="preserve">miljoner </w:t>
      </w:r>
      <w:r w:rsidR="004C7401" w:rsidRPr="002B244E">
        <w:rPr>
          <w:spacing w:val="-2"/>
        </w:rPr>
        <w:t xml:space="preserve">kronor </w:t>
      </w:r>
      <w:r w:rsidR="00B866B9" w:rsidRPr="002B244E">
        <w:rPr>
          <w:spacing w:val="-2"/>
        </w:rPr>
        <w:t>2008 samt en nedskärn</w:t>
      </w:r>
      <w:r w:rsidR="004C7401" w:rsidRPr="002B244E">
        <w:rPr>
          <w:spacing w:val="-2"/>
        </w:rPr>
        <w:t>ing på 900 </w:t>
      </w:r>
      <w:r w:rsidR="00B866B9" w:rsidRPr="002B244E">
        <w:rPr>
          <w:spacing w:val="-2"/>
        </w:rPr>
        <w:t>mil</w:t>
      </w:r>
      <w:r w:rsidR="00E80436" w:rsidRPr="002B244E">
        <w:rPr>
          <w:spacing w:val="-2"/>
        </w:rPr>
        <w:softHyphen/>
      </w:r>
      <w:r w:rsidR="00B866B9" w:rsidRPr="002B244E">
        <w:rPr>
          <w:spacing w:val="-2"/>
        </w:rPr>
        <w:t>jo</w:t>
      </w:r>
      <w:r w:rsidR="00E80436" w:rsidRPr="002B244E">
        <w:rPr>
          <w:spacing w:val="-2"/>
        </w:rPr>
        <w:softHyphen/>
      </w:r>
      <w:r w:rsidR="00B866B9" w:rsidRPr="002B244E">
        <w:t xml:space="preserve">ner </w:t>
      </w:r>
      <w:r w:rsidR="004C7401" w:rsidRPr="002B244E">
        <w:t xml:space="preserve">kronor </w:t>
      </w:r>
      <w:r w:rsidR="00B866B9" w:rsidRPr="002B244E">
        <w:t>plus regeringens föreslagna ökning 2009 och 2010.</w:t>
      </w:r>
    </w:p>
    <w:p w:rsidR="00EE2FFF" w:rsidRPr="002B244E" w:rsidRDefault="00EE2FFF">
      <w:pPr>
        <w:pStyle w:val="Rubrik2"/>
        <w:shd w:val="clear" w:color="000000" w:fill="auto"/>
      </w:pPr>
      <w:r w:rsidRPr="002B244E">
        <w:t>Utökad värnplikt och civilplikt</w:t>
      </w:r>
    </w:p>
    <w:p w:rsidR="00704067" w:rsidRPr="002B244E" w:rsidRDefault="00815A25">
      <w:pPr>
        <w:shd w:val="clear" w:color="000000" w:fill="auto"/>
      </w:pPr>
      <w:r w:rsidRPr="002B244E">
        <w:t xml:space="preserve">Regeringen </w:t>
      </w:r>
      <w:r w:rsidR="009A0996" w:rsidRPr="002B244E">
        <w:t>föreslår</w:t>
      </w:r>
      <w:r w:rsidR="00A32665" w:rsidRPr="002B244E">
        <w:t xml:space="preserve"> att Försvarsmakten ska ges möjlighet att införa aspiran</w:t>
      </w:r>
      <w:r w:rsidR="00A32665" w:rsidRPr="002B244E">
        <w:t>t</w:t>
      </w:r>
      <w:r w:rsidR="00A32665" w:rsidRPr="002B244E">
        <w:t xml:space="preserve">skolor för militär grundutbildning. </w:t>
      </w:r>
      <w:r w:rsidR="007C39C4" w:rsidRPr="002B244E">
        <w:t>Regeringen gör även bedömningen att civilplikten bör avvecklas. Vänsterpartiet motsätter sig både dessa förslag och föreslår i</w:t>
      </w:r>
      <w:r w:rsidR="004C7401" w:rsidRPr="002B244E">
        <w:t> </w:t>
      </w:r>
      <w:r w:rsidR="007C39C4" w:rsidRPr="002B244E">
        <w:t xml:space="preserve">stället en satsning på </w:t>
      </w:r>
      <w:r w:rsidR="00704067" w:rsidRPr="002B244E">
        <w:t>300</w:t>
      </w:r>
      <w:r w:rsidR="004C7401" w:rsidRPr="002B244E">
        <w:t> </w:t>
      </w:r>
      <w:r w:rsidR="00704067" w:rsidRPr="002B244E">
        <w:t xml:space="preserve">miljoner </w:t>
      </w:r>
      <w:r w:rsidR="004C7401" w:rsidRPr="002B244E">
        <w:t xml:space="preserve">kronor </w:t>
      </w:r>
      <w:r w:rsidR="00704067" w:rsidRPr="002B244E">
        <w:t>2009 och</w:t>
      </w:r>
      <w:r w:rsidR="007C39C4" w:rsidRPr="002B244E">
        <w:t xml:space="preserve"> lika mycket</w:t>
      </w:r>
      <w:r w:rsidR="00704067" w:rsidRPr="002B244E">
        <w:t xml:space="preserve"> 2010 </w:t>
      </w:r>
      <w:r w:rsidR="007C39C4" w:rsidRPr="002B244E">
        <w:t xml:space="preserve">för att kunna </w:t>
      </w:r>
      <w:r w:rsidR="00704067" w:rsidRPr="002B244E">
        <w:t>kvalitetsutveckla och utöka antalet värnpliktiga och civi</w:t>
      </w:r>
      <w:r w:rsidR="00704067" w:rsidRPr="002B244E">
        <w:t>l</w:t>
      </w:r>
      <w:r w:rsidR="00704067" w:rsidRPr="002B244E">
        <w:t>pliktiga</w:t>
      </w:r>
      <w:r w:rsidR="007C39C4" w:rsidRPr="002B244E">
        <w:t>.</w:t>
      </w:r>
    </w:p>
    <w:p w:rsidR="002670BA" w:rsidRPr="002B244E" w:rsidRDefault="002670BA">
      <w:pPr>
        <w:pStyle w:val="Rubrik2"/>
        <w:shd w:val="clear" w:color="000000" w:fill="auto"/>
      </w:pPr>
      <w:r w:rsidRPr="002B244E">
        <w:t xml:space="preserve">Ökad satsning på </w:t>
      </w:r>
      <w:r w:rsidR="00545223" w:rsidRPr="002B244E">
        <w:t>arbetet mot diskriminering</w:t>
      </w:r>
    </w:p>
    <w:p w:rsidR="003061C9" w:rsidRPr="002B244E" w:rsidRDefault="003061C9">
      <w:pPr>
        <w:pStyle w:val="Normaltindrag"/>
        <w:shd w:val="clear" w:color="000000" w:fill="auto"/>
        <w:ind w:firstLine="0"/>
      </w:pPr>
      <w:r w:rsidRPr="002B244E">
        <w:t xml:space="preserve">Vänsterpartiet välkomnar regeringens 12 miljoner </w:t>
      </w:r>
      <w:r w:rsidR="004C7401" w:rsidRPr="002B244E">
        <w:t xml:space="preserve">kronor </w:t>
      </w:r>
      <w:r w:rsidRPr="002B244E">
        <w:t>till Pliktverket för en informationssatsning riktad till kvinnor om värnplikten.</w:t>
      </w:r>
      <w:r w:rsidR="00603940" w:rsidRPr="002B244E">
        <w:t xml:space="preserve"> Underrepresent</w:t>
      </w:r>
      <w:r w:rsidR="00603940" w:rsidRPr="002B244E">
        <w:t>a</w:t>
      </w:r>
      <w:r w:rsidR="00603940" w:rsidRPr="002B244E">
        <w:t xml:space="preserve">tionen av kvinnor i Försvarsmakten är ett problem men även de trakasserier och </w:t>
      </w:r>
      <w:r w:rsidR="006958B9" w:rsidRPr="002B244E">
        <w:t xml:space="preserve">den </w:t>
      </w:r>
      <w:r w:rsidR="00603940" w:rsidRPr="002B244E">
        <w:t xml:space="preserve">diskriminering som inte bara kvinnor utan även HBT-personer och personer med annan etnisk bakgrund än svensk blir utsatta för i försvaret. </w:t>
      </w:r>
      <w:r w:rsidR="00603940" w:rsidRPr="002B244E">
        <w:rPr>
          <w:spacing w:val="-2"/>
        </w:rPr>
        <w:t>Därför föreslår Vänsterpartiet en omför</w:t>
      </w:r>
      <w:r w:rsidR="004C7401" w:rsidRPr="002B244E">
        <w:rPr>
          <w:spacing w:val="-2"/>
        </w:rPr>
        <w:t>delning inom anslag 6:1 på 50 </w:t>
      </w:r>
      <w:r w:rsidR="00603940" w:rsidRPr="002B244E">
        <w:rPr>
          <w:spacing w:val="-2"/>
        </w:rPr>
        <w:t>miljoner</w:t>
      </w:r>
      <w:r w:rsidR="00603940" w:rsidRPr="002B244E">
        <w:t xml:space="preserve"> kronor från ovan angivna besparing till det påg</w:t>
      </w:r>
      <w:r w:rsidR="004C7401" w:rsidRPr="002B244E">
        <w:t>ående arbete</w:t>
      </w:r>
      <w:r w:rsidR="00603940" w:rsidRPr="002B244E">
        <w:t xml:space="preserve"> mot diskr</w:t>
      </w:r>
      <w:r w:rsidR="0036062A" w:rsidRPr="002B244E">
        <w:t>imin</w:t>
      </w:r>
      <w:r w:rsidR="0036062A" w:rsidRPr="002B244E">
        <w:t>e</w:t>
      </w:r>
      <w:r w:rsidR="0036062A" w:rsidRPr="002B244E">
        <w:t xml:space="preserve">ring </w:t>
      </w:r>
      <w:r w:rsidR="001047C2" w:rsidRPr="002B244E">
        <w:t xml:space="preserve">på grund av </w:t>
      </w:r>
      <w:r w:rsidR="0036062A" w:rsidRPr="002B244E">
        <w:t xml:space="preserve">kön, </w:t>
      </w:r>
      <w:r w:rsidR="00603940" w:rsidRPr="002B244E">
        <w:t>sexuell läggning</w:t>
      </w:r>
      <w:r w:rsidR="00EC1A06" w:rsidRPr="002B244E">
        <w:t>, könsidentitet och etnicitet</w:t>
      </w:r>
      <w:r w:rsidR="00E55BA5" w:rsidRPr="002B244E">
        <w:t xml:space="preserve"> inom Fö</w:t>
      </w:r>
      <w:r w:rsidR="00E55BA5" w:rsidRPr="002B244E">
        <w:t>r</w:t>
      </w:r>
      <w:r w:rsidR="00E55BA5" w:rsidRPr="002B244E">
        <w:t>svarsmakten</w:t>
      </w:r>
      <w:r w:rsidR="00603940" w:rsidRPr="002B244E">
        <w:t>.</w:t>
      </w:r>
    </w:p>
    <w:p w:rsidR="002670BA" w:rsidRPr="002B244E" w:rsidRDefault="002670BA">
      <w:pPr>
        <w:pStyle w:val="Rubrik1"/>
        <w:shd w:val="clear" w:color="000000" w:fill="auto"/>
      </w:pPr>
      <w:r w:rsidRPr="002B244E">
        <w:t>Materiel och anläggningar</w:t>
      </w:r>
    </w:p>
    <w:p w:rsidR="00B00F65" w:rsidRPr="002B244E" w:rsidRDefault="00C6712C">
      <w:pPr>
        <w:pStyle w:val="Normaltindrag"/>
        <w:shd w:val="clear" w:color="000000" w:fill="auto"/>
        <w:ind w:firstLine="0"/>
      </w:pPr>
      <w:r w:rsidRPr="002B244E">
        <w:t>Vänsterpartiet gör bedömningen att Försvarsmaktens materielbudget kan minska med</w:t>
      </w:r>
      <w:r w:rsidR="001867A9" w:rsidRPr="002B244E">
        <w:t xml:space="preserve"> </w:t>
      </w:r>
      <w:r w:rsidR="009C680D" w:rsidRPr="002B244E">
        <w:t>3</w:t>
      </w:r>
      <w:r w:rsidR="004C7401" w:rsidRPr="002B244E">
        <w:t> </w:t>
      </w:r>
      <w:r w:rsidR="009C680D" w:rsidRPr="002B244E">
        <w:t>miljarder</w:t>
      </w:r>
      <w:r w:rsidR="001867A9" w:rsidRPr="002B244E">
        <w:t xml:space="preserve"> kronor</w:t>
      </w:r>
      <w:r w:rsidRPr="002B244E">
        <w:t>.</w:t>
      </w:r>
      <w:r w:rsidR="001867A9" w:rsidRPr="002B244E">
        <w:t xml:space="preserve"> Eftersom de specificerade kostnaderna för försvarsmateriel är hemligstämplade är det omöjligt att komma med några exakta siffror här.</w:t>
      </w:r>
      <w:r w:rsidR="00B00F65" w:rsidRPr="002B244E">
        <w:t xml:space="preserve"> Vänsterpartiet anser att det ska vara möjligt att härleda utgiftsposter inom utgiftsområde 6 både när det gäller kostnader och när i tid olika investeringar ska finansieras. Detta bör riksdagen som sin mening ge regeringen till känna.</w:t>
      </w:r>
    </w:p>
    <w:p w:rsidR="00B97EE4" w:rsidRPr="002B244E" w:rsidRDefault="001867A9">
      <w:pPr>
        <w:pStyle w:val="Normaltindrag"/>
        <w:shd w:val="clear" w:color="000000" w:fill="auto"/>
      </w:pPr>
      <w:r w:rsidRPr="002B244E">
        <w:t>Vänsterpartiet motsätter sig dock</w:t>
      </w:r>
      <w:r w:rsidR="00AD6FC1" w:rsidRPr="002B244E">
        <w:t xml:space="preserve"> investeringar i T</w:t>
      </w:r>
      <w:r w:rsidR="005A0F91" w:rsidRPr="002B244E">
        <w:t>aktisk obemannad fly</w:t>
      </w:r>
      <w:r w:rsidR="005A0F91" w:rsidRPr="002B244E">
        <w:t>g</w:t>
      </w:r>
      <w:r w:rsidR="005A0F91" w:rsidRPr="002B244E">
        <w:t xml:space="preserve">farkost </w:t>
      </w:r>
      <w:r w:rsidR="00AD6FC1" w:rsidRPr="002B244E">
        <w:t xml:space="preserve">(GC2F) </w:t>
      </w:r>
      <w:r w:rsidR="005A0F91" w:rsidRPr="002B244E">
        <w:t>och JAS 39 Gripen version C/D.</w:t>
      </w:r>
    </w:p>
    <w:p w:rsidR="00534F0B" w:rsidRPr="002B244E" w:rsidRDefault="009657FB">
      <w:pPr>
        <w:pStyle w:val="Normaltindrag"/>
        <w:shd w:val="clear" w:color="000000" w:fill="auto"/>
      </w:pPr>
      <w:r w:rsidRPr="002B244E">
        <w:t>Inom</w:t>
      </w:r>
      <w:r w:rsidR="00534F0B" w:rsidRPr="002B244E">
        <w:t xml:space="preserve"> anslag</w:t>
      </w:r>
      <w:r w:rsidRPr="002B244E">
        <w:t xml:space="preserve"> 6:2</w:t>
      </w:r>
      <w:r w:rsidR="00534F0B" w:rsidRPr="002B244E">
        <w:t xml:space="preserve"> finansieras även</w:t>
      </w:r>
      <w:r w:rsidR="00BF1B66" w:rsidRPr="002B244E">
        <w:t xml:space="preserve"> säkerhetsfrämjande internationellt sa</w:t>
      </w:r>
      <w:r w:rsidR="00BF1B66" w:rsidRPr="002B244E">
        <w:t>m</w:t>
      </w:r>
      <w:r w:rsidR="00BF1B66" w:rsidRPr="002B244E">
        <w:t>arbete samt främjande av svensk försvarsindustriexport.</w:t>
      </w:r>
      <w:r w:rsidR="006108C8" w:rsidRPr="002B244E">
        <w:t xml:space="preserve"> Vänsterpartiet mo</w:t>
      </w:r>
      <w:r w:rsidR="006108C8" w:rsidRPr="002B244E">
        <w:t>t</w:t>
      </w:r>
      <w:r w:rsidR="006108C8" w:rsidRPr="002B244E">
        <w:t>sätter s</w:t>
      </w:r>
      <w:r w:rsidR="00CF584D" w:rsidRPr="002B244E">
        <w:t>ig även finansieringen av dessa områden.</w:t>
      </w:r>
    </w:p>
    <w:p w:rsidR="002670BA" w:rsidRPr="002B244E" w:rsidRDefault="002670BA">
      <w:pPr>
        <w:pStyle w:val="Rubrik1"/>
        <w:shd w:val="clear" w:color="000000" w:fill="auto"/>
      </w:pPr>
      <w:r w:rsidRPr="002B244E">
        <w:t>Forskning och teknikutveckling</w:t>
      </w:r>
    </w:p>
    <w:p w:rsidR="00B36040" w:rsidRPr="002B244E" w:rsidRDefault="00B36040">
      <w:pPr>
        <w:shd w:val="clear" w:color="000000" w:fill="auto"/>
        <w:autoSpaceDE w:val="0"/>
        <w:autoSpaceDN w:val="0"/>
        <w:adjustRightInd w:val="0"/>
        <w:rPr>
          <w:color w:val="000000"/>
          <w:szCs w:val="24"/>
        </w:rPr>
      </w:pPr>
      <w:r w:rsidRPr="002B244E">
        <w:rPr>
          <w:color w:val="000000"/>
          <w:szCs w:val="24"/>
        </w:rPr>
        <w:t xml:space="preserve">Inom detta anslag finansieras </w:t>
      </w:r>
      <w:r w:rsidR="004C7401" w:rsidRPr="002B244E">
        <w:rPr>
          <w:color w:val="000000"/>
          <w:szCs w:val="24"/>
        </w:rPr>
        <w:t xml:space="preserve">bl.a. </w:t>
      </w:r>
      <w:r w:rsidRPr="002B244E">
        <w:rPr>
          <w:color w:val="000000"/>
          <w:szCs w:val="24"/>
        </w:rPr>
        <w:t>Sveriges kostnader för det nationella fly</w:t>
      </w:r>
      <w:r w:rsidRPr="002B244E">
        <w:rPr>
          <w:color w:val="000000"/>
          <w:szCs w:val="24"/>
        </w:rPr>
        <w:t>g</w:t>
      </w:r>
      <w:r w:rsidRPr="002B244E">
        <w:rPr>
          <w:color w:val="000000"/>
          <w:szCs w:val="24"/>
        </w:rPr>
        <w:t>tekniska forskningsprogrammet (NFFP) och forsknings- och utvecklingsver</w:t>
      </w:r>
      <w:r w:rsidRPr="002B244E">
        <w:rPr>
          <w:color w:val="000000"/>
          <w:szCs w:val="24"/>
        </w:rPr>
        <w:t>k</w:t>
      </w:r>
      <w:r w:rsidRPr="002B244E">
        <w:rPr>
          <w:color w:val="000000"/>
          <w:szCs w:val="24"/>
        </w:rPr>
        <w:t>samhet som genomförs inom ramen för den europeiska försvarsbyrån (EDA) samt andra projekt för utveckling av krigsmateriel. Vänsterpartiet anser att det är mycket viktigare att Sverige satsar på annan</w:t>
      </w:r>
      <w:r w:rsidRPr="002B244E">
        <w:rPr>
          <w:bCs/>
          <w:color w:val="000000"/>
          <w:szCs w:val="24"/>
        </w:rPr>
        <w:t xml:space="preserve"> civil</w:t>
      </w:r>
      <w:r w:rsidRPr="002B244E">
        <w:rPr>
          <w:color w:val="000000"/>
          <w:szCs w:val="24"/>
        </w:rPr>
        <w:t xml:space="preserve"> forskning och utbildning. Därför föreslås en omförde</w:t>
      </w:r>
      <w:r w:rsidR="004C7401" w:rsidRPr="002B244E">
        <w:rPr>
          <w:color w:val="000000"/>
          <w:szCs w:val="24"/>
        </w:rPr>
        <w:t>lning inom statsbudgeten på 500 </w:t>
      </w:r>
      <w:r w:rsidRPr="002B244E">
        <w:rPr>
          <w:color w:val="000000"/>
          <w:szCs w:val="24"/>
        </w:rPr>
        <w:t>miljoner kronor från anslag 6</w:t>
      </w:r>
      <w:r w:rsidR="001047C2" w:rsidRPr="002B244E">
        <w:rPr>
          <w:color w:val="000000"/>
          <w:szCs w:val="24"/>
        </w:rPr>
        <w:t>:</w:t>
      </w:r>
      <w:r w:rsidRPr="002B244E">
        <w:rPr>
          <w:color w:val="000000"/>
          <w:szCs w:val="24"/>
        </w:rPr>
        <w:t>3 till utgiftsområde 16 Utbildning och universitetsforskning.</w:t>
      </w:r>
    </w:p>
    <w:p w:rsidR="00A101F5" w:rsidRPr="002B244E" w:rsidRDefault="007C38C5">
      <w:pPr>
        <w:pStyle w:val="Rubrik1"/>
        <w:shd w:val="clear" w:color="000000" w:fill="auto"/>
      </w:pPr>
      <w:r w:rsidRPr="002B244E">
        <w:t>Pliktverket</w:t>
      </w:r>
    </w:p>
    <w:p w:rsidR="00CE6477" w:rsidRPr="002B244E" w:rsidRDefault="00F34857">
      <w:pPr>
        <w:shd w:val="clear" w:color="000000" w:fill="auto"/>
      </w:pPr>
      <w:r w:rsidRPr="002B244E">
        <w:t>Efters</w:t>
      </w:r>
      <w:r w:rsidR="00CE6477" w:rsidRPr="002B244E">
        <w:t xml:space="preserve">om Vänsterpartiet vill utöka antalet värnpliktiga bör Pliktverket </w:t>
      </w:r>
      <w:r w:rsidRPr="002B244E">
        <w:t>ko</w:t>
      </w:r>
      <w:r w:rsidRPr="002B244E">
        <w:t>m</w:t>
      </w:r>
      <w:r w:rsidRPr="002B244E">
        <w:t xml:space="preserve">penseras </w:t>
      </w:r>
      <w:r w:rsidR="00CE6477" w:rsidRPr="002B244E">
        <w:t>med 2</w:t>
      </w:r>
      <w:r w:rsidR="004C7401" w:rsidRPr="002B244E">
        <w:t> </w:t>
      </w:r>
      <w:r w:rsidRPr="002B244E">
        <w:t>miljoner kronor för</w:t>
      </w:r>
      <w:r w:rsidR="001767F3" w:rsidRPr="002B244E">
        <w:t xml:space="preserve"> den låga löneomräkningen så att det är möjligt att behålla all personal.</w:t>
      </w:r>
    </w:p>
    <w:p w:rsidR="002670BA" w:rsidRPr="002B244E" w:rsidRDefault="002670BA">
      <w:pPr>
        <w:pStyle w:val="Rubrik1"/>
        <w:shd w:val="clear" w:color="000000" w:fill="auto"/>
      </w:pPr>
      <w:r w:rsidRPr="002B244E">
        <w:t>Totalförsvarets forskningsinstitut</w:t>
      </w:r>
    </w:p>
    <w:p w:rsidR="00880E29" w:rsidRPr="002B244E" w:rsidRDefault="00286E97">
      <w:pPr>
        <w:shd w:val="clear" w:color="000000" w:fill="auto"/>
      </w:pPr>
      <w:r w:rsidRPr="002B244E">
        <w:t>Vänsterpartiet är för en restriktiv vapenexport</w:t>
      </w:r>
      <w:r w:rsidR="001B6A47" w:rsidRPr="002B244E">
        <w:t>. A</w:t>
      </w:r>
      <w:r w:rsidR="000A5AF1" w:rsidRPr="002B244E">
        <w:t xml:space="preserve">nslag 6:7 </w:t>
      </w:r>
      <w:r w:rsidR="001B6A47" w:rsidRPr="002B244E">
        <w:t xml:space="preserve">innefattar </w:t>
      </w:r>
      <w:r w:rsidR="004C7401" w:rsidRPr="002B244E">
        <w:t xml:space="preserve">bl.a. </w:t>
      </w:r>
      <w:r w:rsidR="006B6A09" w:rsidRPr="002B244E">
        <w:t>finansiering av åtgärder för att främja den svenska försvarsindustrins expor</w:t>
      </w:r>
      <w:r w:rsidR="006B6A09" w:rsidRPr="002B244E">
        <w:t>t</w:t>
      </w:r>
      <w:r w:rsidR="006B6A09" w:rsidRPr="002B244E">
        <w:t>verksam</w:t>
      </w:r>
      <w:r w:rsidR="004C7401" w:rsidRPr="002B244E">
        <w:t>het</w:t>
      </w:r>
      <w:r w:rsidR="00725673" w:rsidRPr="002B244E">
        <w:t>. Vänsterpar</w:t>
      </w:r>
      <w:r w:rsidR="00D060CA" w:rsidRPr="002B244E">
        <w:t>tiet för</w:t>
      </w:r>
      <w:r w:rsidR="001047C2" w:rsidRPr="002B244E">
        <w:t>e</w:t>
      </w:r>
      <w:r w:rsidR="00D060CA" w:rsidRPr="002B244E">
        <w:t>slår därför en besparing</w:t>
      </w:r>
      <w:r w:rsidR="004C7401" w:rsidRPr="002B244E">
        <w:t xml:space="preserve"> på området med 20 </w:t>
      </w:r>
      <w:r w:rsidR="00725673" w:rsidRPr="002B244E">
        <w:t>miljoner kronor.</w:t>
      </w:r>
    </w:p>
    <w:p w:rsidR="0049188B" w:rsidRPr="002B244E" w:rsidRDefault="002670BA">
      <w:pPr>
        <w:pStyle w:val="Rubrik1"/>
        <w:shd w:val="clear" w:color="000000" w:fill="auto"/>
      </w:pPr>
      <w:r w:rsidRPr="002B244E">
        <w:t>Internationella materielsamarbeten, industrifrågor och exportstöd m.m</w:t>
      </w:r>
      <w:r w:rsidR="001047C2" w:rsidRPr="002B244E">
        <w:t>.</w:t>
      </w:r>
    </w:p>
    <w:p w:rsidR="008B6B69" w:rsidRPr="002B244E" w:rsidRDefault="00EF7328">
      <w:pPr>
        <w:shd w:val="clear" w:color="000000" w:fill="auto"/>
      </w:pPr>
      <w:r w:rsidRPr="002B244E">
        <w:t>Även inom</w:t>
      </w:r>
      <w:r w:rsidR="002670BA" w:rsidRPr="002B244E">
        <w:t xml:space="preserve"> anslag</w:t>
      </w:r>
      <w:r w:rsidRPr="002B244E">
        <w:t xml:space="preserve"> 6:10</w:t>
      </w:r>
      <w:r w:rsidR="002670BA" w:rsidRPr="002B244E">
        <w:t xml:space="preserve"> finns ekonomisk</w:t>
      </w:r>
      <w:r w:rsidR="001047C2" w:rsidRPr="002B244E">
        <w:t>t</w:t>
      </w:r>
      <w:r w:rsidR="002670BA" w:rsidRPr="002B244E">
        <w:t xml:space="preserve"> stöd till vapenexport.</w:t>
      </w:r>
      <w:r w:rsidR="003E25B4" w:rsidRPr="002B244E">
        <w:t xml:space="preserve"> Vänsterpartiet föreslår därför en nedskärning på </w:t>
      </w:r>
      <w:r w:rsidR="004C7401" w:rsidRPr="002B244E">
        <w:t>25 </w:t>
      </w:r>
      <w:r w:rsidR="002670BA" w:rsidRPr="002B244E">
        <w:t>miljoner kronor.</w:t>
      </w:r>
    </w:p>
    <w:p w:rsidR="0049188B" w:rsidRPr="002B244E" w:rsidRDefault="0049188B">
      <w:pPr>
        <w:pStyle w:val="Rubrik1"/>
        <w:shd w:val="clear" w:color="000000" w:fill="auto"/>
      </w:pPr>
      <w:r w:rsidRPr="002B244E">
        <w:t>Kustbevakningen</w:t>
      </w:r>
    </w:p>
    <w:p w:rsidR="00A55422" w:rsidRPr="002B244E" w:rsidRDefault="00A55422">
      <w:pPr>
        <w:shd w:val="clear" w:color="000000" w:fill="auto"/>
      </w:pPr>
      <w:r w:rsidRPr="002B244E">
        <w:t>Vänsterpartiet anser att Kustbevakningen fyller en viktig funktion och för</w:t>
      </w:r>
      <w:r w:rsidRPr="002B244E">
        <w:t>e</w:t>
      </w:r>
      <w:r w:rsidRPr="002B244E">
        <w:t xml:space="preserve">slår därför en kompensation för den låga löneomräkningen på 11 miljoner </w:t>
      </w:r>
      <w:r w:rsidR="004C7401" w:rsidRPr="002B244E">
        <w:t xml:space="preserve">kronor </w:t>
      </w:r>
      <w:r w:rsidRPr="002B244E">
        <w:t>så att personalstyrkan kan behållas även fortsättningsvis. Vänsterpart</w:t>
      </w:r>
      <w:r w:rsidRPr="002B244E">
        <w:t>i</w:t>
      </w:r>
      <w:r w:rsidRPr="002B244E">
        <w:t>et välkomnar även vidare ekonomiska satsningar på Kustbevakningen i fra</w:t>
      </w:r>
      <w:r w:rsidRPr="002B244E">
        <w:t>m</w:t>
      </w:r>
      <w:r w:rsidRPr="002B244E">
        <w:t>tiden.</w:t>
      </w:r>
    </w:p>
    <w:p w:rsidR="0049188B" w:rsidRPr="002B244E" w:rsidRDefault="0049188B">
      <w:pPr>
        <w:pStyle w:val="Rubrik1"/>
        <w:shd w:val="clear" w:color="000000" w:fill="auto"/>
      </w:pPr>
      <w:r w:rsidRPr="002B244E">
        <w:t>Krisberedskapsmyndigheten</w:t>
      </w:r>
    </w:p>
    <w:p w:rsidR="0060297C" w:rsidRPr="002B244E" w:rsidRDefault="00A55422">
      <w:pPr>
        <w:shd w:val="clear" w:color="000000" w:fill="auto"/>
      </w:pPr>
      <w:r w:rsidRPr="002B244E">
        <w:t>Även K</w:t>
      </w:r>
      <w:r w:rsidR="000C43CC" w:rsidRPr="002B244E">
        <w:t>risberedskapsmyndigheten bör kompenseras för</w:t>
      </w:r>
      <w:r w:rsidR="004C7401" w:rsidRPr="002B244E">
        <w:t xml:space="preserve"> den låga löneomrä</w:t>
      </w:r>
      <w:r w:rsidR="004C7401" w:rsidRPr="002B244E">
        <w:t>k</w:t>
      </w:r>
      <w:r w:rsidR="004C7401" w:rsidRPr="002B244E">
        <w:t>ningen med 2 </w:t>
      </w:r>
      <w:r w:rsidR="000C43CC" w:rsidRPr="002B244E">
        <w:t>miljoner</w:t>
      </w:r>
      <w:r w:rsidR="004C7401" w:rsidRPr="002B244E">
        <w:t xml:space="preserve"> kronor</w:t>
      </w:r>
      <w:r w:rsidR="000C43CC" w:rsidRPr="002B244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244E">
        <w:trPr>
          <w:cantSplit/>
        </w:trPr>
        <w:tc>
          <w:tcPr>
            <w:tcW w:w="3046" w:type="dxa"/>
          </w:tcPr>
          <w:p w:rsidR="00F53D03" w:rsidRPr="002B244E" w:rsidRDefault="00F53D03">
            <w:pPr>
              <w:pStyle w:val="UnderskriftDatum"/>
              <w:shd w:val="clear" w:color="000000" w:fill="auto"/>
              <w:spacing w:before="240"/>
            </w:pPr>
            <w:r w:rsidRPr="002B244E">
              <w:t>Stockholm den 28 september 2007</w:t>
            </w:r>
          </w:p>
        </w:tc>
        <w:tc>
          <w:tcPr>
            <w:tcW w:w="3047" w:type="dxa"/>
          </w:tcPr>
          <w:p w:rsidR="00F53D03" w:rsidRPr="002B244E" w:rsidRDefault="00F53D0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B244E">
        <w:trPr>
          <w:cantSplit/>
        </w:trPr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Lars Ohly (v)</w:t>
            </w:r>
          </w:p>
        </w:tc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</w:p>
        </w:tc>
      </w:tr>
      <w:tr w:rsidR="00000000" w:rsidRPr="002B244E">
        <w:trPr>
          <w:cantSplit/>
        </w:trPr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Marianne Berg (v)</w:t>
            </w:r>
          </w:p>
        </w:tc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Wiwi-Anne Johansson (v)</w:t>
            </w:r>
          </w:p>
        </w:tc>
      </w:tr>
      <w:tr w:rsidR="00000000" w:rsidRPr="002B244E">
        <w:trPr>
          <w:cantSplit/>
        </w:trPr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Hans Linde (v)</w:t>
            </w:r>
          </w:p>
        </w:tc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Elina Linna (v)</w:t>
            </w:r>
          </w:p>
        </w:tc>
      </w:tr>
      <w:tr w:rsidR="00000000" w:rsidRPr="002B244E">
        <w:trPr>
          <w:cantSplit/>
        </w:trPr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Kent Persson (v)</w:t>
            </w:r>
          </w:p>
        </w:tc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Alice Åström (v)</w:t>
            </w:r>
          </w:p>
        </w:tc>
      </w:tr>
      <w:tr w:rsidR="00000000" w:rsidRPr="002B244E">
        <w:trPr>
          <w:cantSplit/>
        </w:trPr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  <w:r w:rsidRPr="002B244E">
              <w:t>Gunilla Wahlén (v)</w:t>
            </w:r>
          </w:p>
        </w:tc>
        <w:tc>
          <w:tcPr>
            <w:tcW w:w="3046" w:type="dxa"/>
          </w:tcPr>
          <w:p w:rsidR="00F53D03" w:rsidRPr="002B244E" w:rsidRDefault="00F53D03">
            <w:pPr>
              <w:pStyle w:val="Underskrifter"/>
              <w:shd w:val="clear" w:color="000000" w:fill="auto"/>
            </w:pPr>
          </w:p>
        </w:tc>
      </w:tr>
    </w:tbl>
    <w:p w:rsidR="00A101F5" w:rsidRPr="002B244E" w:rsidRDefault="00A101F5">
      <w:pPr>
        <w:pStyle w:val="Normaltindrag"/>
        <w:shd w:val="clear" w:color="000000" w:fill="auto"/>
      </w:pPr>
    </w:p>
    <w:sectPr w:rsidR="00A101F5" w:rsidRPr="002B244E" w:rsidSect="00104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D03" w:rsidRPr="002B244E" w:rsidRDefault="00F53D03">
      <w:r w:rsidRPr="002B244E">
        <w:separator/>
      </w:r>
    </w:p>
  </w:endnote>
  <w:endnote w:type="continuationSeparator" w:id="0">
    <w:p w:rsidR="00F53D03" w:rsidRPr="002B244E" w:rsidRDefault="00F53D03">
      <w:r w:rsidRPr="002B2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D49" w:rsidRPr="002B244E" w:rsidRDefault="002B244E" w:rsidP="001047C2">
    <w:pPr>
      <w:pStyle w:val="Sidfot"/>
    </w:pPr>
    <w:r w:rsidRPr="002B24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25108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7C2" w:rsidRDefault="00F53D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047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47C2" w:rsidRDefault="00F53D03">
                    <w:pPr>
                      <w:pStyle w:val="NormalS5sidnrV"/>
                    </w:pPr>
                    <w:r>
                      <w:fldChar w:fldCharType="begin"/>
                    </w:r>
                    <w:r w:rsidR="001047C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6D2" w:rsidRPr="002B244E" w:rsidRDefault="002B244E" w:rsidP="001047C2">
    <w:pPr>
      <w:pStyle w:val="Sidfot"/>
    </w:pPr>
    <w:r w:rsidRPr="002B24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0252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7C2" w:rsidRDefault="00F53D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047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338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7C2" w:rsidRDefault="00F53D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047C2">
                      <w:instrText xml:space="preserve"> PAGE *\charformat</w:instrText>
                    </w:r>
                    <w:r>
                      <w:fldChar w:fldCharType="separate"/>
                    </w:r>
                    <w:r w:rsidR="00B0338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6D2" w:rsidRPr="002B244E" w:rsidRDefault="002B244E" w:rsidP="001047C2">
    <w:pPr>
      <w:pStyle w:val="Sidfot"/>
    </w:pPr>
    <w:r w:rsidRPr="002B24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860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7C2" w:rsidRDefault="00F53D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047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7C2" w:rsidRDefault="00F53D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047C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D03" w:rsidRPr="002B244E" w:rsidRDefault="00F53D03">
      <w:r w:rsidRPr="002B244E">
        <w:separator/>
      </w:r>
    </w:p>
  </w:footnote>
  <w:footnote w:type="continuationSeparator" w:id="0">
    <w:p w:rsidR="00F53D03" w:rsidRPr="002B244E" w:rsidRDefault="00F53D03">
      <w:r w:rsidRPr="002B2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D49" w:rsidRPr="002B244E" w:rsidRDefault="002B244E" w:rsidP="001047C2">
    <w:pPr>
      <w:pStyle w:val="Sidhuvud"/>
    </w:pPr>
    <w:r w:rsidRPr="002B24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20536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7C2" w:rsidRDefault="00F53D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047C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338A">
                            <w:t>2007/08</w:t>
                          </w:r>
                          <w:r>
                            <w:fldChar w:fldCharType="end"/>
                          </w:r>
                          <w:r w:rsidR="001047C2">
                            <w:t>:</w:t>
                          </w:r>
                          <w:r>
                            <w:fldChar w:fldCharType="begin"/>
                          </w:r>
                          <w:r w:rsidR="001047C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338A">
                            <w:t>Fö233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47C2" w:rsidRDefault="00F53D03">
                    <w:pPr>
                      <w:pStyle w:val="KantRubrikS5V"/>
                    </w:pPr>
                    <w:r>
                      <w:fldChar w:fldCharType="begin"/>
                    </w:r>
                    <w:r w:rsidR="001047C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338A">
                      <w:t>2007/08</w:t>
                    </w:r>
                    <w:r>
                      <w:fldChar w:fldCharType="end"/>
                    </w:r>
                    <w:r w:rsidR="001047C2">
                      <w:t>:</w:t>
                    </w:r>
                    <w:r>
                      <w:fldChar w:fldCharType="begin"/>
                    </w:r>
                    <w:r w:rsidR="001047C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338A">
                      <w:t>Fö233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6D2" w:rsidRPr="002B244E" w:rsidRDefault="002B244E" w:rsidP="001047C2">
    <w:pPr>
      <w:pStyle w:val="Sidhuvud"/>
    </w:pPr>
    <w:r w:rsidRPr="002B24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77641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7C2" w:rsidRDefault="00F53D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047C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338A">
                            <w:t>2007/08</w:t>
                          </w:r>
                          <w:r>
                            <w:fldChar w:fldCharType="end"/>
                          </w:r>
                          <w:r w:rsidR="001047C2">
                            <w:t>:</w:t>
                          </w:r>
                          <w:r>
                            <w:fldChar w:fldCharType="begin"/>
                          </w:r>
                          <w:r w:rsidR="001047C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338A">
                            <w:t>Fö233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47C2" w:rsidRDefault="00F53D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047C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338A">
                      <w:t>2007/08</w:t>
                    </w:r>
                    <w:r>
                      <w:fldChar w:fldCharType="end"/>
                    </w:r>
                    <w:r w:rsidR="001047C2">
                      <w:t>:</w:t>
                    </w:r>
                    <w:r>
                      <w:fldChar w:fldCharType="begin"/>
                    </w:r>
                    <w:r w:rsidR="001047C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338A">
                      <w:t>Fö233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D03" w:rsidRPr="002B244E" w:rsidRDefault="00F53D03">
    <w:pPr>
      <w:pStyle w:val="FSHNormal"/>
      <w:tabs>
        <w:tab w:val="right" w:pos="5840"/>
      </w:tabs>
    </w:pPr>
    <w:r w:rsidRPr="002B244E">
      <w:br/>
    </w:r>
    <w:r w:rsidRPr="002B244E">
      <w:fldChar w:fldCharType="begin" w:fldLock="1"/>
    </w:r>
    <w:r w:rsidRPr="002B244E">
      <w:instrText xml:space="preserve"> DOCPROPERTY</w:instrText>
    </w:r>
    <w:r w:rsidRPr="002B244E">
      <w:rPr>
        <w:sz w:val="18"/>
      </w:rPr>
      <w:instrText xml:space="preserve"> "YearUser" *\charformat </w:instrText>
    </w:r>
    <w:r w:rsidRPr="002B244E">
      <w:fldChar w:fldCharType="separate"/>
    </w:r>
    <w:r w:rsidRPr="002B244E">
      <w:t>2007/08</w:t>
    </w:r>
    <w:r w:rsidRPr="002B244E">
      <w:fldChar w:fldCharType="end"/>
    </w:r>
    <w:r w:rsidRPr="002B244E">
      <w:t xml:space="preserve"> </w:t>
    </w:r>
    <w:r w:rsidRPr="002B244E">
      <w:tab/>
      <w:t xml:space="preserve">mnr: </w:t>
    </w:r>
    <w:r w:rsidRPr="002B244E">
      <w:fldChar w:fldCharType="begin" w:fldLock="1"/>
    </w:r>
    <w:r w:rsidRPr="002B244E">
      <w:instrText xml:space="preserve"> DOCPROPERTY</w:instrText>
    </w:r>
    <w:r w:rsidRPr="002B244E">
      <w:rPr>
        <w:sz w:val="18"/>
      </w:rPr>
      <w:instrText xml:space="preserve"> "Motionsnummer" *\charformat </w:instrText>
    </w:r>
    <w:r w:rsidRPr="002B244E">
      <w:fldChar w:fldCharType="separate"/>
    </w:r>
    <w:r w:rsidRPr="002B244E">
      <w:t>Fö233</w:t>
    </w:r>
    <w:r w:rsidRPr="002B244E">
      <w:fldChar w:fldCharType="end"/>
    </w:r>
    <w:r w:rsidRPr="002B244E">
      <w:br/>
    </w:r>
    <w:r w:rsidRPr="002B244E">
      <w:fldChar w:fldCharType="begin" w:fldLock="1"/>
    </w:r>
    <w:r w:rsidRPr="002B244E">
      <w:instrText xml:space="preserve"> DOCPROPERTY</w:instrText>
    </w:r>
    <w:r w:rsidRPr="002B244E">
      <w:rPr>
        <w:sz w:val="18"/>
      </w:rPr>
      <w:instrText xml:space="preserve"> "Samling" *\charformat </w:instrText>
    </w:r>
    <w:r w:rsidRPr="002B244E">
      <w:fldChar w:fldCharType="end"/>
    </w:r>
    <w:r w:rsidRPr="002B244E">
      <w:tab/>
      <w:t xml:space="preserve">pnr: </w:t>
    </w:r>
    <w:r w:rsidRPr="002B244E">
      <w:fldChar w:fldCharType="begin" w:fldLock="1"/>
    </w:r>
    <w:r w:rsidRPr="002B244E">
      <w:instrText xml:space="preserve"> DOCPROPERTY</w:instrText>
    </w:r>
    <w:r w:rsidRPr="002B244E">
      <w:rPr>
        <w:sz w:val="18"/>
      </w:rPr>
      <w:instrText xml:space="preserve"> "Partinummer" *\charformat </w:instrText>
    </w:r>
    <w:r w:rsidRPr="002B244E">
      <w:fldChar w:fldCharType="separate"/>
    </w:r>
    <w:r w:rsidRPr="002B244E">
      <w:t>v350</w:t>
    </w:r>
    <w:r w:rsidRPr="002B244E">
      <w:fldChar w:fldCharType="end"/>
    </w:r>
  </w:p>
  <w:p w:rsidR="00F53D03" w:rsidRPr="002B244E" w:rsidRDefault="00F53D03">
    <w:pPr>
      <w:pStyle w:val="FSHRub1"/>
    </w:pPr>
    <w:r w:rsidRPr="002B244E">
      <w:t>Motion till riksdagen</w:t>
    </w:r>
    <w:r w:rsidRPr="002B244E">
      <w:br/>
    </w:r>
    <w:r w:rsidRPr="002B244E">
      <w:fldChar w:fldCharType="begin" w:fldLock="1"/>
    </w:r>
    <w:r w:rsidRPr="002B244E">
      <w:instrText xml:space="preserve"> DOCPROPERTY "YearUser" *\charformat </w:instrText>
    </w:r>
    <w:r w:rsidRPr="002B244E">
      <w:fldChar w:fldCharType="separate"/>
    </w:r>
    <w:r w:rsidRPr="002B244E">
      <w:t>2007/08</w:t>
    </w:r>
    <w:r w:rsidRPr="002B244E">
      <w:fldChar w:fldCharType="end"/>
    </w:r>
    <w:r w:rsidRPr="002B244E">
      <w:t>:</w:t>
    </w:r>
    <w:r w:rsidRPr="002B244E">
      <w:fldChar w:fldCharType="begin" w:fldLock="1"/>
    </w:r>
    <w:r w:rsidRPr="002B244E">
      <w:instrText xml:space="preserve"> DOCPROPERTY "Motionsnummer" *\charformat </w:instrText>
    </w:r>
    <w:r w:rsidRPr="002B244E">
      <w:fldChar w:fldCharType="separate"/>
    </w:r>
    <w:r w:rsidRPr="002B244E">
      <w:t>Fö233</w:t>
    </w:r>
    <w:r w:rsidRPr="002B244E">
      <w:fldChar w:fldCharType="end"/>
    </w:r>
  </w:p>
  <w:p w:rsidR="00F53D03" w:rsidRPr="002B244E" w:rsidRDefault="00F53D03">
    <w:pPr>
      <w:pStyle w:val="FSHNormalS5"/>
    </w:pPr>
    <w:r w:rsidRPr="002B244E">
      <w:fldChar w:fldCharType="begin" w:fldLock="1"/>
    </w:r>
    <w:r w:rsidRPr="002B244E">
      <w:instrText xml:space="preserve"> DOCPROPERTY "MotionarText" *\charformat </w:instrText>
    </w:r>
    <w:r w:rsidRPr="002B244E">
      <w:fldChar w:fldCharType="separate"/>
    </w:r>
    <w:r w:rsidRPr="002B244E">
      <w:t>av Lars Ohly m.fl. (v)</w:t>
    </w:r>
    <w:r w:rsidRPr="002B244E">
      <w:fldChar w:fldCharType="end"/>
    </w:r>
    <w:r w:rsidRPr="002B244E">
      <w:br/>
    </w:r>
    <w:r w:rsidRPr="002B244E">
      <w:fldChar w:fldCharType="begin" w:fldLock="1"/>
    </w:r>
    <w:r w:rsidRPr="002B244E">
      <w:instrText xml:space="preserve"> DOCPROPERTY "SvarFrasKort" *\charformat </w:instrText>
    </w:r>
    <w:r w:rsidRPr="002B244E">
      <w:fldChar w:fldCharType="end"/>
    </w:r>
  </w:p>
  <w:p w:rsidR="00F53D03" w:rsidRPr="002B244E" w:rsidRDefault="00F53D03">
    <w:pPr>
      <w:pStyle w:val="FSHTitel"/>
    </w:pPr>
    <w:r w:rsidRPr="002B244E">
      <w:fldChar w:fldCharType="begin" w:fldLock="1"/>
    </w:r>
    <w:r w:rsidRPr="002B244E">
      <w:instrText xml:space="preserve"> DOCPROPERTY</w:instrText>
    </w:r>
    <w:r w:rsidRPr="002B244E">
      <w:rPr>
        <w:sz w:val="18"/>
      </w:rPr>
      <w:instrText xml:space="preserve"> "RubrikSvar" *\charformat </w:instrText>
    </w:r>
    <w:r w:rsidRPr="002B244E">
      <w:fldChar w:fldCharType="separate"/>
    </w:r>
    <w:r w:rsidRPr="002B244E">
      <w:t>Utgiftsområde 6 Försvar samt beredskap mot sårbarhet</w:t>
    </w:r>
    <w:r w:rsidRPr="002B244E">
      <w:fldChar w:fldCharType="end"/>
    </w:r>
  </w:p>
  <w:p w:rsidR="00F53D03" w:rsidRPr="002B244E" w:rsidRDefault="00F53D03">
    <w:pPr>
      <w:pStyle w:val="Normal00"/>
    </w:pPr>
  </w:p>
  <w:p w:rsidR="001047C2" w:rsidRPr="002B244E" w:rsidRDefault="001047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D763828"/>
    <w:multiLevelType w:val="hybridMultilevel"/>
    <w:tmpl w:val="C7D832E8"/>
    <w:lvl w:ilvl="0" w:tplc="C714BE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1531750"/>
    <w:multiLevelType w:val="hybridMultilevel"/>
    <w:tmpl w:val="0664952C"/>
    <w:lvl w:ilvl="0" w:tplc="398624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BDE0B8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606CA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B6D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2CC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4C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E27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AB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AC1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064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FD5ED2"/>
    <w:multiLevelType w:val="hybridMultilevel"/>
    <w:tmpl w:val="DAC65CC0"/>
    <w:lvl w:ilvl="0" w:tplc="68EA2F0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1783036">
    <w:abstractNumId w:val="8"/>
  </w:num>
  <w:num w:numId="2" w16cid:durableId="1936402876">
    <w:abstractNumId w:val="9"/>
  </w:num>
  <w:num w:numId="3" w16cid:durableId="1238513242">
    <w:abstractNumId w:val="8"/>
  </w:num>
  <w:num w:numId="4" w16cid:durableId="1305742380">
    <w:abstractNumId w:val="9"/>
  </w:num>
  <w:num w:numId="5" w16cid:durableId="446891159">
    <w:abstractNumId w:val="15"/>
  </w:num>
  <w:num w:numId="6" w16cid:durableId="1088310410">
    <w:abstractNumId w:val="10"/>
  </w:num>
  <w:num w:numId="7" w16cid:durableId="562838533">
    <w:abstractNumId w:val="11"/>
  </w:num>
  <w:num w:numId="8" w16cid:durableId="1268348432">
    <w:abstractNumId w:val="13"/>
  </w:num>
  <w:num w:numId="9" w16cid:durableId="563759838">
    <w:abstractNumId w:val="8"/>
  </w:num>
  <w:num w:numId="10" w16cid:durableId="1806387090">
    <w:abstractNumId w:val="3"/>
  </w:num>
  <w:num w:numId="11" w16cid:durableId="1901624383">
    <w:abstractNumId w:val="2"/>
  </w:num>
  <w:num w:numId="12" w16cid:durableId="1136290319">
    <w:abstractNumId w:val="1"/>
  </w:num>
  <w:num w:numId="13" w16cid:durableId="116261371">
    <w:abstractNumId w:val="0"/>
  </w:num>
  <w:num w:numId="14" w16cid:durableId="565847601">
    <w:abstractNumId w:val="9"/>
  </w:num>
  <w:num w:numId="15" w16cid:durableId="1512451773">
    <w:abstractNumId w:val="7"/>
  </w:num>
  <w:num w:numId="16" w16cid:durableId="1347442512">
    <w:abstractNumId w:val="6"/>
  </w:num>
  <w:num w:numId="17" w16cid:durableId="1549146015">
    <w:abstractNumId w:val="5"/>
  </w:num>
  <w:num w:numId="18" w16cid:durableId="1814248419">
    <w:abstractNumId w:val="4"/>
  </w:num>
  <w:num w:numId="19" w16cid:durableId="936521868">
    <w:abstractNumId w:val="12"/>
  </w:num>
  <w:num w:numId="20" w16cid:durableId="356127686">
    <w:abstractNumId w:val="14"/>
  </w:num>
  <w:num w:numId="21" w16cid:durableId="1412434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F1A2565D-4D2F-4887-9B1D-3D7BE825DA8C},{25384487-954A-4B3D-A759-FB67661DCC6F},{93F71F64-B3B2-464F-BCC5-C49DA1B8F0E4},{88576935-7337-4AFA-923F-6E59D33EEBED},{8B923F15-4996-4696-A089-6A5BE8BF8E1B},{CBCE2632-605E-484A-97AC-47C334EA7100},{7E0BF71E-CD03-4DBF-9F51-3B5B798F2741},{233588E7-F7BD-4F60-BEE5-22A19EE80FB2}"/>
  </w:docVars>
  <w:rsids>
    <w:rsidRoot w:val="002B244E"/>
    <w:rsid w:val="00002742"/>
    <w:rsid w:val="00002C2B"/>
    <w:rsid w:val="000220F8"/>
    <w:rsid w:val="00034058"/>
    <w:rsid w:val="000367BE"/>
    <w:rsid w:val="00040A89"/>
    <w:rsid w:val="00040D14"/>
    <w:rsid w:val="0004381F"/>
    <w:rsid w:val="00063428"/>
    <w:rsid w:val="00064BC3"/>
    <w:rsid w:val="00066474"/>
    <w:rsid w:val="000665E6"/>
    <w:rsid w:val="00066775"/>
    <w:rsid w:val="00066879"/>
    <w:rsid w:val="00072FB9"/>
    <w:rsid w:val="0007598F"/>
    <w:rsid w:val="000854F2"/>
    <w:rsid w:val="000A0B37"/>
    <w:rsid w:val="000A5AF1"/>
    <w:rsid w:val="000B2040"/>
    <w:rsid w:val="000C43CC"/>
    <w:rsid w:val="000E30C7"/>
    <w:rsid w:val="000E431D"/>
    <w:rsid w:val="000E48DA"/>
    <w:rsid w:val="000E5207"/>
    <w:rsid w:val="000F5ADD"/>
    <w:rsid w:val="00100531"/>
    <w:rsid w:val="0010382E"/>
    <w:rsid w:val="001047C2"/>
    <w:rsid w:val="00107AF5"/>
    <w:rsid w:val="00110679"/>
    <w:rsid w:val="00117045"/>
    <w:rsid w:val="00136141"/>
    <w:rsid w:val="00140025"/>
    <w:rsid w:val="00146FE6"/>
    <w:rsid w:val="00166D90"/>
    <w:rsid w:val="00167DF3"/>
    <w:rsid w:val="00170803"/>
    <w:rsid w:val="00173FAA"/>
    <w:rsid w:val="001767F3"/>
    <w:rsid w:val="00177CC2"/>
    <w:rsid w:val="001867A9"/>
    <w:rsid w:val="0019171D"/>
    <w:rsid w:val="001921C4"/>
    <w:rsid w:val="001923A4"/>
    <w:rsid w:val="001A25D5"/>
    <w:rsid w:val="001A2624"/>
    <w:rsid w:val="001A2A2B"/>
    <w:rsid w:val="001A65D9"/>
    <w:rsid w:val="001A7C1A"/>
    <w:rsid w:val="001B436B"/>
    <w:rsid w:val="001B6A47"/>
    <w:rsid w:val="001C38B6"/>
    <w:rsid w:val="001C43B0"/>
    <w:rsid w:val="001E0043"/>
    <w:rsid w:val="001F10E3"/>
    <w:rsid w:val="001F1803"/>
    <w:rsid w:val="001F4981"/>
    <w:rsid w:val="00201DFB"/>
    <w:rsid w:val="00204A63"/>
    <w:rsid w:val="00212FF1"/>
    <w:rsid w:val="002166B7"/>
    <w:rsid w:val="00230193"/>
    <w:rsid w:val="00240A19"/>
    <w:rsid w:val="00244D0B"/>
    <w:rsid w:val="0025068A"/>
    <w:rsid w:val="00264262"/>
    <w:rsid w:val="002670BA"/>
    <w:rsid w:val="002671BA"/>
    <w:rsid w:val="002818D3"/>
    <w:rsid w:val="00286E97"/>
    <w:rsid w:val="002911A7"/>
    <w:rsid w:val="002943C8"/>
    <w:rsid w:val="00295E6D"/>
    <w:rsid w:val="002A2A6B"/>
    <w:rsid w:val="002A4DD9"/>
    <w:rsid w:val="002B244E"/>
    <w:rsid w:val="002B607C"/>
    <w:rsid w:val="002C2373"/>
    <w:rsid w:val="002D11A8"/>
    <w:rsid w:val="002F7CC2"/>
    <w:rsid w:val="002F7FA1"/>
    <w:rsid w:val="00303F68"/>
    <w:rsid w:val="003061C9"/>
    <w:rsid w:val="00311802"/>
    <w:rsid w:val="00313058"/>
    <w:rsid w:val="00314F87"/>
    <w:rsid w:val="0032051D"/>
    <w:rsid w:val="003303B5"/>
    <w:rsid w:val="0033117C"/>
    <w:rsid w:val="003366E9"/>
    <w:rsid w:val="00336C9B"/>
    <w:rsid w:val="00342FB4"/>
    <w:rsid w:val="0036062A"/>
    <w:rsid w:val="0036065A"/>
    <w:rsid w:val="00361383"/>
    <w:rsid w:val="0036756E"/>
    <w:rsid w:val="003713FC"/>
    <w:rsid w:val="003866EC"/>
    <w:rsid w:val="00386AC2"/>
    <w:rsid w:val="00391AF5"/>
    <w:rsid w:val="003A3205"/>
    <w:rsid w:val="003B418B"/>
    <w:rsid w:val="003B79EE"/>
    <w:rsid w:val="003C45A8"/>
    <w:rsid w:val="003C7961"/>
    <w:rsid w:val="003E25B4"/>
    <w:rsid w:val="003F100A"/>
    <w:rsid w:val="003F3630"/>
    <w:rsid w:val="004035A9"/>
    <w:rsid w:val="00422C5F"/>
    <w:rsid w:val="00445271"/>
    <w:rsid w:val="00447A04"/>
    <w:rsid w:val="004527C3"/>
    <w:rsid w:val="00456287"/>
    <w:rsid w:val="00465B3C"/>
    <w:rsid w:val="00470604"/>
    <w:rsid w:val="00476CE5"/>
    <w:rsid w:val="00487F7A"/>
    <w:rsid w:val="0049188B"/>
    <w:rsid w:val="004971B2"/>
    <w:rsid w:val="004A0504"/>
    <w:rsid w:val="004A7037"/>
    <w:rsid w:val="004B5278"/>
    <w:rsid w:val="004B5683"/>
    <w:rsid w:val="004B72BF"/>
    <w:rsid w:val="004C7401"/>
    <w:rsid w:val="004C7A3F"/>
    <w:rsid w:val="004D4976"/>
    <w:rsid w:val="004D7823"/>
    <w:rsid w:val="004E38D9"/>
    <w:rsid w:val="004F094C"/>
    <w:rsid w:val="004F22DC"/>
    <w:rsid w:val="004F25B8"/>
    <w:rsid w:val="005000F2"/>
    <w:rsid w:val="005057B1"/>
    <w:rsid w:val="00531020"/>
    <w:rsid w:val="0053454C"/>
    <w:rsid w:val="00534F0B"/>
    <w:rsid w:val="00545150"/>
    <w:rsid w:val="00545223"/>
    <w:rsid w:val="00545421"/>
    <w:rsid w:val="0055072A"/>
    <w:rsid w:val="005525A5"/>
    <w:rsid w:val="005544CE"/>
    <w:rsid w:val="00556649"/>
    <w:rsid w:val="00563207"/>
    <w:rsid w:val="00563696"/>
    <w:rsid w:val="00567774"/>
    <w:rsid w:val="005938EF"/>
    <w:rsid w:val="005956EA"/>
    <w:rsid w:val="005A0F91"/>
    <w:rsid w:val="005A113E"/>
    <w:rsid w:val="005B145B"/>
    <w:rsid w:val="005C441C"/>
    <w:rsid w:val="005D3F50"/>
    <w:rsid w:val="005D72CF"/>
    <w:rsid w:val="00601C6D"/>
    <w:rsid w:val="0060297C"/>
    <w:rsid w:val="00603940"/>
    <w:rsid w:val="00603CD4"/>
    <w:rsid w:val="006108C8"/>
    <w:rsid w:val="006346C1"/>
    <w:rsid w:val="006421A2"/>
    <w:rsid w:val="006443A4"/>
    <w:rsid w:val="0064483F"/>
    <w:rsid w:val="0064771D"/>
    <w:rsid w:val="00653DD0"/>
    <w:rsid w:val="00660B53"/>
    <w:rsid w:val="006724C9"/>
    <w:rsid w:val="00677B63"/>
    <w:rsid w:val="00690742"/>
    <w:rsid w:val="00690CAB"/>
    <w:rsid w:val="00692511"/>
    <w:rsid w:val="00692F98"/>
    <w:rsid w:val="00693FFF"/>
    <w:rsid w:val="006958B9"/>
    <w:rsid w:val="006A1005"/>
    <w:rsid w:val="006B6262"/>
    <w:rsid w:val="006B6A09"/>
    <w:rsid w:val="006C65EE"/>
    <w:rsid w:val="006E6487"/>
    <w:rsid w:val="00704067"/>
    <w:rsid w:val="007044C6"/>
    <w:rsid w:val="00725673"/>
    <w:rsid w:val="00727C6F"/>
    <w:rsid w:val="00737E26"/>
    <w:rsid w:val="0074086B"/>
    <w:rsid w:val="00740D6D"/>
    <w:rsid w:val="00743F76"/>
    <w:rsid w:val="00770030"/>
    <w:rsid w:val="00774959"/>
    <w:rsid w:val="007852B2"/>
    <w:rsid w:val="00794149"/>
    <w:rsid w:val="007975BF"/>
    <w:rsid w:val="007A1791"/>
    <w:rsid w:val="007B6138"/>
    <w:rsid w:val="007B67A7"/>
    <w:rsid w:val="007C38C5"/>
    <w:rsid w:val="007C39C4"/>
    <w:rsid w:val="007C6092"/>
    <w:rsid w:val="007E119E"/>
    <w:rsid w:val="007E1B17"/>
    <w:rsid w:val="008013B5"/>
    <w:rsid w:val="0080695D"/>
    <w:rsid w:val="00815A25"/>
    <w:rsid w:val="0082727B"/>
    <w:rsid w:val="008305DA"/>
    <w:rsid w:val="00846903"/>
    <w:rsid w:val="00857EC2"/>
    <w:rsid w:val="008643FE"/>
    <w:rsid w:val="00880E29"/>
    <w:rsid w:val="00883EBF"/>
    <w:rsid w:val="00891F28"/>
    <w:rsid w:val="00892562"/>
    <w:rsid w:val="008934BE"/>
    <w:rsid w:val="00893BF4"/>
    <w:rsid w:val="00894C5C"/>
    <w:rsid w:val="00896163"/>
    <w:rsid w:val="008B6B69"/>
    <w:rsid w:val="008B7014"/>
    <w:rsid w:val="008D7093"/>
    <w:rsid w:val="008F0A96"/>
    <w:rsid w:val="008F127E"/>
    <w:rsid w:val="009062A0"/>
    <w:rsid w:val="00913286"/>
    <w:rsid w:val="00926781"/>
    <w:rsid w:val="00934852"/>
    <w:rsid w:val="00942A09"/>
    <w:rsid w:val="009451E7"/>
    <w:rsid w:val="009544FB"/>
    <w:rsid w:val="00956E7F"/>
    <w:rsid w:val="00963118"/>
    <w:rsid w:val="00963C5A"/>
    <w:rsid w:val="009651FE"/>
    <w:rsid w:val="009657FB"/>
    <w:rsid w:val="00970D4F"/>
    <w:rsid w:val="00971D70"/>
    <w:rsid w:val="0099730F"/>
    <w:rsid w:val="009A0996"/>
    <w:rsid w:val="009A17CC"/>
    <w:rsid w:val="009A4377"/>
    <w:rsid w:val="009A6043"/>
    <w:rsid w:val="009A6EEB"/>
    <w:rsid w:val="009B7E67"/>
    <w:rsid w:val="009C0019"/>
    <w:rsid w:val="009C021E"/>
    <w:rsid w:val="009C680D"/>
    <w:rsid w:val="009D0673"/>
    <w:rsid w:val="009D101A"/>
    <w:rsid w:val="009F1331"/>
    <w:rsid w:val="00A053C6"/>
    <w:rsid w:val="00A055B3"/>
    <w:rsid w:val="00A101F5"/>
    <w:rsid w:val="00A10CB5"/>
    <w:rsid w:val="00A15D71"/>
    <w:rsid w:val="00A174E2"/>
    <w:rsid w:val="00A21BC5"/>
    <w:rsid w:val="00A32665"/>
    <w:rsid w:val="00A47FAF"/>
    <w:rsid w:val="00A55422"/>
    <w:rsid w:val="00A616D2"/>
    <w:rsid w:val="00A7123D"/>
    <w:rsid w:val="00A71A88"/>
    <w:rsid w:val="00A736FF"/>
    <w:rsid w:val="00AA1434"/>
    <w:rsid w:val="00AA23E7"/>
    <w:rsid w:val="00AA7744"/>
    <w:rsid w:val="00AA7D55"/>
    <w:rsid w:val="00AB5000"/>
    <w:rsid w:val="00AC4310"/>
    <w:rsid w:val="00AC63D9"/>
    <w:rsid w:val="00AD6FC1"/>
    <w:rsid w:val="00AE2EF8"/>
    <w:rsid w:val="00AE482D"/>
    <w:rsid w:val="00AF5881"/>
    <w:rsid w:val="00B00F65"/>
    <w:rsid w:val="00B0338A"/>
    <w:rsid w:val="00B06ECB"/>
    <w:rsid w:val="00B13BF0"/>
    <w:rsid w:val="00B25BC7"/>
    <w:rsid w:val="00B33C81"/>
    <w:rsid w:val="00B34666"/>
    <w:rsid w:val="00B36040"/>
    <w:rsid w:val="00B421B1"/>
    <w:rsid w:val="00B50094"/>
    <w:rsid w:val="00B67E5B"/>
    <w:rsid w:val="00B75F8D"/>
    <w:rsid w:val="00B84A97"/>
    <w:rsid w:val="00B866B9"/>
    <w:rsid w:val="00B97EE4"/>
    <w:rsid w:val="00BA4388"/>
    <w:rsid w:val="00BA4894"/>
    <w:rsid w:val="00BA6BE0"/>
    <w:rsid w:val="00BB1D49"/>
    <w:rsid w:val="00BB6D75"/>
    <w:rsid w:val="00BD43A8"/>
    <w:rsid w:val="00BE59B0"/>
    <w:rsid w:val="00BF1B66"/>
    <w:rsid w:val="00BF7E00"/>
    <w:rsid w:val="00C01984"/>
    <w:rsid w:val="00C0268C"/>
    <w:rsid w:val="00C1285C"/>
    <w:rsid w:val="00C27B7D"/>
    <w:rsid w:val="00C32A06"/>
    <w:rsid w:val="00C37288"/>
    <w:rsid w:val="00C44394"/>
    <w:rsid w:val="00C45116"/>
    <w:rsid w:val="00C51EDE"/>
    <w:rsid w:val="00C533BA"/>
    <w:rsid w:val="00C6712C"/>
    <w:rsid w:val="00C822A8"/>
    <w:rsid w:val="00C902E9"/>
    <w:rsid w:val="00C92208"/>
    <w:rsid w:val="00C965E3"/>
    <w:rsid w:val="00C96674"/>
    <w:rsid w:val="00C971A3"/>
    <w:rsid w:val="00C97395"/>
    <w:rsid w:val="00CB13CA"/>
    <w:rsid w:val="00CB5B24"/>
    <w:rsid w:val="00CC3AB6"/>
    <w:rsid w:val="00CC5AF0"/>
    <w:rsid w:val="00CC7B33"/>
    <w:rsid w:val="00CD4B2B"/>
    <w:rsid w:val="00CE3037"/>
    <w:rsid w:val="00CE6477"/>
    <w:rsid w:val="00CF584D"/>
    <w:rsid w:val="00CF7A43"/>
    <w:rsid w:val="00D01775"/>
    <w:rsid w:val="00D060CA"/>
    <w:rsid w:val="00D1174F"/>
    <w:rsid w:val="00D11807"/>
    <w:rsid w:val="00D1289C"/>
    <w:rsid w:val="00D20BD6"/>
    <w:rsid w:val="00D30957"/>
    <w:rsid w:val="00D372C4"/>
    <w:rsid w:val="00D44527"/>
    <w:rsid w:val="00D52681"/>
    <w:rsid w:val="00D53D04"/>
    <w:rsid w:val="00D55EF7"/>
    <w:rsid w:val="00D733B1"/>
    <w:rsid w:val="00D82027"/>
    <w:rsid w:val="00D83A10"/>
    <w:rsid w:val="00D875ED"/>
    <w:rsid w:val="00D935CA"/>
    <w:rsid w:val="00D95594"/>
    <w:rsid w:val="00D97778"/>
    <w:rsid w:val="00DA7759"/>
    <w:rsid w:val="00DB2DF4"/>
    <w:rsid w:val="00DC0DF0"/>
    <w:rsid w:val="00DC6C70"/>
    <w:rsid w:val="00DD690C"/>
    <w:rsid w:val="00DD7FEE"/>
    <w:rsid w:val="00DF5ACD"/>
    <w:rsid w:val="00E22893"/>
    <w:rsid w:val="00E3019F"/>
    <w:rsid w:val="00E307DD"/>
    <w:rsid w:val="00E349C2"/>
    <w:rsid w:val="00E360DE"/>
    <w:rsid w:val="00E44ED3"/>
    <w:rsid w:val="00E5074A"/>
    <w:rsid w:val="00E521CB"/>
    <w:rsid w:val="00E55BA5"/>
    <w:rsid w:val="00E56AD1"/>
    <w:rsid w:val="00E60938"/>
    <w:rsid w:val="00E728F6"/>
    <w:rsid w:val="00E75D28"/>
    <w:rsid w:val="00E80436"/>
    <w:rsid w:val="00E809DA"/>
    <w:rsid w:val="00E84F25"/>
    <w:rsid w:val="00EA55F0"/>
    <w:rsid w:val="00EC007B"/>
    <w:rsid w:val="00EC1A06"/>
    <w:rsid w:val="00ED0EE7"/>
    <w:rsid w:val="00ED3DB8"/>
    <w:rsid w:val="00EE2FFF"/>
    <w:rsid w:val="00EE7A8E"/>
    <w:rsid w:val="00EF7328"/>
    <w:rsid w:val="00F14690"/>
    <w:rsid w:val="00F21B30"/>
    <w:rsid w:val="00F2689E"/>
    <w:rsid w:val="00F273EA"/>
    <w:rsid w:val="00F32047"/>
    <w:rsid w:val="00F34857"/>
    <w:rsid w:val="00F42CB9"/>
    <w:rsid w:val="00F42FFE"/>
    <w:rsid w:val="00F53D03"/>
    <w:rsid w:val="00F73E9E"/>
    <w:rsid w:val="00F82B3A"/>
    <w:rsid w:val="00F87D14"/>
    <w:rsid w:val="00F95725"/>
    <w:rsid w:val="00F962E5"/>
    <w:rsid w:val="00FA3374"/>
    <w:rsid w:val="00FB2435"/>
    <w:rsid w:val="00FB6490"/>
    <w:rsid w:val="00FC23CD"/>
    <w:rsid w:val="00FC53D4"/>
    <w:rsid w:val="00FC7246"/>
    <w:rsid w:val="00FC7E79"/>
    <w:rsid w:val="00FD2531"/>
    <w:rsid w:val="00FD634D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B73C3B-5875-4EF7-A476-A64553A1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BE59B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BE59B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BE59B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BE59B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BE59B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BE59B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BE59B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BE59B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BE59B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BE59B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BE59B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47C2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BE59B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BE59B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BE59B0"/>
    <w:rPr>
      <w:rFonts w:ascii="Cambria" w:hAnsi="Cambria" w:cs="Times New Roman"/>
      <w:sz w:val="24"/>
      <w:szCs w:val="24"/>
    </w:rPr>
  </w:style>
  <w:style w:type="table" w:styleId="Tabellrutnt">
    <w:name w:val="Table Grid"/>
    <w:basedOn w:val="Normaltabell"/>
    <w:locked/>
    <w:rsid w:val="003B79EE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C">
    <w:name w:val="Logo_C"/>
    <w:rsid w:val="00E44ED3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5114</Characters>
  <Application>Microsoft Office Word</Application>
  <DocSecurity>4</DocSecurity>
  <Lines>142</Lines>
  <Paragraphs>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v350</vt:lpstr>
    </vt:vector>
  </TitlesOfParts>
  <Company>Riksdagen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v350</dc:title>
  <dc:subject>v350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2007-10-11T10:28:00Z</cp:lastPrinted>
  <dcterms:created xsi:type="dcterms:W3CDTF">2025-12-17T05:25:00Z</dcterms:created>
  <dcterms:modified xsi:type="dcterms:W3CDTF">2025-12-17T05:25:00Z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Utgiftsområde 6 Försvar samt beredskap mot sårbarhet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6 Försvar samt beredskap mot sårbarhet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v350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(v)\Berg, Marianne (v)\Johansson, Wiwi-Anne (v)\Linde, Hans (v)\Linna, Elina (v)\Persson, Kent (v)\Åström, Alice (v)\Wahlén, Gunilla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Marianne Berg (v), Wiwi-Anne Johansson (v), Hans Linde (v), Elina Linna (v), Kent Persson (v), Alice Åström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20072008000000000118000003500080</vt:lpwstr>
  </property>
  <property fmtid="{D5CDD505-2E9C-101B-9397-08002B2CF9AE}" pid="47" name="datum">
    <vt:lpwstr>070928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20072008000000000118000003500080</vt:lpwstr>
  </property>
  <property fmtid="{D5CDD505-2E9C-101B-9397-08002B2CF9AE}" pid="50" name="nummer">
    <vt:lpwstr>233</vt:lpwstr>
  </property>
  <property fmtid="{D5CDD505-2E9C-101B-9397-08002B2CF9AE}" pid="51" name="utskottsbeteckning">
    <vt:lpwstr>Fö</vt:lpwstr>
  </property>
  <property fmtid="{D5CDD505-2E9C-101B-9397-08002B2CF9AE}" pid="52" name="GlobalUID">
    <vt:lpwstr>{25303B2F-8B73-465F-8128-608BE10B73FC}</vt:lpwstr>
  </property>
  <property fmtid="{D5CDD505-2E9C-101B-9397-08002B2CF9AE}" pid="53" name="Överföringar">
    <vt:i4>1</vt:i4>
  </property>
  <property fmtid="{D5CDD505-2E9C-101B-9397-08002B2CF9AE}" pid="54" name="Checksum">
    <vt:lpwstr>*1014665602249*</vt:lpwstr>
  </property>
  <property fmtid="{D5CDD505-2E9C-101B-9397-08002B2CF9AE}" pid="55" name="skuggnummer">
    <vt:lpwstr>1664</vt:lpwstr>
  </property>
  <property fmtid="{D5CDD505-2E9C-101B-9397-08002B2CF9AE}" pid="56" name="urixVersion">
    <vt:lpwstr>3.2.0.9</vt:lpwstr>
  </property>
  <property fmtid="{D5CDD505-2E9C-101B-9397-08002B2CF9AE}" pid="57" name="urixOrigin">
    <vt:lpwstr>071016 20:02:43.651</vt:lpwstr>
  </property>
  <property fmtid="{D5CDD505-2E9C-101B-9397-08002B2CF9AE}" pid="58" name="urixGuid">
    <vt:lpwstr>{7C5AA432-CAD8-47D3-9B2C-03E681DD3F03}</vt:lpwstr>
  </property>
</Properties>
</file>