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9E6" w:rsidRPr="003919E6" w:rsidRDefault="003919E6">
      <w:pPr>
        <w:pStyle w:val="Frslagsrubrik"/>
      </w:pPr>
      <w:r w:rsidRPr="003919E6">
        <w:t>Förslag till riksdagsbeslut</w:t>
      </w:r>
    </w:p>
    <w:p w:rsidR="003919E6" w:rsidRPr="003919E6" w:rsidRDefault="003919E6">
      <w:pPr>
        <w:pStyle w:val="Hemstlatt"/>
        <w:numPr>
          <w:ilvl w:val="0"/>
          <w:numId w:val="1"/>
        </w:numPr>
      </w:pPr>
      <w:r w:rsidRPr="003919E6">
        <w:t>Riksdagen tillkännager för regeringen som sin mening vad som anförs i motionen om att utdrag ur brottsregistret, meddelande om besöksförbud samt kontroll utifrån folkbokföringsr</w:t>
      </w:r>
      <w:r w:rsidRPr="003919E6">
        <w:t>e</w:t>
      </w:r>
      <w:r w:rsidRPr="003919E6">
        <w:t>gistret och Migrationsverkets register ska inhämtas för referenspe</w:t>
      </w:r>
      <w:r w:rsidRPr="003919E6">
        <w:t>r</w:t>
      </w:r>
      <w:r w:rsidRPr="003919E6">
        <w:t>son vid anknytningsinvandring.</w:t>
      </w:r>
    </w:p>
    <w:p w:rsidR="003919E6" w:rsidRPr="003919E6" w:rsidRDefault="003919E6">
      <w:pPr>
        <w:pStyle w:val="Hemstlatt"/>
        <w:numPr>
          <w:ilvl w:val="0"/>
          <w:numId w:val="1"/>
        </w:numPr>
      </w:pPr>
      <w:r w:rsidRPr="003919E6">
        <w:t>Riksdagen tillkännager för regeringen som sin mening vad som anförs i motionen om referensperson som tidigare dömts för misshandel eller övergrepp av tidigare sambo eller maka/make.</w:t>
      </w:r>
    </w:p>
    <w:p w:rsidR="003919E6" w:rsidRPr="003919E6" w:rsidRDefault="003919E6">
      <w:pPr>
        <w:pStyle w:val="Hemstlatt"/>
        <w:numPr>
          <w:ilvl w:val="0"/>
          <w:numId w:val="1"/>
        </w:numPr>
      </w:pPr>
      <w:r w:rsidRPr="003919E6">
        <w:t>Riksdagen tillkännager för regeringen som sin mening vad som anförs i motionen om att lagstiftning och praxis måste ses över så att kvinnor som misshandlats eller kränkts i sitt förhållande före utgången av den tvååriga prövotiden inte utvisas eller avv</w:t>
      </w:r>
      <w:r w:rsidRPr="003919E6">
        <w:t>i</w:t>
      </w:r>
      <w:r w:rsidRPr="003919E6">
        <w:t>sas.</w:t>
      </w:r>
    </w:p>
    <w:p w:rsidR="003919E6" w:rsidRPr="003919E6" w:rsidRDefault="003919E6">
      <w:pPr>
        <w:pStyle w:val="Rubrik1"/>
      </w:pPr>
      <w:r w:rsidRPr="003919E6">
        <w:t>Män som systematiskt utnyttjar utländska kvinnor</w:t>
      </w:r>
    </w:p>
    <w:p w:rsidR="003919E6" w:rsidRPr="003919E6" w:rsidRDefault="003919E6">
      <w:r w:rsidRPr="003919E6">
        <w:t>Det finns exempel på män som systematiskt utnyttjar utländska kvinnor g</w:t>
      </w:r>
      <w:r w:rsidRPr="003919E6">
        <w:t>e</w:t>
      </w:r>
      <w:r w:rsidRPr="003919E6">
        <w:t>nom att inleda ett förhållande med dem och inom två år antingen överge dem eller på annat sätt göra så att de tvingas lämna förhållandet. Dessa män är väl medvetna om att kvinnorna kommer att utvisas eftersom förhållandet upphör innan två år har gått.</w:t>
      </w:r>
    </w:p>
    <w:p w:rsidR="003919E6" w:rsidRPr="003919E6" w:rsidRDefault="003919E6">
      <w:pPr>
        <w:pStyle w:val="Normaltindrag"/>
      </w:pPr>
      <w:r w:rsidRPr="003919E6">
        <w:t>För att kunna utreda om det finns skäl att misstänka att referenspersonen kan komma att förgripa sig på sökanden i framtiden, eller för att fastställa att han tidigare förgripit sig på sambo eller maka, bör en kontroll göras genom registerutdrag. Ett liknande</w:t>
      </w:r>
      <w:r w:rsidRPr="003919E6">
        <w:t xml:space="preserve"> förfarande har även två statliga utredningar för</w:t>
      </w:r>
      <w:r w:rsidRPr="003919E6">
        <w:t>e</w:t>
      </w:r>
      <w:r w:rsidRPr="003919E6">
        <w:t xml:space="preserve">slagit. Vi menar att utdrag från brottsregistret avseende brott mot liv och hälsa 3 kap., brott mot frihet och frid 4 kap. samt frid och sexualbrott 6 kap. ska </w:t>
      </w:r>
      <w:r w:rsidRPr="003919E6">
        <w:lastRenderedPageBreak/>
        <w:t>hämtas in för samtliga referenspersoner. Även meddelande om besöksförbud ska hämtas in.</w:t>
      </w:r>
    </w:p>
    <w:p w:rsidR="003919E6" w:rsidRPr="003919E6" w:rsidRDefault="003919E6">
      <w:pPr>
        <w:pStyle w:val="Normaltindrag"/>
      </w:pPr>
      <w:r w:rsidRPr="003919E6">
        <w:t>Utöver ovannämnda utdrag ur brottsregistret bör en kontroll utifrån fol</w:t>
      </w:r>
      <w:r w:rsidRPr="003919E6">
        <w:t>k</w:t>
      </w:r>
      <w:r w:rsidRPr="003919E6">
        <w:t>bokföringsregistret samt Migrationsverkets register om tidigare anknytning</w:t>
      </w:r>
      <w:r w:rsidRPr="003919E6">
        <w:t>s</w:t>
      </w:r>
      <w:r w:rsidRPr="003919E6">
        <w:t>förfrågningar alltid utföras. På det sättet får man en bättre bild av om någon tidigare ansökt om uppehållstillstånd p.g.a. anknytning till personen ifråga. På så sätt kan ingen sätta i system att inleda ett förhållande och sedan överge personen i fråga inom tvåårsperiodens utgång.</w:t>
      </w:r>
    </w:p>
    <w:p w:rsidR="003919E6" w:rsidRPr="003919E6" w:rsidRDefault="003919E6">
      <w:pPr>
        <w:pStyle w:val="Normaltindrag"/>
      </w:pPr>
      <w:r w:rsidRPr="003919E6">
        <w:t>I de fall det genom den grundliga utredningen framkommer att referen</w:t>
      </w:r>
      <w:r w:rsidRPr="003919E6">
        <w:t>s</w:t>
      </w:r>
      <w:r w:rsidRPr="003919E6">
        <w:t>personen tidigare dömts för misshandel eller övergrepp mot tidigare sambo eller maka/make, ska uppehållstillstånd nekas sökanden. Hänsyn bör dock tas till den tidsrymd som förflutit sedan dom fallit och eventuellt andra viktiga omständigheter.</w:t>
      </w:r>
    </w:p>
    <w:p w:rsidR="003919E6" w:rsidRPr="003919E6" w:rsidRDefault="003919E6">
      <w:pPr>
        <w:pStyle w:val="Normaltindrag"/>
      </w:pPr>
      <w:r w:rsidRPr="003919E6">
        <w:t>Om referenspersonen inte har dömts för misshandel eller övergrepp av t</w:t>
      </w:r>
      <w:r w:rsidRPr="003919E6">
        <w:t>i</w:t>
      </w:r>
      <w:r w:rsidRPr="003919E6">
        <w:t>digare sammanboende eller maka/make, men ändå har dömts för brott mot kap. 3, 4 eller 6 i brottsbalken eller meddelats besöksförbud, bör sökanden alltid informeras om detta muntligen.</w:t>
      </w:r>
    </w:p>
    <w:p w:rsidR="003919E6" w:rsidRPr="003919E6" w:rsidRDefault="003919E6">
      <w:pPr>
        <w:pStyle w:val="Rubrik2"/>
        <w:spacing w:after="0"/>
      </w:pPr>
      <w:r w:rsidRPr="003919E6">
        <w:t>Undantag från ”tvåårsregeln” vid misshandel eller kränkning</w:t>
      </w:r>
    </w:p>
    <w:p w:rsidR="003919E6" w:rsidRPr="003919E6" w:rsidRDefault="003919E6">
      <w:r w:rsidRPr="003919E6">
        <w:t>Den s.k. tvåårsregeln innebär att den utlänning som söker uppehållstil</w:t>
      </w:r>
      <w:r w:rsidRPr="003919E6">
        <w:t>l</w:t>
      </w:r>
      <w:r w:rsidRPr="003919E6">
        <w:t>stånd för att få leva med en person i Sverige kan beviljas ett tidsbegränsat upp</w:t>
      </w:r>
      <w:r w:rsidRPr="003919E6">
        <w:t>e</w:t>
      </w:r>
      <w:r w:rsidRPr="003919E6">
        <w:t>hållstillstånd som gäller under två år. Om förhållandet upphör innan utgången av två år ska personen ifråga återvända till sitt hemland. Regeln har utsatts för stark kritik eftersom den har visat sig försätta kvinnor som mis</w:t>
      </w:r>
      <w:r w:rsidRPr="003919E6">
        <w:t>s</w:t>
      </w:r>
      <w:r w:rsidRPr="003919E6">
        <w:t>handlas av sin partner i en tvångssituation. De har helt enkelt haft att välja mellan att fortsä</w:t>
      </w:r>
      <w:r w:rsidRPr="003919E6">
        <w:t>t</w:t>
      </w:r>
      <w:r w:rsidRPr="003919E6">
        <w:t>ta utstå psykisk eller fysisk misshandel eller att bli utvisade från Sverige. Därför ändrades lagen och i da</w:t>
      </w:r>
      <w:r w:rsidRPr="003919E6">
        <w:t>g kan den person som utsatts för våld eller annan allvarlig kränkning under förhållandet, och av det skälet lämnat de</w:t>
      </w:r>
      <w:r w:rsidRPr="003919E6">
        <w:t>t</w:t>
      </w:r>
      <w:r w:rsidRPr="003919E6">
        <w:t>samma, beviljas fortsatt uppehållstillstånd även om förhållandet upphört i</w:t>
      </w:r>
      <w:r w:rsidRPr="003919E6">
        <w:t>n</w:t>
      </w:r>
      <w:r w:rsidRPr="003919E6">
        <w:t>nan två år förflutit. Enligt flera källor har lagändringen dock inte inneburit någon förbättring i verkligheten.</w:t>
      </w:r>
      <w:r w:rsidRPr="003919E6">
        <w:rPr>
          <w:sz w:val="14"/>
          <w:szCs w:val="14"/>
        </w:rPr>
        <w:t xml:space="preserve"> </w:t>
      </w:r>
      <w:r w:rsidRPr="003919E6">
        <w:t>Kvinnor som borde ha fått stanna har inte fått det.</w:t>
      </w:r>
    </w:p>
    <w:p w:rsidR="003919E6" w:rsidRPr="003919E6" w:rsidRDefault="003919E6">
      <w:pPr>
        <w:pStyle w:val="Normaltindrag"/>
      </w:pPr>
      <w:r w:rsidRPr="003919E6">
        <w:t>En orsak till detta är att även om kvinnan brutit upp från förhållandet på grund av t.ex. misshandel krävs även att sammanboendet inte varit helt kor</w:t>
      </w:r>
      <w:r w:rsidRPr="003919E6">
        <w:t>t</w:t>
      </w:r>
      <w:r w:rsidRPr="003919E6">
        <w:t>varigt och att förhållandet från början var seriöst. Om man finner att förhå</w:t>
      </w:r>
      <w:r w:rsidRPr="003919E6">
        <w:t>l</w:t>
      </w:r>
      <w:r w:rsidRPr="003919E6">
        <w:t>landet varit oseriöst eller kortvarigt bedöms orsaken till uppbrottet som rel</w:t>
      </w:r>
      <w:r w:rsidRPr="003919E6">
        <w:t>a</w:t>
      </w:r>
      <w:r w:rsidRPr="003919E6">
        <w:t>tivt oväsentligt. Praxis har dessutom utvecklats som innebär att man bedömer om våldet eller kränkningen varit tillräckligt allvarligt. Vi anser att det är direkt stötande när man genom praxis ger signaler om att ett visst mått av våld på utländska kvinnor är accepterat. Lagstiftning och praxis måste ses över så att kvinnor som misshandlats eller kränkts</w:t>
      </w:r>
      <w:r w:rsidRPr="003919E6">
        <w:t xml:space="preserve"> i sitt förhållande före utgången av den tvååriga prövotiden inte utvisas eller avvisas.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9E6">
        <w:trPr>
          <w:cantSplit/>
        </w:trPr>
        <w:tc>
          <w:tcPr>
            <w:tcW w:w="3046" w:type="dxa"/>
          </w:tcPr>
          <w:p w:rsidR="003919E6" w:rsidRPr="003919E6" w:rsidRDefault="003919E6">
            <w:pPr>
              <w:pStyle w:val="UnderskriftDatum"/>
              <w:spacing w:before="240"/>
            </w:pPr>
            <w:r w:rsidRPr="003919E6">
              <w:t>Stockholm den 26 oktober 2010</w:t>
            </w:r>
          </w:p>
        </w:tc>
        <w:tc>
          <w:tcPr>
            <w:tcW w:w="3047" w:type="dxa"/>
          </w:tcPr>
          <w:p w:rsidR="003919E6" w:rsidRPr="003919E6" w:rsidRDefault="003919E6">
            <w:pPr>
              <w:pStyle w:val="Underskrifter"/>
              <w:spacing w:before="240"/>
            </w:pPr>
          </w:p>
        </w:tc>
      </w:tr>
      <w:tr w:rsidR="00000000" w:rsidRPr="003919E6">
        <w:trPr>
          <w:cantSplit/>
        </w:trPr>
        <w:tc>
          <w:tcPr>
            <w:tcW w:w="3046" w:type="dxa"/>
          </w:tcPr>
          <w:p w:rsidR="003919E6" w:rsidRPr="003919E6" w:rsidRDefault="003919E6">
            <w:pPr>
              <w:pStyle w:val="Underskrifter"/>
            </w:pPr>
            <w:r w:rsidRPr="003919E6">
              <w:t>Roland Utbult (KD)</w:t>
            </w:r>
          </w:p>
        </w:tc>
        <w:tc>
          <w:tcPr>
            <w:tcW w:w="3046" w:type="dxa"/>
          </w:tcPr>
          <w:p w:rsidR="003919E6" w:rsidRPr="003919E6" w:rsidRDefault="003919E6">
            <w:pPr>
              <w:pStyle w:val="Underskrifter"/>
            </w:pPr>
            <w:r w:rsidRPr="003919E6">
              <w:t>Penilla Gunther (KD)</w:t>
            </w:r>
          </w:p>
        </w:tc>
      </w:tr>
    </w:tbl>
    <w:p w:rsidR="003919E6" w:rsidRPr="003919E6" w:rsidRDefault="003919E6">
      <w:pPr>
        <w:pStyle w:val="Normaltindrag"/>
      </w:pPr>
    </w:p>
    <w:sectPr w:rsidR="00000000" w:rsidRPr="003919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9E6" w:rsidRPr="003919E6" w:rsidRDefault="003919E6">
      <w:r w:rsidRPr="003919E6">
        <w:separator/>
      </w:r>
    </w:p>
  </w:endnote>
  <w:endnote w:type="continuationSeparator" w:id="0">
    <w:p w:rsidR="003919E6" w:rsidRPr="003919E6" w:rsidRDefault="003919E6">
      <w:r w:rsidRPr="00391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47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9E6" w:rsidRDefault="003919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984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9E6" w:rsidRDefault="003919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660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9E6" w:rsidRPr="003919E6" w:rsidRDefault="003919E6">
      <w:r w:rsidRPr="003919E6">
        <w:separator/>
      </w:r>
    </w:p>
  </w:footnote>
  <w:footnote w:type="continuationSeparator" w:id="0">
    <w:p w:rsidR="003919E6" w:rsidRPr="003919E6" w:rsidRDefault="003919E6">
      <w:r w:rsidRPr="00391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huvud"/>
    </w:pPr>
    <w:r w:rsidRPr="00391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7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9E6" w:rsidRDefault="003919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huvud"/>
    </w:pPr>
    <w:r w:rsidRPr="00391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850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9E6" w:rsidRDefault="003919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FSHNormal"/>
      <w:tabs>
        <w:tab w:val="right" w:pos="5840"/>
      </w:tabs>
    </w:pPr>
    <w:r w:rsidRPr="003919E6">
      <w:br/>
    </w:r>
    <w:r w:rsidRPr="003919E6">
      <w:fldChar w:fldCharType="begin" w:fldLock="1"/>
    </w:r>
    <w:r w:rsidRPr="003919E6">
      <w:instrText xml:space="preserve"> DOCPROPERTY</w:instrText>
    </w:r>
    <w:r w:rsidRPr="003919E6">
      <w:rPr>
        <w:sz w:val="18"/>
      </w:rPr>
      <w:instrText xml:space="preserve"> "YearUser" *\charformat </w:instrText>
    </w:r>
    <w:r w:rsidRPr="003919E6">
      <w:fldChar w:fldCharType="separate"/>
    </w:r>
    <w:r w:rsidRPr="003919E6">
      <w:t>2010/11</w:t>
    </w:r>
    <w:r w:rsidRPr="003919E6">
      <w:fldChar w:fldCharType="end"/>
    </w:r>
    <w:r w:rsidRPr="003919E6">
      <w:t xml:space="preserve"> </w:t>
    </w:r>
    <w:r w:rsidRPr="003919E6">
      <w:tab/>
      <w:t xml:space="preserve">mnr: </w:t>
    </w:r>
    <w:r w:rsidRPr="003919E6">
      <w:fldChar w:fldCharType="begin" w:fldLock="1"/>
    </w:r>
    <w:r w:rsidRPr="003919E6">
      <w:instrText xml:space="preserve"> DOCPROPERTY</w:instrText>
    </w:r>
    <w:r w:rsidRPr="003919E6">
      <w:rPr>
        <w:sz w:val="18"/>
      </w:rPr>
      <w:instrText xml:space="preserve"> "Motionsnummer" *\charformat </w:instrText>
    </w:r>
    <w:r w:rsidRPr="003919E6">
      <w:fldChar w:fldCharType="separate"/>
    </w:r>
    <w:r w:rsidRPr="003919E6">
      <w:t>Sf344</w:t>
    </w:r>
    <w:r w:rsidRPr="003919E6">
      <w:fldChar w:fldCharType="end"/>
    </w:r>
    <w:r w:rsidRPr="003919E6">
      <w:br/>
    </w:r>
    <w:r w:rsidRPr="003919E6">
      <w:fldChar w:fldCharType="begin" w:fldLock="1"/>
    </w:r>
    <w:r w:rsidRPr="003919E6">
      <w:instrText xml:space="preserve"> DOCPROPERTY</w:instrText>
    </w:r>
    <w:r w:rsidRPr="003919E6">
      <w:rPr>
        <w:sz w:val="18"/>
      </w:rPr>
      <w:instrText xml:space="preserve"> "Samling" *\charformat </w:instrText>
    </w:r>
    <w:r w:rsidRPr="003919E6">
      <w:fldChar w:fldCharType="end"/>
    </w:r>
    <w:r w:rsidRPr="003919E6">
      <w:tab/>
      <w:t xml:space="preserve">pnr: </w:t>
    </w:r>
    <w:r w:rsidRPr="003919E6">
      <w:fldChar w:fldCharType="begin" w:fldLock="1"/>
    </w:r>
    <w:r w:rsidRPr="003919E6">
      <w:instrText xml:space="preserve"> DOCPROPERTY</w:instrText>
    </w:r>
    <w:r w:rsidRPr="003919E6">
      <w:rPr>
        <w:sz w:val="18"/>
      </w:rPr>
      <w:instrText xml:space="preserve"> "Partinummer" *\charformat </w:instrText>
    </w:r>
    <w:r w:rsidRPr="003919E6">
      <w:fldChar w:fldCharType="separate"/>
    </w:r>
    <w:r w:rsidRPr="003919E6">
      <w:t>KD613</w:t>
    </w:r>
    <w:r w:rsidRPr="003919E6">
      <w:fldChar w:fldCharType="end"/>
    </w:r>
  </w:p>
  <w:p w:rsidR="003919E6" w:rsidRPr="003919E6" w:rsidRDefault="003919E6">
    <w:pPr>
      <w:pStyle w:val="FSHRub1"/>
    </w:pPr>
    <w:r w:rsidRPr="003919E6">
      <w:t>Motion till riksdagen</w:t>
    </w:r>
    <w:r w:rsidRPr="003919E6">
      <w:br/>
    </w:r>
    <w:r w:rsidRPr="003919E6">
      <w:fldChar w:fldCharType="begin" w:fldLock="1"/>
    </w:r>
    <w:r w:rsidRPr="003919E6">
      <w:instrText xml:space="preserve"> DOCPROPERTY "YearUser" *\charformat </w:instrText>
    </w:r>
    <w:r w:rsidRPr="003919E6">
      <w:fldChar w:fldCharType="separate"/>
    </w:r>
    <w:r w:rsidRPr="003919E6">
      <w:t>2010/11</w:t>
    </w:r>
    <w:r w:rsidRPr="003919E6">
      <w:fldChar w:fldCharType="end"/>
    </w:r>
    <w:r w:rsidRPr="003919E6">
      <w:t>:</w:t>
    </w:r>
    <w:r w:rsidRPr="003919E6">
      <w:fldChar w:fldCharType="begin" w:fldLock="1"/>
    </w:r>
    <w:r w:rsidRPr="003919E6">
      <w:instrText xml:space="preserve"> DOCPROPERTY "Motionsnummer" *\charformat </w:instrText>
    </w:r>
    <w:r w:rsidRPr="003919E6">
      <w:fldChar w:fldCharType="separate"/>
    </w:r>
    <w:r w:rsidRPr="003919E6">
      <w:t>Sf344</w:t>
    </w:r>
    <w:r w:rsidRPr="003919E6">
      <w:fldChar w:fldCharType="end"/>
    </w:r>
  </w:p>
  <w:p w:rsidR="003919E6" w:rsidRPr="003919E6" w:rsidRDefault="003919E6">
    <w:pPr>
      <w:pStyle w:val="FSHNormalS5"/>
    </w:pPr>
    <w:r w:rsidRPr="003919E6">
      <w:fldChar w:fldCharType="begin" w:fldLock="1"/>
    </w:r>
    <w:r w:rsidRPr="003919E6">
      <w:instrText xml:space="preserve"> DOCPROPERTY "MotionarText" *\charformat </w:instrText>
    </w:r>
    <w:r w:rsidRPr="003919E6">
      <w:fldChar w:fldCharType="separate"/>
    </w:r>
    <w:r w:rsidRPr="003919E6">
      <w:t>av Roland Utbult och Penilla Gunther (KD)</w:t>
    </w:r>
    <w:r w:rsidRPr="003919E6">
      <w:fldChar w:fldCharType="end"/>
    </w:r>
    <w:r w:rsidRPr="003919E6">
      <w:br/>
    </w:r>
    <w:r w:rsidRPr="003919E6">
      <w:fldChar w:fldCharType="begin" w:fldLock="1"/>
    </w:r>
    <w:r w:rsidRPr="003919E6">
      <w:instrText xml:space="preserve"> DOCPROPERTY "SvarFrasKort" *\charformat </w:instrText>
    </w:r>
    <w:r w:rsidRPr="003919E6">
      <w:fldChar w:fldCharType="end"/>
    </w:r>
  </w:p>
  <w:p w:rsidR="003919E6" w:rsidRPr="003919E6" w:rsidRDefault="003919E6">
    <w:pPr>
      <w:pStyle w:val="FSHTitel"/>
    </w:pPr>
    <w:r w:rsidRPr="003919E6">
      <w:fldChar w:fldCharType="begin" w:fldLock="1"/>
    </w:r>
    <w:r w:rsidRPr="003919E6">
      <w:instrText xml:space="preserve"> DOCPROPERTY</w:instrText>
    </w:r>
    <w:r w:rsidRPr="003919E6">
      <w:rPr>
        <w:sz w:val="18"/>
      </w:rPr>
      <w:instrText xml:space="preserve"> "RubrikSvar" *\charformat </w:instrText>
    </w:r>
    <w:r w:rsidRPr="003919E6">
      <w:fldChar w:fldCharType="separate"/>
    </w:r>
    <w:r w:rsidRPr="003919E6">
      <w:t>Utnyttjande av utländska kvinnor</w:t>
    </w:r>
    <w:r w:rsidRPr="003919E6">
      <w:fldChar w:fldCharType="end"/>
    </w:r>
  </w:p>
  <w:p w:rsidR="003919E6" w:rsidRPr="003919E6" w:rsidRDefault="003919E6">
    <w:pPr>
      <w:pStyle w:val="Normal00"/>
    </w:pPr>
  </w:p>
  <w:p w:rsidR="003919E6" w:rsidRPr="003919E6" w:rsidRDefault="00391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784503"/>
    <w:multiLevelType w:val="hybridMultilevel"/>
    <w:tmpl w:val="4B8A5000"/>
    <w:lvl w:ilvl="0" w:tplc="9F1A4F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660579">
    <w:abstractNumId w:val="3"/>
  </w:num>
  <w:num w:numId="2" w16cid:durableId="491406934">
    <w:abstractNumId w:val="2"/>
  </w:num>
  <w:num w:numId="3" w16cid:durableId="569466029">
    <w:abstractNumId w:val="1"/>
  </w:num>
  <w:num w:numId="4" w16cid:durableId="865295841">
    <w:abstractNumId w:val="0"/>
  </w:num>
  <w:num w:numId="5" w16cid:durableId="1225221609">
    <w:abstractNumId w:val="7"/>
  </w:num>
  <w:num w:numId="6" w16cid:durableId="1823303323">
    <w:abstractNumId w:val="6"/>
  </w:num>
  <w:num w:numId="7" w16cid:durableId="418525981">
    <w:abstractNumId w:val="5"/>
  </w:num>
  <w:num w:numId="8" w16cid:durableId="322710091">
    <w:abstractNumId w:val="4"/>
  </w:num>
  <w:num w:numId="9" w16cid:durableId="1034965807">
    <w:abstractNumId w:val="8"/>
  </w:num>
  <w:num w:numId="10" w16cid:durableId="1919360537">
    <w:abstractNumId w:val="9"/>
  </w:num>
  <w:num w:numId="11" w16cid:durableId="1279684193">
    <w:abstractNumId w:val="10"/>
  </w:num>
  <w:num w:numId="12" w16cid:durableId="1158230010">
    <w:abstractNumId w:val="13"/>
  </w:num>
  <w:num w:numId="13" w16cid:durableId="861359101">
    <w:abstractNumId w:val="15"/>
  </w:num>
  <w:num w:numId="14" w16cid:durableId="2071033007">
    <w:abstractNumId w:val="17"/>
  </w:num>
  <w:num w:numId="15" w16cid:durableId="999624166">
    <w:abstractNumId w:val="11"/>
  </w:num>
  <w:num w:numId="16" w16cid:durableId="1867211973">
    <w:abstractNumId w:val="19"/>
  </w:num>
  <w:num w:numId="17" w16cid:durableId="586964311">
    <w:abstractNumId w:val="18"/>
  </w:num>
  <w:num w:numId="18" w16cid:durableId="268467581">
    <w:abstractNumId w:val="14"/>
  </w:num>
  <w:num w:numId="19" w16cid:durableId="1761289113">
    <w:abstractNumId w:val="12"/>
  </w:num>
  <w:num w:numId="20" w16cid:durableId="1336493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38A1045-A591-4E79-9F3B-BC768B4D5688},{C3A6742B-AD71-4B31-A74B-98C667A53FF3}"/>
  </w:docVars>
  <w:rsids>
    <w:rsidRoot w:val="00EE7AFE"/>
    <w:rsid w:val="003919E6"/>
    <w:rsid w:val="00EE7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66462FE-C5AE-42A9-930A-E75801EE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3825</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kd613</vt:lpstr>
    </vt:vector>
  </TitlesOfParts>
  <Company>Riksdagen</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kd613</dc:title>
  <dc:subject>kd613</dc:subject>
  <dc:creator>Riksdagen</dc:creator>
  <cp:keywords>Riksdagen</cp:keywords>
  <dc:description>Versal/gemen i partibeteckning. Gemen i tryck för 0910, versal för 1011 och nyare</dc:description>
  <cp:lastModifiedBy>Lars Brink</cp:lastModifiedBy>
  <cp:revision>2</cp:revision>
  <cp:lastPrinted>2010-12-12T06:44:00Z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Utnyttjande av utländska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Utnyttjande av utländska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Roland Utbult och Penilla Gunther (KD)</vt:lpwstr>
  </property>
  <property fmtid="{D5CDD505-2E9C-101B-9397-08002B2CF9AE}" pid="26" name="MotionarLista">
    <vt:lpwstr>Utbult, Roland (KD)\Gunther,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 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20102011000001070100000006130069</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20102011000001070100000006130069</vt:lpwstr>
  </property>
  <property fmtid="{D5CDD505-2E9C-101B-9397-08002B2CF9AE}" pid="50" name="nummer">
    <vt:lpwstr>344</vt:lpwstr>
  </property>
  <property fmtid="{D5CDD505-2E9C-101B-9397-08002B2CF9AE}" pid="51" name="utskottsbeteckning">
    <vt:lpwstr>Sf</vt:lpwstr>
  </property>
  <property fmtid="{D5CDD505-2E9C-101B-9397-08002B2CF9AE}" pid="52" name="GlobalUID">
    <vt:lpwstr>{B276FFD9-F88E-43E6-9E96-D846917215F2}</vt:lpwstr>
  </property>
  <property fmtid="{D5CDD505-2E9C-101B-9397-08002B2CF9AE}" pid="53" name="Överföringar">
    <vt:i4>0</vt:i4>
  </property>
  <property fmtid="{D5CDD505-2E9C-101B-9397-08002B2CF9AE}" pid="54" name="Checksum">
    <vt:lpwstr>*0004468220338*</vt:lpwstr>
  </property>
  <property fmtid="{D5CDD505-2E9C-101B-9397-08002B2CF9AE}" pid="55" name="skuggnummer">
    <vt:lpwstr>2378</vt:lpwstr>
  </property>
  <property fmtid="{D5CDD505-2E9C-101B-9397-08002B2CF9AE}" pid="56" name="urixVersion">
    <vt:lpwstr>4.3.2.0</vt:lpwstr>
  </property>
  <property fmtid="{D5CDD505-2E9C-101B-9397-08002B2CF9AE}" pid="57" name="urixOrigin">
    <vt:lpwstr>101212 07:44:18.921</vt:lpwstr>
  </property>
  <property fmtid="{D5CDD505-2E9C-101B-9397-08002B2CF9AE}" pid="58" name="urixGuid">
    <vt:lpwstr>{F53AD242-AB85-442F-9FEF-87B94512A3B5}</vt:lpwstr>
  </property>
</Properties>
</file>