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55FE11ED32F47DFA7574BF48237DA3B"/>
        </w:placeholder>
        <w:text/>
      </w:sdtPr>
      <w:sdtEndPr/>
      <w:sdtContent>
        <w:p w:rsidRPr="009B062B" w:rsidR="00AF30DD" w:rsidP="00DA28CE" w:rsidRDefault="00AF30DD" w14:paraId="0FC92D1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ef2f2a8-8104-4600-a758-8881783916e8"/>
        <w:id w:val="886300731"/>
        <w:lock w:val="sdtLocked"/>
      </w:sdtPr>
      <w:sdtEndPr/>
      <w:sdtContent>
        <w:p w:rsidR="00FF6A5C" w:rsidRDefault="003D05C7" w14:paraId="0FC92D1E" w14:textId="4769CE64">
          <w:pPr>
            <w:pStyle w:val="Frslagstext"/>
          </w:pPr>
          <w:r>
            <w:t>Riksdagen ställer sig bakom det som anförs i motionen om att verka för att ansvaret för missbruks- och beroendevården överförs på hälso- och sjukvården som ensam huvudman och tillkännager detta för regeringen.</w:t>
          </w:r>
        </w:p>
      </w:sdtContent>
    </w:sdt>
    <w:sdt>
      <w:sdtPr>
        <w:alias w:val="Yrkande 2"/>
        <w:tag w:val="aa344f56-8202-49cd-90d5-a7c3297a5caf"/>
        <w:id w:val="-1398199559"/>
        <w:lock w:val="sdtLocked"/>
      </w:sdtPr>
      <w:sdtEndPr/>
      <w:sdtContent>
        <w:p w:rsidR="00FF6A5C" w:rsidRDefault="003D05C7" w14:paraId="0FC92D1F" w14:textId="292B03E2">
          <w:pPr>
            <w:pStyle w:val="Frslagstext"/>
          </w:pPr>
          <w:r>
            <w:t>Riksdagen ställer sig bakom det som anförs i motionen om att verka för att utreda möjligheterna till en gemensam tvångslagstiftning för personer med behov av insatser från såväl missbruksvården som hälso- och sjukvården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A5DB100396646ED885A9C9DE0B2DC94"/>
        </w:placeholder>
        <w:text/>
      </w:sdtPr>
      <w:sdtEndPr/>
      <w:sdtContent>
        <w:p w:rsidRPr="009B062B" w:rsidR="006D79C9" w:rsidP="00333E95" w:rsidRDefault="006D79C9" w14:paraId="0FC92D20" w14:textId="77777777">
          <w:pPr>
            <w:pStyle w:val="Rubrik1"/>
          </w:pPr>
          <w:r>
            <w:t>Motivering</w:t>
          </w:r>
        </w:p>
      </w:sdtContent>
    </w:sdt>
    <w:p w:rsidR="00F90B13" w:rsidP="00580776" w:rsidRDefault="00F90B13" w14:paraId="0FC92D21" w14:textId="2A372B9E">
      <w:pPr>
        <w:pStyle w:val="Normalutanindragellerluft"/>
      </w:pPr>
      <w:r>
        <w:t>Ansvaret för missbruks- och beroendevården delas i</w:t>
      </w:r>
      <w:r w:rsidR="00417A8E">
        <w:t xml:space="preserve"> </w:t>
      </w:r>
      <w:r>
        <w:t>dag av socialtjänsten och hälso- och sjukvården. Det är viktigt att samverkan mellan primärvården, psykiatrin, beroende</w:t>
      </w:r>
      <w:r w:rsidR="00580776">
        <w:softHyphen/>
      </w:r>
      <w:r>
        <w:t xml:space="preserve">mottagningar och socialtjänsten fungerar. Många människor får inte den hjälp </w:t>
      </w:r>
      <w:r w:rsidR="00417A8E">
        <w:t xml:space="preserve">som </w:t>
      </w:r>
      <w:r>
        <w:t xml:space="preserve">de behöver för att komma ur sin beroendeproblematik. </w:t>
      </w:r>
    </w:p>
    <w:p w:rsidRPr="005C18A8" w:rsidR="00F90B13" w:rsidP="00580776" w:rsidRDefault="00F90B13" w14:paraId="0FC92D22" w14:textId="2191051F">
      <w:r>
        <w:t xml:space="preserve">Missbruks- och beroendevården inom primärvården måste utökas och intensifieras. Personer med svårare missbruk och beroende </w:t>
      </w:r>
      <w:r w:rsidR="00202BFA">
        <w:t>s</w:t>
      </w:r>
      <w:r>
        <w:t xml:space="preserve">lussas mellan socialtjänsten och hälso- och sjukvården och resultatet blir att de inte får den sammanhållna vård och behandling </w:t>
      </w:r>
      <w:r w:rsidR="00417A8E">
        <w:t xml:space="preserve">som </w:t>
      </w:r>
      <w:r>
        <w:t>de behöver. De sammantagna negativa effekterna av det nuvarande dubbla huvud</w:t>
      </w:r>
      <w:r w:rsidR="00580776">
        <w:softHyphen/>
      </w:r>
      <w:r>
        <w:t xml:space="preserve">mannaskapet har lett till att ansvaret för missbruks- och beroendevården bör överföras på hälso- och sjukvården som ensam huvudman. </w:t>
      </w:r>
    </w:p>
    <w:p w:rsidRPr="00580776" w:rsidR="00F90B13" w:rsidP="00580776" w:rsidRDefault="00F90B13" w14:paraId="0FC92D23" w14:textId="77777777">
      <w:pPr>
        <w:pStyle w:val="Rubrik2"/>
      </w:pPr>
      <w:r w:rsidRPr="00580776">
        <w:t>Samsjuklighet</w:t>
      </w:r>
    </w:p>
    <w:p w:rsidR="00F90B13" w:rsidP="00580776" w:rsidRDefault="00F90B13" w14:paraId="0FC92D24" w14:textId="1267292C">
      <w:pPr>
        <w:pStyle w:val="Normalutanindragellerluft"/>
      </w:pPr>
      <w:r>
        <w:t>Många personer med missbruksproblematik lider</w:t>
      </w:r>
      <w:r w:rsidR="00202BFA">
        <w:t xml:space="preserve"> samtidigt av psykisk ohälsa. I</w:t>
      </w:r>
      <w:r w:rsidR="00417A8E">
        <w:t xml:space="preserve"> </w:t>
      </w:r>
      <w:r>
        <w:t xml:space="preserve">dag finns en gränsdragningsproblematik mellan </w:t>
      </w:r>
      <w:r w:rsidR="00417A8E">
        <w:t>l</w:t>
      </w:r>
      <w:r>
        <w:t xml:space="preserve">agen om vård av missbrukare (LVM) och </w:t>
      </w:r>
      <w:r w:rsidR="00417A8E">
        <w:t>l</w:t>
      </w:r>
      <w:r>
        <w:t xml:space="preserve">agen om psykiatrisk tvångsvård (LPT). För personer som bedöms vara i störst behov av </w:t>
      </w:r>
      <w:r>
        <w:lastRenderedPageBreak/>
        <w:t>tvångsåtgärder kopplade till sitt missbruk tillämpas som regel LVM, medan den psykia</w:t>
      </w:r>
      <w:r w:rsidR="00580776">
        <w:softHyphen/>
      </w:r>
      <w:r>
        <w:t>triska tvångsvården vid till exempel behandling av akuta psykiska komplikationer efter avgiftning används som en sista utväg. Människor som är i behov av såväl psykiatrisk tvångsvård som vård enligt LVM får således inte den hjälp</w:t>
      </w:r>
      <w:r w:rsidR="00417A8E">
        <w:t xml:space="preserve"> som</w:t>
      </w:r>
      <w:r>
        <w:t xml:space="preserve"> de behöver och hamnar i kläm mellan olika lagstiftningar. Det är dags att utreda möjligheterna till en gemensam tvångslagstiftning för personer med behov av insatser från såväl missbruksvården </w:t>
      </w:r>
      <w:r w:rsidR="00417A8E">
        <w:t>som</w:t>
      </w:r>
      <w:r>
        <w:t xml:space="preserve"> hälso- och sjukvården.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2C9BA67002C4B05A4860EA83AEE1AAF"/>
        </w:placeholder>
      </w:sdtPr>
      <w:sdtEndPr>
        <w:rPr>
          <w:i w:val="0"/>
          <w:noProof w:val="0"/>
        </w:rPr>
      </w:sdtEndPr>
      <w:sdtContent>
        <w:p w:rsidR="00225D5E" w:rsidP="00225D5E" w:rsidRDefault="00225D5E" w14:paraId="0FC92D27" w14:textId="77777777"/>
        <w:p w:rsidRPr="008E0FE2" w:rsidR="004801AC" w:rsidP="00225D5E" w:rsidRDefault="00580776" w14:paraId="0FC92D2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Jennie Åfeldt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Christina Östberg (SD)</w:t>
            </w:r>
          </w:p>
        </w:tc>
      </w:tr>
    </w:tbl>
    <w:p w:rsidR="00610275" w:rsidRDefault="00610275" w14:paraId="0FC92D2C" w14:textId="77777777">
      <w:bookmarkStart w:name="_GoBack" w:id="1"/>
      <w:bookmarkEnd w:id="1"/>
    </w:p>
    <w:sectPr w:rsidR="0061027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92D2E" w14:textId="77777777" w:rsidR="000F780E" w:rsidRDefault="000F780E" w:rsidP="000C1CAD">
      <w:pPr>
        <w:spacing w:line="240" w:lineRule="auto"/>
      </w:pPr>
      <w:r>
        <w:separator/>
      </w:r>
    </w:p>
  </w:endnote>
  <w:endnote w:type="continuationSeparator" w:id="0">
    <w:p w14:paraId="0FC92D2F" w14:textId="77777777" w:rsidR="000F780E" w:rsidRDefault="000F780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92D3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92D3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25D5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92D3D" w14:textId="77777777" w:rsidR="00262EA3" w:rsidRPr="00225D5E" w:rsidRDefault="00262EA3" w:rsidP="00225D5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92D2C" w14:textId="77777777" w:rsidR="000F780E" w:rsidRDefault="000F780E" w:rsidP="000C1CAD">
      <w:pPr>
        <w:spacing w:line="240" w:lineRule="auto"/>
      </w:pPr>
      <w:r>
        <w:separator/>
      </w:r>
    </w:p>
  </w:footnote>
  <w:footnote w:type="continuationSeparator" w:id="0">
    <w:p w14:paraId="0FC92D2D" w14:textId="77777777" w:rsidR="000F780E" w:rsidRDefault="000F780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FC92D3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FC92D3F" wp14:anchorId="0FC92D3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80776" w14:paraId="0FC92D4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B8A6CCBD85B40FCBFF311811D75E604"/>
                              </w:placeholder>
                              <w:text/>
                            </w:sdtPr>
                            <w:sdtEndPr/>
                            <w:sdtContent>
                              <w:r w:rsidR="00F90B1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B00472D66F548019C44CDD0760D9D33"/>
                              </w:placeholder>
                              <w:text/>
                            </w:sdtPr>
                            <w:sdtEndPr/>
                            <w:sdtContent>
                              <w:r w:rsidR="00225D5E">
                                <w:t>351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FC92D3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80776" w14:paraId="0FC92D4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B8A6CCBD85B40FCBFF311811D75E604"/>
                        </w:placeholder>
                        <w:text/>
                      </w:sdtPr>
                      <w:sdtEndPr/>
                      <w:sdtContent>
                        <w:r w:rsidR="00F90B1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B00472D66F548019C44CDD0760D9D33"/>
                        </w:placeholder>
                        <w:text/>
                      </w:sdtPr>
                      <w:sdtEndPr/>
                      <w:sdtContent>
                        <w:r w:rsidR="00225D5E">
                          <w:t>351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FC92D3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FC92D32" w14:textId="77777777">
    <w:pPr>
      <w:jc w:val="right"/>
    </w:pPr>
  </w:p>
  <w:p w:rsidR="00262EA3" w:rsidP="00776B74" w:rsidRDefault="00262EA3" w14:paraId="0FC92D3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80776" w14:paraId="0FC92D3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FC92D41" wp14:anchorId="0FC92D4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80776" w14:paraId="0FC92D3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90B13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25D5E">
          <w:t>351</w:t>
        </w:r>
      </w:sdtContent>
    </w:sdt>
  </w:p>
  <w:p w:rsidRPr="008227B3" w:rsidR="00262EA3" w:rsidP="008227B3" w:rsidRDefault="00580776" w14:paraId="0FC92D3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80776" w14:paraId="0FC92D3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:2766</w:t>
        </w:r>
      </w:sdtContent>
    </w:sdt>
  </w:p>
  <w:p w:rsidR="00262EA3" w:rsidP="00E03A3D" w:rsidRDefault="00580776" w14:paraId="0FC92D3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Jennie Åfeldt och Christina Östberg (båda 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772074C6ABD4CD58B562B2135C2DCA8"/>
      </w:placeholder>
      <w:text/>
    </w:sdtPr>
    <w:sdtEndPr/>
    <w:sdtContent>
      <w:p w:rsidR="00262EA3" w:rsidP="00283E0F" w:rsidRDefault="00F90B13" w14:paraId="0FC92D3B" w14:textId="77777777">
        <w:pPr>
          <w:pStyle w:val="FSHRub2"/>
        </w:pPr>
        <w:r>
          <w:t>Ansvaret för missbruks- och beroendevården och samsjuklighet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FC92D3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F90B1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02C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80E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609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BFA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25D5E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5C7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17A8E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776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275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2951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6E6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4D3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B13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6A5C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C92D1C"/>
  <w15:chartTrackingRefBased/>
  <w15:docId w15:val="{DFB1CD3E-07A0-46B2-B630-AD52F0E2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F90B1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55FE11ED32F47DFA7574BF48237DA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A7C3B8-8231-4A6B-95D6-9103560F052F}"/>
      </w:docPartPr>
      <w:docPartBody>
        <w:p w:rsidR="003B38DE" w:rsidRDefault="0072244E">
          <w:pPr>
            <w:pStyle w:val="355FE11ED32F47DFA7574BF48237DA3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A5DB100396646ED885A9C9DE0B2DC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FD1697-5120-40E2-A295-72397D43A5D5}"/>
      </w:docPartPr>
      <w:docPartBody>
        <w:p w:rsidR="003B38DE" w:rsidRDefault="0072244E">
          <w:pPr>
            <w:pStyle w:val="7A5DB100396646ED885A9C9DE0B2DC9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B8A6CCBD85B40FCBFF311811D75E6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27E595-08D6-41AD-BE11-4EF7C26E035D}"/>
      </w:docPartPr>
      <w:docPartBody>
        <w:p w:rsidR="003B38DE" w:rsidRDefault="0072244E">
          <w:pPr>
            <w:pStyle w:val="DB8A6CCBD85B40FCBFF311811D75E6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00472D66F548019C44CDD0760D9D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85EEC2-5975-4D8A-A038-A23FF70E9A68}"/>
      </w:docPartPr>
      <w:docPartBody>
        <w:p w:rsidR="003B38DE" w:rsidRDefault="0072244E">
          <w:pPr>
            <w:pStyle w:val="6B00472D66F548019C44CDD0760D9D33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175942-D3F5-437B-867F-AFCB3883C2B5}"/>
      </w:docPartPr>
      <w:docPartBody>
        <w:p w:rsidR="003B38DE" w:rsidRDefault="00A92B33">
          <w:r w:rsidRPr="00B83DD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772074C6ABD4CD58B562B2135C2DC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DC122E-3A62-4679-8A45-CC838D74BC46}"/>
      </w:docPartPr>
      <w:docPartBody>
        <w:p w:rsidR="003B38DE" w:rsidRDefault="00A92B33">
          <w:r w:rsidRPr="00B83DDC">
            <w:rPr>
              <w:rStyle w:val="Platshllartext"/>
            </w:rPr>
            <w:t>[ange din text här]</w:t>
          </w:r>
        </w:p>
      </w:docPartBody>
    </w:docPart>
    <w:docPart>
      <w:docPartPr>
        <w:name w:val="82C9BA67002C4B05A4860EA83AEE1A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B4F04E-8A94-40F5-BC75-0E05AB8C6C5E}"/>
      </w:docPartPr>
      <w:docPartBody>
        <w:p w:rsidR="00A41ACB" w:rsidRDefault="00A41AC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B33"/>
    <w:rsid w:val="003B38DE"/>
    <w:rsid w:val="005E7A87"/>
    <w:rsid w:val="0072244E"/>
    <w:rsid w:val="00A41ACB"/>
    <w:rsid w:val="00A9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92B33"/>
    <w:rPr>
      <w:color w:val="F4B083" w:themeColor="accent2" w:themeTint="99"/>
    </w:rPr>
  </w:style>
  <w:style w:type="paragraph" w:customStyle="1" w:styleId="355FE11ED32F47DFA7574BF48237DA3B">
    <w:name w:val="355FE11ED32F47DFA7574BF48237DA3B"/>
  </w:style>
  <w:style w:type="paragraph" w:customStyle="1" w:styleId="4871E1CD539D499B916DA8C8D736D3E3">
    <w:name w:val="4871E1CD539D499B916DA8C8D736D3E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2E1A1852BA84D2AA0DA9A16B206AB61">
    <w:name w:val="D2E1A1852BA84D2AA0DA9A16B206AB61"/>
  </w:style>
  <w:style w:type="paragraph" w:customStyle="1" w:styleId="7A5DB100396646ED885A9C9DE0B2DC94">
    <w:name w:val="7A5DB100396646ED885A9C9DE0B2DC94"/>
  </w:style>
  <w:style w:type="paragraph" w:customStyle="1" w:styleId="7BA2A3D9AE5646808B088FEC5B84E05E">
    <w:name w:val="7BA2A3D9AE5646808B088FEC5B84E05E"/>
  </w:style>
  <w:style w:type="paragraph" w:customStyle="1" w:styleId="8065AC16642046D3895581F475C0BCA6">
    <w:name w:val="8065AC16642046D3895581F475C0BCA6"/>
  </w:style>
  <w:style w:type="paragraph" w:customStyle="1" w:styleId="DB8A6CCBD85B40FCBFF311811D75E604">
    <w:name w:val="DB8A6CCBD85B40FCBFF311811D75E604"/>
  </w:style>
  <w:style w:type="paragraph" w:customStyle="1" w:styleId="6B00472D66F548019C44CDD0760D9D33">
    <w:name w:val="6B00472D66F548019C44CDD0760D9D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EB34EB-0E7A-4EFA-9F8B-74F6EAC19B76}"/>
</file>

<file path=customXml/itemProps2.xml><?xml version="1.0" encoding="utf-8"?>
<ds:datastoreItem xmlns:ds="http://schemas.openxmlformats.org/officeDocument/2006/customXml" ds:itemID="{7F80C4D0-4150-408B-B58A-75B0116F111F}"/>
</file>

<file path=customXml/itemProps3.xml><?xml version="1.0" encoding="utf-8"?>
<ds:datastoreItem xmlns:ds="http://schemas.openxmlformats.org/officeDocument/2006/customXml" ds:itemID="{0D6ADC63-FCCF-4ED8-9493-ECAC383332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1833</Characters>
  <Application>Microsoft Office Word</Application>
  <DocSecurity>0</DocSecurity>
  <Lines>37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Ansvaret för missbruks  och beroendevården och samsjuklighet</vt:lpstr>
      <vt:lpstr>
      </vt:lpstr>
    </vt:vector>
  </TitlesOfParts>
  <Company>Sveriges riksdag</Company>
  <LinksUpToDate>false</LinksUpToDate>
  <CharactersWithSpaces>2127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