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44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4 december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2019/20:175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ökade antalet barn- och ungdomsrån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2019/20:176 av Mikael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Kriminell användning av samordningsnummer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2019/20:177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Arbetsmiljön inom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2019/20:180 av Jonas Andersson i Skellefteå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Kryphål för att få permanent uppehållstillstånd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2019:34 Nationalräkenskaperna – en stabilare grund för finanspolitiken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2019/20:42 Riksrevisionens granskning av statliga insatser för att underlätta nyföretagande genom digitalisering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2019/20:3438 av Arman Teimouri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2019/20:3439 av Peter Helander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2019/20:3440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2019/20:3441 av Camilla Brodin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2019/20:KrU1 Utgiftsområde 17 Kultur, medier, trossamfund och fritid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2019/20:KU1 Utgiftsområde 1 Rikets styrelse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2019/20:FiU19 Kompletterande bestämmelser till EU:s förordning om värdepapperisering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 Utgiftsområde 3 Skatt, tull och exekution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2019/20:SkU11 Anstånd med kupongskatt i vissa fall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2019/20:SkU12 Skatt på avfallsförbränning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2019/20:SkU15 Sänkt skatt på drivmedel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2019/20:UFöU1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2019/20:UFöU3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2019/20:UU1 Utgiftsområde 5 Internationell 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 Utgiftsområde 18 Samhällsplanering, bostadsförsörjning och byggande samt konsumentpolitik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4 december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2019-12-04</SAFIR_Sammantradesdatum_Doc>
    <SAFIR_SammantradeID xmlns="C07A1A6C-0B19-41D9-BDF8-F523BA3921EB">f5ec4a45-cd83-4bf0-b523-339b7f94258f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37424-7600-4828-8D14-A45BA5D236C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4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