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5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14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7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2019/20:FPM34 Förslag till beslut om ianspråktagande av marginalen för oförutsedda utgifter under 2020 för att tillhandahålla krisstöd till medlemsstaterna och ytterligare stärka unionens civilskyddsmekanism/rescEU med anledning av covid-19-utbrottet </w:t>
            </w:r>
            <w:r>
              <w:rPr>
                <w:i/>
                <w:iCs/>
                <w:rtl w:val="0"/>
              </w:rPr>
              <w:t>COM(2020) 172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2019/20:114 Strategisk exportkontroll 2019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2019/20:3600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2019/20:CU13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2019/20:CU10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2019/20:CU16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2019/20:CU17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2019/20:MJU13 Cirkulär ekonomi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2019/20:MJU14 Kemikaliepolitik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2019/20:SkU20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2019/20:SkU22 Punktskatt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2019/20:394 av Ann-Christine From Utterstedt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Äldreomsorgens beredskap för spridningen av covid-19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5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2020-05-05</SAFIR_Sammantradesdatum_Doc>
    <SAFIR_SammantradeID xmlns="C07A1A6C-0B19-41D9-BDF8-F523BA3921EB">884d950b-db59-40bc-b95e-9a229404ebe3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3AE18-0072-4B82-9EB3-EC5C27667F7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