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D2B25">
        <w:tblPrEx>
          <w:tblCellMar>
            <w:top w:w="0" w:type="dxa"/>
            <w:left w:w="0" w:type="dxa"/>
            <w:bottom w:w="0" w:type="dxa"/>
            <w:right w:w="0" w:type="dxa"/>
          </w:tblCellMar>
        </w:tblPrEx>
        <w:trPr>
          <w:gridAfter w:val="2"/>
          <w:wAfter w:w="1758" w:type="dxa"/>
          <w:cantSplit/>
          <w:trHeight w:val="1320"/>
        </w:trPr>
        <w:tc>
          <w:tcPr>
            <w:tcW w:w="5897" w:type="dxa"/>
          </w:tcPr>
          <w:p w:rsidR="001B0E70" w:rsidRPr="00BD2B25" w:rsidRDefault="001B0E70">
            <w:pPr>
              <w:pStyle w:val="HuvudRubrik"/>
            </w:pPr>
            <w:r w:rsidRPr="00BD2B25">
              <w:t>Regeringskansliet</w:t>
            </w:r>
          </w:p>
          <w:p w:rsidR="001B0E70" w:rsidRPr="00BD2B25" w:rsidRDefault="001B0E70">
            <w:pPr>
              <w:pStyle w:val="HuvudRubrik"/>
            </w:pPr>
            <w:r w:rsidRPr="00BD2B25">
              <w:t xml:space="preserve">Faktapromemoria  </w:t>
            </w:r>
            <w:r w:rsidRPr="00BD2B25">
              <w:t>2006/07</w:t>
            </w:r>
            <w:r w:rsidRPr="00BD2B25">
              <w:t>:</w:t>
            </w:r>
            <w:r w:rsidRPr="00BD2B25">
              <w:t>FPM51</w:t>
            </w:r>
          </w:p>
        </w:tc>
      </w:tr>
      <w:tr w:rsidR="00000000" w:rsidRPr="00BD2B25">
        <w:tblPrEx>
          <w:tblCellMar>
            <w:top w:w="0" w:type="dxa"/>
            <w:left w:w="0" w:type="dxa"/>
            <w:bottom w:w="0" w:type="dxa"/>
            <w:right w:w="0" w:type="dxa"/>
          </w:tblCellMar>
        </w:tblPrEx>
        <w:trPr>
          <w:gridAfter w:val="2"/>
          <w:wAfter w:w="1758" w:type="dxa"/>
          <w:cantSplit/>
          <w:trHeight w:val="240"/>
        </w:trPr>
        <w:tc>
          <w:tcPr>
            <w:tcW w:w="5897" w:type="dxa"/>
          </w:tcPr>
          <w:p w:rsidR="001B0E70" w:rsidRPr="00BD2B25" w:rsidRDefault="001B0E70">
            <w:pPr>
              <w:pStyle w:val="HuvudRubrik"/>
              <w:rPr>
                <w:sz w:val="28"/>
              </w:rPr>
            </w:pPr>
            <w:r w:rsidRPr="00BD2B25">
              <w:rPr>
                <w:sz w:val="28"/>
              </w:rPr>
              <w:t>Förordning om reform av frukt- och grönsakssektorn</w:t>
            </w:r>
          </w:p>
        </w:tc>
      </w:tr>
      <w:tr w:rsidR="00512761" w:rsidRPr="00BD2B25">
        <w:tblPrEx>
          <w:tblCellMar>
            <w:top w:w="0" w:type="dxa"/>
            <w:left w:w="0" w:type="dxa"/>
            <w:bottom w:w="0" w:type="dxa"/>
            <w:right w:w="0" w:type="dxa"/>
          </w:tblCellMar>
        </w:tblPrEx>
        <w:trPr>
          <w:cantSplit/>
          <w:trHeight w:val="285"/>
        </w:trPr>
        <w:tc>
          <w:tcPr>
            <w:tcW w:w="7655" w:type="dxa"/>
            <w:gridSpan w:val="3"/>
          </w:tcPr>
          <w:p w:rsidR="00512761" w:rsidRPr="00BD2B25" w:rsidRDefault="00B17402">
            <w:pPr>
              <w:pStyle w:val="Departement"/>
              <w:rPr>
                <w:sz w:val="28"/>
              </w:rPr>
            </w:pPr>
            <w:r w:rsidRPr="00BD2B25">
              <w:t>Jordbruksdepartementet</w:t>
            </w:r>
          </w:p>
        </w:tc>
      </w:tr>
      <w:tr w:rsidR="00512761" w:rsidRPr="00BD2B25">
        <w:tblPrEx>
          <w:tblCellMar>
            <w:top w:w="0" w:type="dxa"/>
            <w:left w:w="0" w:type="dxa"/>
            <w:bottom w:w="0" w:type="dxa"/>
            <w:right w:w="0" w:type="dxa"/>
          </w:tblCellMar>
        </w:tblPrEx>
        <w:trPr>
          <w:cantSplit/>
          <w:trHeight w:val="240"/>
        </w:trPr>
        <w:tc>
          <w:tcPr>
            <w:tcW w:w="7655" w:type="dxa"/>
            <w:gridSpan w:val="3"/>
          </w:tcPr>
          <w:p w:rsidR="00512761" w:rsidRPr="00BD2B25" w:rsidRDefault="00B17402">
            <w:pPr>
              <w:pStyle w:val="Dokumentdatum"/>
            </w:pPr>
            <w:r w:rsidRPr="00BD2B25">
              <w:t>2007-03-12</w:t>
            </w:r>
          </w:p>
        </w:tc>
      </w:tr>
      <w:tr w:rsidR="00512761" w:rsidRPr="00BD2B25">
        <w:tblPrEx>
          <w:tblCellMar>
            <w:top w:w="0" w:type="dxa"/>
            <w:left w:w="0" w:type="dxa"/>
            <w:bottom w:w="0" w:type="dxa"/>
            <w:right w:w="0" w:type="dxa"/>
          </w:tblCellMar>
        </w:tblPrEx>
        <w:trPr>
          <w:cantSplit/>
          <w:trHeight w:val="726"/>
        </w:trPr>
        <w:tc>
          <w:tcPr>
            <w:tcW w:w="7655" w:type="dxa"/>
            <w:gridSpan w:val="3"/>
            <w:vAlign w:val="bottom"/>
          </w:tcPr>
          <w:p w:rsidR="00512761" w:rsidRPr="00BD2B25" w:rsidRDefault="00512761">
            <w:pPr>
              <w:pStyle w:val="Dokumentbeteckning"/>
            </w:pPr>
            <w:r w:rsidRPr="00BD2B25">
              <w:t>Dokumentbeteckning</w:t>
            </w:r>
          </w:p>
        </w:tc>
      </w:tr>
      <w:tr w:rsidR="004E5599" w:rsidRPr="00BD2B25">
        <w:tblPrEx>
          <w:tblCellMar>
            <w:top w:w="0" w:type="dxa"/>
            <w:left w:w="0" w:type="dxa"/>
            <w:bottom w:w="0" w:type="dxa"/>
            <w:right w:w="0" w:type="dxa"/>
          </w:tblCellMar>
        </w:tblPrEx>
        <w:trPr>
          <w:gridAfter w:val="1"/>
          <w:wAfter w:w="1560" w:type="dxa"/>
          <w:trHeight w:val="120"/>
        </w:trPr>
        <w:tc>
          <w:tcPr>
            <w:tcW w:w="6095" w:type="dxa"/>
            <w:gridSpan w:val="2"/>
          </w:tcPr>
          <w:p w:rsidR="004E5599" w:rsidRPr="00BD2B25" w:rsidRDefault="00B17402" w:rsidP="008A0FE7">
            <w:bookmarkStart w:id="0" w:name="KomNr"/>
            <w:bookmarkEnd w:id="0"/>
            <w:r w:rsidRPr="00BD2B25">
              <w:t>KOM (2007) 17</w:t>
            </w:r>
          </w:p>
        </w:tc>
      </w:tr>
      <w:tr w:rsidR="008A0FE7" w:rsidRPr="00BD2B25">
        <w:tblPrEx>
          <w:tblCellMar>
            <w:top w:w="0" w:type="dxa"/>
            <w:left w:w="0" w:type="dxa"/>
            <w:bottom w:w="0" w:type="dxa"/>
            <w:right w:w="0" w:type="dxa"/>
          </w:tblCellMar>
        </w:tblPrEx>
        <w:trPr>
          <w:gridAfter w:val="1"/>
          <w:wAfter w:w="1560" w:type="dxa"/>
          <w:trHeight w:val="120"/>
        </w:trPr>
        <w:tc>
          <w:tcPr>
            <w:tcW w:w="6095" w:type="dxa"/>
            <w:gridSpan w:val="2"/>
          </w:tcPr>
          <w:p w:rsidR="008A0FE7" w:rsidRPr="00BD2B25" w:rsidRDefault="00B17402" w:rsidP="008A0FE7">
            <w:pPr>
              <w:pStyle w:val="Dokumentbeteckning-titel"/>
            </w:pPr>
            <w:r w:rsidRPr="00BD2B25">
              <w:t>Förslag till rådets förordning om särskilda bestämmelser för sektorn för frukt och grönsaker och om ändring av vissa förordningar</w:t>
            </w:r>
          </w:p>
        </w:tc>
      </w:tr>
    </w:tbl>
    <w:p w:rsidR="00512761" w:rsidRPr="00BD2B25" w:rsidRDefault="00512761">
      <w:pPr>
        <w:pStyle w:val="Rubrik1"/>
        <w:numPr>
          <w:ilvl w:val="0"/>
          <w:numId w:val="0"/>
        </w:numPr>
      </w:pPr>
      <w:r w:rsidRPr="00BD2B25">
        <w:t>Sammanfattning</w:t>
      </w:r>
    </w:p>
    <w:p w:rsidR="00186859" w:rsidRPr="00BD2B25" w:rsidRDefault="0025238E" w:rsidP="00F9775C">
      <w:r w:rsidRPr="00BD2B25">
        <w:t>Kommissionen föreslår en reform</w:t>
      </w:r>
      <w:r w:rsidR="0054229D" w:rsidRPr="00BD2B25">
        <w:t xml:space="preserve"> av frukt- och grönsakssektorn som</w:t>
      </w:r>
      <w:r w:rsidRPr="00BD2B25">
        <w:t xml:space="preserve"> innebär ett steg mot ökad marknadsorientering, förbättrad WTO-förenlighet och </w:t>
      </w:r>
      <w:r w:rsidR="0054229D" w:rsidRPr="00BD2B25">
        <w:t>åtgärder som kan vara positiva ur ett folkhälso</w:t>
      </w:r>
      <w:r w:rsidR="005209BB" w:rsidRPr="00BD2B25">
        <w:t>perspektiv</w:t>
      </w:r>
      <w:r w:rsidRPr="00BD2B25">
        <w:t>. I reformen av EU:s jordbrukspolitik 2003</w:t>
      </w:r>
      <w:r w:rsidR="00026AE6" w:rsidRPr="00BD2B25">
        <w:t>,</w:t>
      </w:r>
      <w:r w:rsidRPr="00BD2B25">
        <w:t xml:space="preserve"> utelämnades </w:t>
      </w:r>
      <w:r w:rsidR="00026AE6" w:rsidRPr="00BD2B25">
        <w:t>marknadsordningarna</w:t>
      </w:r>
      <w:r w:rsidRPr="00BD2B25">
        <w:t xml:space="preserve"> för frukt- och gr</w:t>
      </w:r>
      <w:r w:rsidR="005209BB" w:rsidRPr="00BD2B25">
        <w:t>önsakssektorn. R</w:t>
      </w:r>
      <w:r w:rsidRPr="00BD2B25">
        <w:t xml:space="preserve">eformen </w:t>
      </w:r>
      <w:r w:rsidR="005209BB" w:rsidRPr="00BD2B25">
        <w:t>innebär att</w:t>
      </w:r>
      <w:r w:rsidRPr="00BD2B25">
        <w:t xml:space="preserve"> även frukt- och grönsakssektorn </w:t>
      </w:r>
      <w:r w:rsidR="005209BB" w:rsidRPr="00BD2B25">
        <w:t>inordnas</w:t>
      </w:r>
      <w:r w:rsidRPr="00BD2B25">
        <w:t xml:space="preserve"> i det frikopplade gårdsstödet.  Till stora delar ligger det liggande förslaget i linje med svenska prioriteringar för en reform.</w:t>
      </w:r>
    </w:p>
    <w:p w:rsidR="00512761" w:rsidRPr="00BD2B25" w:rsidRDefault="00512761">
      <w:pPr>
        <w:pStyle w:val="Rubrik1"/>
      </w:pPr>
      <w:r w:rsidRPr="00BD2B25">
        <w:t>Förslaget</w:t>
      </w:r>
    </w:p>
    <w:p w:rsidR="00512761" w:rsidRPr="00BD2B25" w:rsidRDefault="00512761">
      <w:pPr>
        <w:pStyle w:val="Rubrik2"/>
      </w:pPr>
      <w:r w:rsidRPr="00BD2B25">
        <w:t>Innehåll</w:t>
      </w:r>
    </w:p>
    <w:p w:rsidR="00186859" w:rsidRPr="00BD2B25" w:rsidRDefault="00186859" w:rsidP="00F9775C">
      <w:r w:rsidRPr="00BD2B25">
        <w:t xml:space="preserve">I korthet innebär kommissionens reformförslag att </w:t>
      </w:r>
      <w:r w:rsidR="007D536C" w:rsidRPr="00BD2B25">
        <w:t xml:space="preserve">stödet till </w:t>
      </w:r>
      <w:r w:rsidRPr="00BD2B25">
        <w:t xml:space="preserve">producentorganisationer (PO) även i fortsättningen ska vara grundstenen i EU:s stödpolitik till </w:t>
      </w:r>
      <w:r w:rsidR="00F1612D" w:rsidRPr="00BD2B25">
        <w:t>frukt- och grönsaks</w:t>
      </w:r>
      <w:r w:rsidRPr="00BD2B25">
        <w:t>sektor</w:t>
      </w:r>
      <w:r w:rsidR="00F1612D" w:rsidRPr="00BD2B25">
        <w:t>n</w:t>
      </w:r>
      <w:r w:rsidRPr="00BD2B25">
        <w:t xml:space="preserve">, trots allvarlig kritik från </w:t>
      </w:r>
      <w:r w:rsidR="0090623C" w:rsidRPr="00BD2B25">
        <w:t>E</w:t>
      </w:r>
      <w:r w:rsidR="00F54036" w:rsidRPr="00BD2B25">
        <w:t xml:space="preserve">uropeiska </w:t>
      </w:r>
      <w:r w:rsidRPr="00BD2B25">
        <w:t>revisionsrätten 2006. Bearbetningsstöden</w:t>
      </w:r>
      <w:r w:rsidR="00F54036" w:rsidRPr="00BD2B25">
        <w:t xml:space="preserve"> (för bl.a. citrus och tomater)</w:t>
      </w:r>
      <w:r w:rsidRPr="00BD2B25">
        <w:t xml:space="preserve"> överförs i förslaget till gårdsstödet, vilket innebär att frukt och grönsaker fullt ut blir stödberättigande grödor </w:t>
      </w:r>
      <w:r w:rsidR="00F02448" w:rsidRPr="00BD2B25">
        <w:t xml:space="preserve">till </w:t>
      </w:r>
      <w:r w:rsidRPr="00BD2B25">
        <w:t>det frikopplade stödet.</w:t>
      </w:r>
      <w:r w:rsidR="00580B44" w:rsidRPr="00BD2B25">
        <w:t xml:space="preserve"> Å</w:t>
      </w:r>
      <w:r w:rsidRPr="00BD2B25">
        <w:t xml:space="preserve">tertag </w:t>
      </w:r>
      <w:r w:rsidR="0064356D" w:rsidRPr="00BD2B25">
        <w:t xml:space="preserve">för destruktion </w:t>
      </w:r>
      <w:r w:rsidRPr="00BD2B25">
        <w:t xml:space="preserve">som är </w:t>
      </w:r>
      <w:r w:rsidR="0064356D" w:rsidRPr="00BD2B25">
        <w:t>helt</w:t>
      </w:r>
      <w:r w:rsidRPr="00BD2B25">
        <w:t xml:space="preserve"> EU-finansierad</w:t>
      </w:r>
      <w:r w:rsidR="0064356D" w:rsidRPr="00BD2B25">
        <w:t>e</w:t>
      </w:r>
      <w:r w:rsidR="00580B44" w:rsidRPr="00BD2B25">
        <w:t xml:space="preserve"> slopas. </w:t>
      </w:r>
      <w:r w:rsidRPr="00BD2B25">
        <w:t xml:space="preserve"> Ingångsprissystemet med säsongsvarierande tullar förblir oförändrat </w:t>
      </w:r>
      <w:r w:rsidR="0064356D" w:rsidRPr="00BD2B25">
        <w:t>i</w:t>
      </w:r>
      <w:r w:rsidRPr="00BD2B25">
        <w:t xml:space="preserve"> avvakta</w:t>
      </w:r>
      <w:r w:rsidR="0064356D" w:rsidRPr="00BD2B25">
        <w:t>n på</w:t>
      </w:r>
      <w:r w:rsidRPr="00BD2B25">
        <w:t xml:space="preserve"> </w:t>
      </w:r>
      <w:r w:rsidR="0064356D" w:rsidRPr="00BD2B25">
        <w:t>utfallet</w:t>
      </w:r>
      <w:r w:rsidRPr="00BD2B25">
        <w:t xml:space="preserve"> i WTO-förhandlingarna. Exportbidragen </w:t>
      </w:r>
      <w:r w:rsidR="001C5998" w:rsidRPr="00BD2B25">
        <w:t xml:space="preserve">föreslås </w:t>
      </w:r>
      <w:r w:rsidRPr="00BD2B25">
        <w:t>avskaffas då de utnyttjas i mycket liten utsträckning</w:t>
      </w:r>
      <w:r w:rsidR="001C5998" w:rsidRPr="00BD2B25">
        <w:t xml:space="preserve"> idag</w:t>
      </w:r>
      <w:r w:rsidRPr="00BD2B25">
        <w:t xml:space="preserve">. </w:t>
      </w:r>
    </w:p>
    <w:p w:rsidR="00186859" w:rsidRPr="00BD2B25" w:rsidRDefault="00186859" w:rsidP="00F9775C"/>
    <w:p w:rsidR="00512761" w:rsidRPr="00BD2B25" w:rsidRDefault="00186859" w:rsidP="00186859">
      <w:r w:rsidRPr="00BD2B25">
        <w:lastRenderedPageBreak/>
        <w:t>Krishantering</w:t>
      </w:r>
      <w:r w:rsidR="00366934" w:rsidRPr="00BD2B25">
        <w:t xml:space="preserve"> (i form av stöd till återtag, ick</w:t>
      </w:r>
      <w:r w:rsidR="000313C5" w:rsidRPr="00BD2B25">
        <w:t>e-skörd, skördeskadeförsäkring,</w:t>
      </w:r>
      <w:r w:rsidR="00366934" w:rsidRPr="00BD2B25">
        <w:t xml:space="preserve"> kurser m.m.)</w:t>
      </w:r>
      <w:r w:rsidRPr="00BD2B25">
        <w:t xml:space="preserve"> införs som stödberättigande åtgärd inom PO och kommer därmed </w:t>
      </w:r>
      <w:r w:rsidR="00BC59B3" w:rsidRPr="00BD2B25">
        <w:t>att</w:t>
      </w:r>
      <w:r w:rsidR="001C5998" w:rsidRPr="00BD2B25">
        <w:t xml:space="preserve"> </w:t>
      </w:r>
      <w:r w:rsidRPr="00BD2B25">
        <w:t xml:space="preserve">finansieras </w:t>
      </w:r>
      <w:r w:rsidR="00E57050" w:rsidRPr="00BD2B25">
        <w:t xml:space="preserve">till </w:t>
      </w:r>
      <w:r w:rsidR="00BC59B3" w:rsidRPr="00BD2B25">
        <w:t xml:space="preserve">hälften </w:t>
      </w:r>
      <w:r w:rsidR="00E57050" w:rsidRPr="00BD2B25">
        <w:t>av EU</w:t>
      </w:r>
      <w:r w:rsidRPr="00BD2B25">
        <w:t>. Den maximala EU-finansieringen av PO-stödet på 4,1 % av produktionsvärdet bibehålls</w:t>
      </w:r>
      <w:r w:rsidRPr="00BD2B25">
        <w:rPr>
          <w:vertAlign w:val="superscript"/>
        </w:rPr>
        <w:footnoteReference w:id="1"/>
      </w:r>
      <w:r w:rsidR="00BA2F46" w:rsidRPr="00BD2B25">
        <w:t xml:space="preserve">, medan möjlighet </w:t>
      </w:r>
      <w:r w:rsidR="005350CD" w:rsidRPr="00BD2B25">
        <w:t xml:space="preserve">ges att för vissa åtgärder </w:t>
      </w:r>
      <w:r w:rsidR="009F195C" w:rsidRPr="00BD2B25">
        <w:t xml:space="preserve"> (exv. miljö) </w:t>
      </w:r>
      <w:r w:rsidR="005350CD" w:rsidRPr="00BD2B25">
        <w:t>höja</w:t>
      </w:r>
      <w:r w:rsidR="00BA2F46" w:rsidRPr="00BD2B25">
        <w:t xml:space="preserve"> EU-stöd</w:t>
      </w:r>
      <w:r w:rsidR="005350CD" w:rsidRPr="00BD2B25">
        <w:t>et</w:t>
      </w:r>
      <w:r w:rsidRPr="00BD2B25">
        <w:t>, från 50% till 60 %.</w:t>
      </w:r>
    </w:p>
    <w:p w:rsidR="00D82187" w:rsidRPr="00BD2B25" w:rsidRDefault="00D82187" w:rsidP="00F9775C"/>
    <w:p w:rsidR="00D82187" w:rsidRPr="00BD2B25" w:rsidRDefault="00F03554" w:rsidP="00F9775C">
      <w:r w:rsidRPr="00BD2B25">
        <w:t xml:space="preserve">Enligt kommissionen </w:t>
      </w:r>
      <w:r w:rsidR="00DD7DB1" w:rsidRPr="00BD2B25">
        <w:t>syftar</w:t>
      </w:r>
      <w:r w:rsidRPr="00BD2B25">
        <w:t xml:space="preserve"> tre åtgärder i reformen </w:t>
      </w:r>
      <w:r w:rsidR="00DD7DB1" w:rsidRPr="00BD2B25">
        <w:t xml:space="preserve">till </w:t>
      </w:r>
      <w:r w:rsidRPr="00BD2B25">
        <w:t xml:space="preserve">att </w:t>
      </w:r>
      <w:r w:rsidR="00D82187" w:rsidRPr="00BD2B25">
        <w:t>förbättra folkhälsan</w:t>
      </w:r>
      <w:r w:rsidR="00D03158" w:rsidRPr="00BD2B25">
        <w:t xml:space="preserve"> för</w:t>
      </w:r>
      <w:r w:rsidR="00124655" w:rsidRPr="00BD2B25">
        <w:t xml:space="preserve"> EU:s medborgare genom att stim</w:t>
      </w:r>
      <w:r w:rsidR="00D03158" w:rsidRPr="00BD2B25">
        <w:t>u</w:t>
      </w:r>
      <w:r w:rsidR="00124655" w:rsidRPr="00BD2B25">
        <w:t>l</w:t>
      </w:r>
      <w:r w:rsidR="00D03158" w:rsidRPr="00BD2B25">
        <w:t>era konsumtionen av frukt och grönsaker</w:t>
      </w:r>
      <w:r w:rsidR="00D82187" w:rsidRPr="00BD2B25">
        <w:t>.</w:t>
      </w:r>
      <w:r w:rsidR="0039225C" w:rsidRPr="00BD2B25">
        <w:t xml:space="preserve"> Kommissionen föreslår att EU:s andel av marknadsföringsstödet för frukt och grönsaker ska öka från 50 till 60 % för barn under 18 år</w:t>
      </w:r>
      <w:r w:rsidR="00E45F66" w:rsidRPr="00BD2B25">
        <w:rPr>
          <w:rStyle w:val="Fotnotsreferens"/>
        </w:rPr>
        <w:footnoteReference w:id="2"/>
      </w:r>
      <w:r w:rsidR="0039225C" w:rsidRPr="00BD2B25">
        <w:t xml:space="preserve">. </w:t>
      </w:r>
      <w:r w:rsidR="00A115A5" w:rsidRPr="00BD2B25">
        <w:t xml:space="preserve">Producentorganisationer ska utföra åtgärder som gynnar unga konsumenters konsumtion av frukt och grönsaker. Slutligen bibehålls </w:t>
      </w:r>
      <w:r w:rsidR="00703ACF" w:rsidRPr="00BD2B25">
        <w:t xml:space="preserve">möjligheten till </w:t>
      </w:r>
      <w:r w:rsidR="00A115A5" w:rsidRPr="00BD2B25">
        <w:t xml:space="preserve">helt EU-finansierade återtag </w:t>
      </w:r>
      <w:r w:rsidR="0039225C" w:rsidRPr="00BD2B25">
        <w:t xml:space="preserve">av frukt och grönsaker </w:t>
      </w:r>
      <w:r w:rsidR="00A115A5" w:rsidRPr="00BD2B25">
        <w:t>för distribution till skolor, sjukhus, fängelser</w:t>
      </w:r>
      <w:r w:rsidR="005252E6" w:rsidRPr="00BD2B25">
        <w:t>, ålderdomshem,</w:t>
      </w:r>
      <w:r w:rsidR="00A115A5" w:rsidRPr="00BD2B25">
        <w:t xml:space="preserve"> välgörenhetsorganisationer</w:t>
      </w:r>
      <w:r w:rsidR="005252E6" w:rsidRPr="00BD2B25">
        <w:t xml:space="preserve"> m.m.</w:t>
      </w:r>
      <w:r w:rsidR="00A115A5" w:rsidRPr="00BD2B25">
        <w:t xml:space="preserve"> I dessa fall får återtagen högst utgöra 5 % av den sålda kvantiteten hos PO:n. </w:t>
      </w:r>
      <w:r w:rsidR="0039225C" w:rsidRPr="00BD2B25">
        <w:t xml:space="preserve"> </w:t>
      </w:r>
    </w:p>
    <w:p w:rsidR="00512761" w:rsidRPr="00BD2B25" w:rsidRDefault="00512761">
      <w:pPr>
        <w:pStyle w:val="Rubrik2"/>
      </w:pPr>
      <w:r w:rsidRPr="00BD2B25">
        <w:t>Gällande svenska regler och förslagets effekt på dessa</w:t>
      </w:r>
    </w:p>
    <w:p w:rsidR="003D0310" w:rsidRPr="00BD2B25" w:rsidRDefault="003D0310" w:rsidP="00F9775C">
      <w:r w:rsidRPr="00BD2B25">
        <w:t xml:space="preserve">Jordbruksverket ger ut tillämpningsföreskrifter för administrationen </w:t>
      </w:r>
      <w:r w:rsidR="008D0EAD" w:rsidRPr="00BD2B25">
        <w:t xml:space="preserve">av </w:t>
      </w:r>
      <w:r w:rsidRPr="00BD2B25">
        <w:t>PO-stödet, som följaktligen bör uppdateras när kommissionens tillämpningsförordning är klar.</w:t>
      </w:r>
    </w:p>
    <w:p w:rsidR="00512761" w:rsidRPr="00BD2B25" w:rsidRDefault="00512761">
      <w:pPr>
        <w:pStyle w:val="Rubrik2"/>
      </w:pPr>
      <w:r w:rsidRPr="00BD2B25">
        <w:t>Budgetära konsekvenser</w:t>
      </w:r>
    </w:p>
    <w:p w:rsidR="00947FC2" w:rsidRPr="00BD2B25" w:rsidRDefault="00947FC2" w:rsidP="00947FC2">
      <w:r w:rsidRPr="00BD2B25">
        <w:t xml:space="preserve">Förslaget är </w:t>
      </w:r>
      <w:r w:rsidR="00764F8A" w:rsidRPr="00BD2B25">
        <w:t xml:space="preserve">enligt kommissionen </w:t>
      </w:r>
      <w:r w:rsidRPr="00BD2B25">
        <w:t>i princip budgetneut</w:t>
      </w:r>
      <w:r w:rsidR="00764F8A" w:rsidRPr="00BD2B25">
        <w:t>ralt i jämförelse med status quo</w:t>
      </w:r>
      <w:r w:rsidR="00BE06EC" w:rsidRPr="00BD2B25">
        <w:t>.</w:t>
      </w:r>
      <w:r w:rsidRPr="00BD2B25">
        <w:t xml:space="preserve"> </w:t>
      </w:r>
      <w:r w:rsidR="00BE06EC" w:rsidRPr="00BD2B25">
        <w:t>I</w:t>
      </w:r>
      <w:r w:rsidRPr="00BD2B25">
        <w:t>nget budgettak införs</w:t>
      </w:r>
      <w:r w:rsidR="00BE06EC" w:rsidRPr="00BD2B25">
        <w:t xml:space="preserve"> dock</w:t>
      </w:r>
      <w:r w:rsidRPr="00BD2B25">
        <w:t xml:space="preserve">. </w:t>
      </w:r>
      <w:r w:rsidR="008224DE" w:rsidRPr="00BD2B25">
        <w:t xml:space="preserve">PO-stödet uppgick år 2005 till 558 miljoner euro, vilket motsvarar en tredjedel av sektorns budget. </w:t>
      </w:r>
      <w:r w:rsidRPr="00BD2B25">
        <w:t xml:space="preserve">De extra medel som </w:t>
      </w:r>
      <w:r w:rsidR="008224DE" w:rsidRPr="00BD2B25">
        <w:t xml:space="preserve">i reformen </w:t>
      </w:r>
      <w:r w:rsidRPr="00BD2B25">
        <w:t xml:space="preserve">tillförs PO </w:t>
      </w:r>
      <w:r w:rsidR="00143E74" w:rsidRPr="00BD2B25">
        <w:t>finansieras delvis genom</w:t>
      </w:r>
      <w:r w:rsidRPr="00BD2B25">
        <w:t xml:space="preserve"> avskaffande av exportbidrag och gemenskapsfinansierade återtag</w:t>
      </w:r>
      <w:r w:rsidR="004B430D" w:rsidRPr="00BD2B25">
        <w:t xml:space="preserve"> (</w:t>
      </w:r>
      <w:r w:rsidR="00C8358A" w:rsidRPr="00BD2B25">
        <w:t>som i nuvarande regelverk även finns som en separat stödåtgärd utanför PO-stödet</w:t>
      </w:r>
      <w:r w:rsidR="004B430D" w:rsidRPr="00BD2B25">
        <w:t>)</w:t>
      </w:r>
      <w:r w:rsidRPr="00BD2B25">
        <w:t xml:space="preserve">. Kommissionen </w:t>
      </w:r>
      <w:r w:rsidR="00295478" w:rsidRPr="00BD2B25">
        <w:t>uppskattar</w:t>
      </w:r>
      <w:r w:rsidR="001C5998" w:rsidRPr="00BD2B25">
        <w:t xml:space="preserve"> </w:t>
      </w:r>
      <w:r w:rsidRPr="00BD2B25">
        <w:t xml:space="preserve">att utan reform kommer utgifterna för PO </w:t>
      </w:r>
      <w:r w:rsidR="00BE06EC" w:rsidRPr="00BD2B25">
        <w:t xml:space="preserve">att </w:t>
      </w:r>
      <w:r w:rsidRPr="00BD2B25">
        <w:t xml:space="preserve">öka med 7,5 %. Med reform </w:t>
      </w:r>
      <w:r w:rsidR="0008541E" w:rsidRPr="00BD2B25">
        <w:t>väntas</w:t>
      </w:r>
      <w:r w:rsidRPr="00BD2B25">
        <w:t xml:space="preserve"> </w:t>
      </w:r>
      <w:r w:rsidR="00143E74" w:rsidRPr="00BD2B25">
        <w:t>utgifts</w:t>
      </w:r>
      <w:r w:rsidRPr="00BD2B25">
        <w:t>utvecklin</w:t>
      </w:r>
      <w:r w:rsidR="001E5ABD" w:rsidRPr="00BD2B25">
        <w:t>gen</w:t>
      </w:r>
      <w:r w:rsidR="00143E74" w:rsidRPr="00BD2B25">
        <w:t xml:space="preserve"> </w:t>
      </w:r>
      <w:r w:rsidR="0008541E" w:rsidRPr="00BD2B25">
        <w:t>vara densamma, förutom för medlemsstater</w:t>
      </w:r>
      <w:r w:rsidRPr="00BD2B25">
        <w:t xml:space="preserve"> med låg anslutningsgrad </w:t>
      </w:r>
      <w:r w:rsidR="005D354B" w:rsidRPr="00BD2B25">
        <w:t xml:space="preserve">till PO, </w:t>
      </w:r>
      <w:r w:rsidRPr="00BD2B25">
        <w:t xml:space="preserve">där </w:t>
      </w:r>
      <w:r w:rsidR="001E5ABD" w:rsidRPr="00BD2B25">
        <w:t>utgifts</w:t>
      </w:r>
      <w:r w:rsidRPr="00BD2B25">
        <w:t xml:space="preserve">utvecklingen </w:t>
      </w:r>
      <w:r w:rsidR="00143E74" w:rsidRPr="00BD2B25">
        <w:t>för</w:t>
      </w:r>
      <w:r w:rsidR="005D354B" w:rsidRPr="00BD2B25">
        <w:t>väntas</w:t>
      </w:r>
      <w:r w:rsidRPr="00BD2B25">
        <w:t xml:space="preserve"> bli en ökning med 20 % per år. I båda fallen uppskattar kommissionen att stödet till PO uppgår till omkring 1 miljard </w:t>
      </w:r>
      <w:r w:rsidR="00BE06EC" w:rsidRPr="00BD2B25">
        <w:t xml:space="preserve">euro </w:t>
      </w:r>
      <w:r w:rsidR="001E7F10" w:rsidRPr="00BD2B25">
        <w:t xml:space="preserve">år </w:t>
      </w:r>
      <w:r w:rsidRPr="00BD2B25">
        <w:t>2013, varför de totala utgifterna för sektorn ökar med ca 300 miljoner euro mellan 2008 och 2013. Utgifterna för det frikopplade stödet (tidigare bearbetningsstöd) kommer 2010 att stabiliseras på 783 miljoner euro.</w:t>
      </w:r>
      <w:r w:rsidR="00E947FE" w:rsidRPr="00BD2B25">
        <w:t xml:space="preserve"> För närvarande uppgår sektorns budget till ca 1 500 miljoner euro.</w:t>
      </w:r>
    </w:p>
    <w:p w:rsidR="00512761" w:rsidRPr="00BD2B25" w:rsidRDefault="00512761">
      <w:pPr>
        <w:pStyle w:val="Rubrik1"/>
      </w:pPr>
      <w:r w:rsidRPr="00BD2B25">
        <w:t>Ståndpunkter</w:t>
      </w:r>
    </w:p>
    <w:p w:rsidR="00512761" w:rsidRPr="00BD2B25" w:rsidRDefault="00512761">
      <w:pPr>
        <w:pStyle w:val="Rubrik2"/>
      </w:pPr>
      <w:r w:rsidRPr="00BD2B25">
        <w:t>Svensk ståndpunkt</w:t>
      </w:r>
    </w:p>
    <w:p w:rsidR="007E3E12" w:rsidRPr="00BD2B25" w:rsidRDefault="003F50D8" w:rsidP="00F9775C">
      <w:r w:rsidRPr="00BD2B25">
        <w:t>Sverige är i huvudsak positiv till kommissionens reformförslag</w:t>
      </w:r>
      <w:r w:rsidR="004833F6" w:rsidRPr="00BD2B25">
        <w:t>.</w:t>
      </w:r>
      <w:r w:rsidRPr="00BD2B25">
        <w:t xml:space="preserve"> </w:t>
      </w:r>
      <w:r w:rsidR="006D71E8" w:rsidRPr="00BD2B25">
        <w:t>Förslaget följer i stora drag de synpunkter som Sverige</w:t>
      </w:r>
      <w:r w:rsidR="00930B3B" w:rsidRPr="00BD2B25">
        <w:t xml:space="preserve"> tillsammans med några andra </w:t>
      </w:r>
      <w:r w:rsidR="00EF095E" w:rsidRPr="00BD2B25">
        <w:t>medlemsstater</w:t>
      </w:r>
      <w:r w:rsidR="006D71E8" w:rsidRPr="00BD2B25">
        <w:t xml:space="preserve"> skickade till kommissionen i juli 2006. </w:t>
      </w:r>
      <w:r w:rsidRPr="00BD2B25">
        <w:t>EU-finansieringen av PO-stödet ökar inte. Sektorns största budgetutgift är bearbetningsstöden och dessa frikopplas helt, vilket bör leda till ökad marknadsanpassning. Exportbidragen slopas, liksom de till 100 % EU-finansierade återtagen för destruktion</w:t>
      </w:r>
      <w:r w:rsidR="00001F53" w:rsidRPr="00BD2B25">
        <w:t xml:space="preserve"> av frukt och grönsaker vid överskott</w:t>
      </w:r>
      <w:r w:rsidRPr="00BD2B25">
        <w:t>, vilket bidrar til</w:t>
      </w:r>
      <w:r w:rsidR="00AF3484" w:rsidRPr="00BD2B25">
        <w:t>l förbättrad WTO-förenlighet. Sverige</w:t>
      </w:r>
      <w:r w:rsidRPr="00BD2B25">
        <w:t xml:space="preserve"> har tidigare hävdat att sådana prisuppehållande stöd bör avskaffas bl.a. för att främja folkhälsan genom att stimulera konsumtionen av frukt och grönsaker.</w:t>
      </w:r>
    </w:p>
    <w:p w:rsidR="003F50D8" w:rsidRPr="00BD2B25" w:rsidRDefault="003F50D8" w:rsidP="00F9775C"/>
    <w:p w:rsidR="00512761" w:rsidRPr="00BD2B25" w:rsidRDefault="00AF3484" w:rsidP="00F9775C">
      <w:r w:rsidRPr="00BD2B25">
        <w:t xml:space="preserve">Det finns </w:t>
      </w:r>
      <w:r w:rsidR="00BE06EC" w:rsidRPr="00BD2B25">
        <w:t xml:space="preserve">även </w:t>
      </w:r>
      <w:r w:rsidR="003F50D8" w:rsidRPr="00BD2B25">
        <w:t>problematiska aspekter på förslaget</w:t>
      </w:r>
      <w:r w:rsidR="001E5ABD" w:rsidRPr="00BD2B25">
        <w:t>,</w:t>
      </w:r>
      <w:r w:rsidR="003F50D8" w:rsidRPr="00BD2B25">
        <w:t xml:space="preserve"> exempelvis införandet av krishantering inom PO-stödet, möjligheten </w:t>
      </w:r>
      <w:r w:rsidR="00143E74" w:rsidRPr="00BD2B25">
        <w:t>att</w:t>
      </w:r>
      <w:r w:rsidR="00317B87" w:rsidRPr="00BD2B25">
        <w:t xml:space="preserve"> i fler fall än tidigare</w:t>
      </w:r>
      <w:r w:rsidR="003F50D8" w:rsidRPr="00BD2B25">
        <w:t xml:space="preserve"> höj</w:t>
      </w:r>
      <w:r w:rsidR="00143E74" w:rsidRPr="00BD2B25">
        <w:t>a</w:t>
      </w:r>
      <w:r w:rsidR="00904997" w:rsidRPr="00BD2B25">
        <w:t xml:space="preserve"> </w:t>
      </w:r>
      <w:r w:rsidR="003F50D8" w:rsidRPr="00BD2B25">
        <w:t>gemenskapsfinansiering</w:t>
      </w:r>
      <w:r w:rsidR="00143E74" w:rsidRPr="00BD2B25">
        <w:t>en</w:t>
      </w:r>
      <w:r w:rsidR="003F50D8" w:rsidRPr="00BD2B25">
        <w:t xml:space="preserve"> av PO från 50 till 60 %</w:t>
      </w:r>
      <w:r w:rsidR="002270BB" w:rsidRPr="00BD2B25">
        <w:t xml:space="preserve">, </w:t>
      </w:r>
      <w:r w:rsidR="00143E74" w:rsidRPr="00BD2B25">
        <w:t xml:space="preserve">införandet av </w:t>
      </w:r>
      <w:r w:rsidR="002270BB" w:rsidRPr="00BD2B25">
        <w:t xml:space="preserve">färska kryddor i </w:t>
      </w:r>
      <w:r w:rsidR="003F50D8" w:rsidRPr="00BD2B25">
        <w:t>marknadsordningen</w:t>
      </w:r>
      <w:r w:rsidR="002270BB" w:rsidRPr="00BD2B25">
        <w:t xml:space="preserve"> (MO</w:t>
      </w:r>
      <w:r w:rsidR="003F50D8" w:rsidRPr="00BD2B25">
        <w:t xml:space="preserve">) och att sektorn saknar budgettak samtidigt som kommissionen har som mål att </w:t>
      </w:r>
      <w:r w:rsidRPr="00BD2B25">
        <w:t>anslutningen till PO ska öka. Sverige</w:t>
      </w:r>
      <w:r w:rsidR="003F50D8" w:rsidRPr="00BD2B25">
        <w:t xml:space="preserve"> anser att utgifterna för E</w:t>
      </w:r>
      <w:r w:rsidR="00143E74" w:rsidRPr="00BD2B25">
        <w:t>U:s budget för</w:t>
      </w:r>
      <w:r w:rsidR="00BE06EC" w:rsidRPr="00BD2B25">
        <w:t xml:space="preserve"> frukt- och grönsaks</w:t>
      </w:r>
      <w:r w:rsidR="003F50D8" w:rsidRPr="00BD2B25">
        <w:t>sektorn bör minska.</w:t>
      </w:r>
    </w:p>
    <w:p w:rsidR="007E3E12" w:rsidRPr="00BD2B25" w:rsidRDefault="007E3E12" w:rsidP="00F9775C"/>
    <w:p w:rsidR="007E3E12" w:rsidRPr="00BD2B25" w:rsidRDefault="007E3E12" w:rsidP="00F9775C">
      <w:r w:rsidRPr="00BD2B25">
        <w:t>S</w:t>
      </w:r>
      <w:r w:rsidR="00EF095E" w:rsidRPr="00BD2B25">
        <w:t>verige</w:t>
      </w:r>
      <w:r w:rsidRPr="00BD2B25">
        <w:t xml:space="preserve"> stödjer ambitionerna att reformen skall syfta till att förbättra folkhälsan i EU. S</w:t>
      </w:r>
      <w:r w:rsidR="00EF095E" w:rsidRPr="00BD2B25">
        <w:t>verige</w:t>
      </w:r>
      <w:r w:rsidRPr="00BD2B25">
        <w:t xml:space="preserve"> är dock tveksam till att kommissionens förslag </w:t>
      </w:r>
      <w:r w:rsidR="00E927CC" w:rsidRPr="00BD2B25">
        <w:t>kommer att få de önskade effekterna.</w:t>
      </w:r>
    </w:p>
    <w:p w:rsidR="00512761" w:rsidRPr="00BD2B25" w:rsidRDefault="00512761">
      <w:pPr>
        <w:pStyle w:val="Rubrik2"/>
      </w:pPr>
      <w:r w:rsidRPr="00BD2B25">
        <w:t>Medlemsstaternas ståndpunkter</w:t>
      </w:r>
    </w:p>
    <w:p w:rsidR="009126E0" w:rsidRPr="00BD2B25" w:rsidRDefault="00271B9A" w:rsidP="009126E0">
      <w:r w:rsidRPr="00BD2B25">
        <w:t>Det finns en</w:t>
      </w:r>
      <w:r w:rsidR="009126E0" w:rsidRPr="00BD2B25">
        <w:t xml:space="preserve"> </w:t>
      </w:r>
      <w:r w:rsidR="001D1078" w:rsidRPr="00BD2B25">
        <w:t xml:space="preserve">tydlig </w:t>
      </w:r>
      <w:r w:rsidR="009126E0" w:rsidRPr="00BD2B25">
        <w:t xml:space="preserve">skiljelinje i </w:t>
      </w:r>
      <w:r w:rsidR="00E408F6" w:rsidRPr="00BD2B25">
        <w:t xml:space="preserve">reformsyn </w:t>
      </w:r>
      <w:r w:rsidR="009126E0" w:rsidRPr="00BD2B25">
        <w:t>mellan länder i norra jämfört med södra Europa</w:t>
      </w:r>
      <w:r w:rsidR="001D1078" w:rsidRPr="00BD2B25">
        <w:t xml:space="preserve"> vad gäller avreglering och ökad marknadsorientering</w:t>
      </w:r>
      <w:r w:rsidR="009126E0" w:rsidRPr="00BD2B25">
        <w:t xml:space="preserve">. </w:t>
      </w:r>
      <w:r w:rsidR="002270BB" w:rsidRPr="00BD2B25">
        <w:t>Flera nya medlemsstater</w:t>
      </w:r>
      <w:r w:rsidRPr="00BD2B25">
        <w:t xml:space="preserve"> önskar utökade medel till sin bärsektor</w:t>
      </w:r>
      <w:r w:rsidR="00781993" w:rsidRPr="00BD2B25">
        <w:t xml:space="preserve"> (2005 utgjorde</w:t>
      </w:r>
      <w:r w:rsidRPr="00BD2B25">
        <w:t xml:space="preserve"> de nya medlemsstaternas budgetandel av sektorn ca 1 %). </w:t>
      </w:r>
      <w:r w:rsidR="006E3474" w:rsidRPr="00BD2B25">
        <w:t>De sydligare medlemsstaterna</w:t>
      </w:r>
      <w:r w:rsidR="009126E0" w:rsidRPr="00BD2B25">
        <w:t xml:space="preserve"> är bekymrade över det ökade importtrycket, men även över de hinder </w:t>
      </w:r>
      <w:r w:rsidR="003201ED" w:rsidRPr="00BD2B25">
        <w:t xml:space="preserve">som </w:t>
      </w:r>
      <w:r w:rsidR="009126E0" w:rsidRPr="00BD2B25">
        <w:t xml:space="preserve">de möter </w:t>
      </w:r>
      <w:r w:rsidR="003201ED" w:rsidRPr="00BD2B25">
        <w:t>vid</w:t>
      </w:r>
      <w:r w:rsidR="009126E0" w:rsidRPr="00BD2B25">
        <w:t xml:space="preserve"> export av frukt och grönsaker till tredje land. Alla </w:t>
      </w:r>
      <w:r w:rsidR="003201ED" w:rsidRPr="00BD2B25">
        <w:t>medlemsstater</w:t>
      </w:r>
      <w:r w:rsidR="000928A9" w:rsidRPr="00BD2B25">
        <w:t xml:space="preserve"> </w:t>
      </w:r>
      <w:r w:rsidR="009126E0" w:rsidRPr="00BD2B25">
        <w:t>bekräftar vikten av producentorganisationernas roll i marknadsordningen för att stödja produkt</w:t>
      </w:r>
      <w:r w:rsidR="008B4C47" w:rsidRPr="00BD2B25">
        <w:t>-, kvalité- och miljö</w:t>
      </w:r>
      <w:r w:rsidR="009126E0" w:rsidRPr="00BD2B25">
        <w:t xml:space="preserve">utveckling m.m. </w:t>
      </w:r>
    </w:p>
    <w:p w:rsidR="009126E0" w:rsidRPr="00BD2B25" w:rsidRDefault="009126E0" w:rsidP="009126E0">
      <w:r w:rsidRPr="00BD2B25">
        <w:t>När det gäl</w:t>
      </w:r>
      <w:r w:rsidR="004910E7" w:rsidRPr="00BD2B25">
        <w:t>ler krishantering föredrar vissa</w:t>
      </w:r>
      <w:r w:rsidRPr="00BD2B25">
        <w:t xml:space="preserve"> länder i norr försäkringsalternativet (statlig subventionering av skördeskadeförsäkring mot onormala väderförhållanden)</w:t>
      </w:r>
      <w:r w:rsidR="004910E7" w:rsidRPr="00BD2B25">
        <w:t xml:space="preserve"> om något</w:t>
      </w:r>
      <w:r w:rsidR="00AA302A" w:rsidRPr="00BD2B25">
        <w:t>,</w:t>
      </w:r>
      <w:r w:rsidR="004910E7" w:rsidRPr="00BD2B25">
        <w:t xml:space="preserve"> medan länderna i syd inte anser att kommissionens förslag är tillräckligt långtgående vad gäller krishantering</w:t>
      </w:r>
      <w:r w:rsidRPr="00BD2B25">
        <w:t xml:space="preserve">. </w:t>
      </w:r>
      <w:r w:rsidR="0032096B" w:rsidRPr="00BD2B25">
        <w:t>Samtliga medlemsstater</w:t>
      </w:r>
      <w:r w:rsidRPr="00BD2B25">
        <w:t xml:space="preserve"> är rörande överens om att handelsnormerna</w:t>
      </w:r>
      <w:r w:rsidR="00CD7EB3" w:rsidRPr="00BD2B25">
        <w:t xml:space="preserve"> (</w:t>
      </w:r>
      <w:r w:rsidR="0032096B" w:rsidRPr="00BD2B25">
        <w:t xml:space="preserve">t.ex. </w:t>
      </w:r>
      <w:r w:rsidR="00CD7EB3" w:rsidRPr="00BD2B25">
        <w:t>storlek på gurka m.m.)</w:t>
      </w:r>
      <w:r w:rsidRPr="00BD2B25">
        <w:t xml:space="preserve"> bör förenklas. Det är dock endast ett fåtal </w:t>
      </w:r>
      <w:r w:rsidR="0032096B" w:rsidRPr="00BD2B25">
        <w:t>medlemsstater</w:t>
      </w:r>
      <w:r w:rsidR="00401C35" w:rsidRPr="00BD2B25">
        <w:t xml:space="preserve"> </w:t>
      </w:r>
      <w:r w:rsidRPr="00BD2B25">
        <w:t xml:space="preserve">som </w:t>
      </w:r>
      <w:r w:rsidR="0090465E" w:rsidRPr="00BD2B25">
        <w:t xml:space="preserve">helt </w:t>
      </w:r>
      <w:r w:rsidRPr="00BD2B25">
        <w:t>vill</w:t>
      </w:r>
      <w:r w:rsidR="0090465E" w:rsidRPr="00BD2B25">
        <w:t xml:space="preserve"> lämna över detta regelverk</w:t>
      </w:r>
      <w:r w:rsidRPr="00BD2B25">
        <w:t xml:space="preserve"> åt näringen. </w:t>
      </w:r>
      <w:r w:rsidR="00206F3D" w:rsidRPr="00BD2B25">
        <w:t>Flertalet</w:t>
      </w:r>
      <w:r w:rsidRPr="00BD2B25">
        <w:t xml:space="preserve"> </w:t>
      </w:r>
      <w:r w:rsidR="00FA3EA9" w:rsidRPr="00BD2B25">
        <w:t>medlemsstater</w:t>
      </w:r>
      <w:r w:rsidRPr="00BD2B25">
        <w:t xml:space="preserve"> förespråkar marknadsföringsåtgärder. Miljöåtgärder är viktiga även om</w:t>
      </w:r>
      <w:r w:rsidR="007A63B4" w:rsidRPr="00BD2B25">
        <w:t xml:space="preserve"> </w:t>
      </w:r>
      <w:r w:rsidR="001B164F" w:rsidRPr="00BD2B25">
        <w:t>vissa sydliga länder</w:t>
      </w:r>
      <w:r w:rsidR="007A63B4" w:rsidRPr="00BD2B25">
        <w:t xml:space="preserve"> ifrågasätter </w:t>
      </w:r>
      <w:r w:rsidRPr="00BD2B25">
        <w:t xml:space="preserve">kommissionen </w:t>
      </w:r>
      <w:r w:rsidR="007A63B4" w:rsidRPr="00BD2B25">
        <w:t>synpunkter</w:t>
      </w:r>
      <w:r w:rsidRPr="00BD2B25">
        <w:t xml:space="preserve"> angående sektorns negativa konsekvenser för miljön. </w:t>
      </w:r>
      <w:r w:rsidR="00BE06EC" w:rsidRPr="00BD2B25">
        <w:t>De</w:t>
      </w:r>
      <w:r w:rsidR="001C31C5" w:rsidRPr="00BD2B25">
        <w:t>ssa</w:t>
      </w:r>
      <w:r w:rsidR="00BE06EC" w:rsidRPr="00BD2B25">
        <w:t xml:space="preserve"> anser att mycket redan görs</w:t>
      </w:r>
      <w:r w:rsidR="001C31C5" w:rsidRPr="00BD2B25">
        <w:t xml:space="preserve"> för att komma till rätta med miljöproblemen</w:t>
      </w:r>
      <w:r w:rsidRPr="00BD2B25">
        <w:t xml:space="preserve">. Åsikterna om att frikoppla bearbetningsstöden går isär från </w:t>
      </w:r>
      <w:r w:rsidR="00401C35" w:rsidRPr="00BD2B25">
        <w:t>helt emot</w:t>
      </w:r>
      <w:r w:rsidRPr="00BD2B25">
        <w:t xml:space="preserve"> till full</w:t>
      </w:r>
      <w:r w:rsidR="00270A43" w:rsidRPr="00BD2B25">
        <w:t>ständig</w:t>
      </w:r>
      <w:r w:rsidRPr="00BD2B25">
        <w:t xml:space="preserve"> frikoppling. </w:t>
      </w:r>
      <w:r w:rsidR="00F811C7" w:rsidRPr="00BD2B25">
        <w:t>D</w:t>
      </w:r>
      <w:r w:rsidR="002270BB" w:rsidRPr="00BD2B25">
        <w:t xml:space="preserve">et </w:t>
      </w:r>
      <w:r w:rsidR="00F811C7" w:rsidRPr="00BD2B25">
        <w:t>är länderna i syd</w:t>
      </w:r>
      <w:r w:rsidR="00C97D42" w:rsidRPr="00BD2B25">
        <w:t>,</w:t>
      </w:r>
      <w:r w:rsidR="00F811C7" w:rsidRPr="00BD2B25">
        <w:t xml:space="preserve"> </w:t>
      </w:r>
      <w:r w:rsidR="003049C5" w:rsidRPr="00BD2B25">
        <w:t>vilka</w:t>
      </w:r>
      <w:r w:rsidR="00F811C7" w:rsidRPr="00BD2B25">
        <w:t xml:space="preserve"> </w:t>
      </w:r>
      <w:r w:rsidR="00C97D42" w:rsidRPr="00BD2B25">
        <w:t xml:space="preserve">främst </w:t>
      </w:r>
      <w:r w:rsidR="00F811C7" w:rsidRPr="00BD2B25">
        <w:t>til</w:t>
      </w:r>
      <w:r w:rsidR="002270BB" w:rsidRPr="00BD2B25">
        <w:t>l</w:t>
      </w:r>
      <w:r w:rsidR="00F811C7" w:rsidRPr="00BD2B25">
        <w:t>ämpar stöden</w:t>
      </w:r>
      <w:r w:rsidR="00C97D42" w:rsidRPr="00BD2B25">
        <w:t>,</w:t>
      </w:r>
      <w:r w:rsidR="00F811C7" w:rsidRPr="00BD2B25">
        <w:t xml:space="preserve"> </w:t>
      </w:r>
      <w:r w:rsidR="000C52AE" w:rsidRPr="00BD2B25">
        <w:t xml:space="preserve">som </w:t>
      </w:r>
      <w:r w:rsidR="00F811C7" w:rsidRPr="00BD2B25">
        <w:t>är mer tveksamma till en full</w:t>
      </w:r>
      <w:r w:rsidR="00F31CA7" w:rsidRPr="00BD2B25">
        <w:t>ständig</w:t>
      </w:r>
      <w:r w:rsidR="00F811C7" w:rsidRPr="00BD2B25">
        <w:t xml:space="preserve"> frikoppling</w:t>
      </w:r>
      <w:r w:rsidR="00D40D8C" w:rsidRPr="00BD2B25">
        <w:t>, särskilt utan övergångsperiod.</w:t>
      </w:r>
    </w:p>
    <w:p w:rsidR="00512761" w:rsidRPr="00BD2B25" w:rsidRDefault="00512761">
      <w:pPr>
        <w:pStyle w:val="Rubrik2"/>
      </w:pPr>
      <w:r w:rsidRPr="00BD2B25">
        <w:t>Institutionernas ståndpunkter</w:t>
      </w:r>
    </w:p>
    <w:p w:rsidR="006965C4" w:rsidRPr="00BD2B25" w:rsidRDefault="006965C4" w:rsidP="006965C4">
      <w:r w:rsidRPr="00BD2B25">
        <w:t xml:space="preserve">Europeiska revisionsrätten anser att om kommissionen inte kan visa att stödet till producentorganisationer </w:t>
      </w:r>
      <w:r w:rsidR="00105D39" w:rsidRPr="00BD2B25">
        <w:t>faktiskt stärker</w:t>
      </w:r>
      <w:r w:rsidRPr="00BD2B25">
        <w:t xml:space="preserve"> deras ställning på marknaden, bör den logiska grunden för att utesluta</w:t>
      </w:r>
      <w:r w:rsidR="00105D39" w:rsidRPr="00BD2B25">
        <w:t xml:space="preserve"> andra producenter från EU-stöd ifrågasättas </w:t>
      </w:r>
      <w:r w:rsidRPr="00BD2B25">
        <w:t xml:space="preserve">och denna </w:t>
      </w:r>
      <w:r w:rsidR="00930B3B" w:rsidRPr="00BD2B25">
        <w:t>stöd</w:t>
      </w:r>
      <w:r w:rsidRPr="00BD2B25">
        <w:t>mekanism för frukt- och grönsaksodlarna i EU</w:t>
      </w:r>
      <w:r w:rsidR="00930B3B" w:rsidRPr="00BD2B25">
        <w:t xml:space="preserve"> omprövas</w:t>
      </w:r>
      <w:r w:rsidRPr="00BD2B25">
        <w:t>.</w:t>
      </w:r>
      <w:r w:rsidR="008C2690" w:rsidRPr="00BD2B25">
        <w:rPr>
          <w:rStyle w:val="Fotnotsreferens"/>
        </w:rPr>
        <w:footnoteReference w:id="3"/>
      </w:r>
    </w:p>
    <w:p w:rsidR="00BC2251" w:rsidRPr="00BD2B25" w:rsidRDefault="00BC2251" w:rsidP="00F9775C"/>
    <w:p w:rsidR="00512761" w:rsidRPr="00BD2B25" w:rsidRDefault="00512761">
      <w:pPr>
        <w:pStyle w:val="Rubrik2"/>
      </w:pPr>
      <w:r w:rsidRPr="00BD2B25">
        <w:t>Remissinstansernas ståndpunkter</w:t>
      </w:r>
    </w:p>
    <w:p w:rsidR="00503944" w:rsidRPr="00BD2B25" w:rsidRDefault="00503944" w:rsidP="00503944">
      <w:r w:rsidRPr="00BD2B25">
        <w:t xml:space="preserve">GRO (Gröna näringens riksorganisation, sedan årsskiftet del av LRF, är en paraplyorganisation för bl.a. frukt- och grönsaksodlarna i Sverige) anser att EU:s stöd till driftsfonder och verksamhetsprogram för godkända producentorganisationer utgör det viktigaste inslaget i marknadsordningen och har ett betydande värde för att stabilisera marknaderna för frukt och grönsaker liksom att vara ledande för en positiv, marknads- och efterfrågetillvänd och uthållig utveckling inom hela frukt- och grönsakssektorn. Systemet bör därför fortsätta i sin nuvarande huvudsakliga utformning. </w:t>
      </w:r>
      <w:r w:rsidRPr="00BD2B25">
        <w:br/>
      </w:r>
      <w:r w:rsidRPr="00BD2B25">
        <w:br/>
        <w:t>GRO är principiellt mycket tveksam till en överordnad styrning av åtgärder som kan relateras till obalans mellan utbud och efterfrågan oavsett vilken orsak detta kan ha. Detta måste vara producenternas och marknadsaktörernas ansvarsområde. GRO anser att det finns en risk att införande av krishanteringsinstrument där PO själv ansvarar kan utvecklas till en konkurrensfaktor av betydelse. Med en snävare omfattning och under mer reglerade former anser GRO emellertid att en sådan stödmöjlighet skulle kunna vara av värde för att hantera mer naturkatastrofliknande kriser t.ex. i samband med hagelskador i odlingen. GRO ser det som viktigt att kvalitetsnormerna inom ramen för marknadsordningen bibehålles i sin nuvarande huvudsakliga utformning. GRO är positiv till att frukt- och grönsaker liksom matpotatis omfattas av det frikopplade stödet utan tidigare begränsningar.</w:t>
      </w:r>
    </w:p>
    <w:p w:rsidR="00512761" w:rsidRPr="00BD2B25" w:rsidRDefault="00512761">
      <w:pPr>
        <w:pStyle w:val="Rubrik1"/>
      </w:pPr>
      <w:r w:rsidRPr="00BD2B25">
        <w:t>Övrigt</w:t>
      </w:r>
    </w:p>
    <w:p w:rsidR="00512761" w:rsidRPr="00BD2B25" w:rsidRDefault="00512761">
      <w:pPr>
        <w:pStyle w:val="Rubrik2"/>
      </w:pPr>
      <w:r w:rsidRPr="00BD2B25">
        <w:t>Fortsatt behandling av ärendet</w:t>
      </w:r>
    </w:p>
    <w:p w:rsidR="00662948" w:rsidRPr="00BD2B25" w:rsidRDefault="00662948" w:rsidP="00F9775C">
      <w:r w:rsidRPr="00BD2B25">
        <w:t xml:space="preserve">I april ska </w:t>
      </w:r>
      <w:r w:rsidR="00725C0B" w:rsidRPr="00BD2B25">
        <w:t>jordbruks- och fiske</w:t>
      </w:r>
      <w:r w:rsidR="004110B0" w:rsidRPr="00BD2B25">
        <w:t>rådet hålla en riktlinjedebatt</w:t>
      </w:r>
      <w:r w:rsidRPr="00BD2B25">
        <w:t xml:space="preserve"> och i juni</w:t>
      </w:r>
      <w:r w:rsidR="004F73E5" w:rsidRPr="00BD2B25">
        <w:t xml:space="preserve"> </w:t>
      </w:r>
      <w:r w:rsidR="004110B0" w:rsidRPr="00BD2B25">
        <w:t>är det planerat för en omröstning av förslaget.</w:t>
      </w:r>
      <w:r w:rsidRPr="00BD2B25">
        <w:t xml:space="preserve"> </w:t>
      </w:r>
    </w:p>
    <w:p w:rsidR="00512761" w:rsidRPr="00BD2B25" w:rsidRDefault="00512761">
      <w:pPr>
        <w:pStyle w:val="Rubrik2"/>
      </w:pPr>
      <w:r w:rsidRPr="00BD2B25">
        <w:t>Rättslig grund och beslutsförfarande</w:t>
      </w:r>
    </w:p>
    <w:p w:rsidR="00157A62" w:rsidRPr="00BD2B25" w:rsidRDefault="00157A62" w:rsidP="00F9775C">
      <w:r w:rsidRPr="00BD2B25">
        <w:t xml:space="preserve">Artikel 36 och 37 i </w:t>
      </w:r>
      <w:r w:rsidR="00725C0B" w:rsidRPr="00BD2B25">
        <w:t>EG-</w:t>
      </w:r>
      <w:r w:rsidRPr="00BD2B25">
        <w:t xml:space="preserve">Fördraget. Beslut i rådet med kvalificerad majoritet efter att yttrande från </w:t>
      </w:r>
      <w:r w:rsidR="00725C0B" w:rsidRPr="00BD2B25">
        <w:t>Europap</w:t>
      </w:r>
      <w:r w:rsidRPr="00BD2B25">
        <w:t>arlamentet inhämtats.</w:t>
      </w:r>
    </w:p>
    <w:p w:rsidR="00512761" w:rsidRPr="00BD2B25" w:rsidRDefault="00512761">
      <w:pPr>
        <w:pStyle w:val="Rubrik2"/>
      </w:pPr>
      <w:r w:rsidRPr="00BD2B25">
        <w:t>Fackuttryck/termer</w:t>
      </w:r>
    </w:p>
    <w:p w:rsidR="006D1BF6" w:rsidRPr="00BD2B25" w:rsidRDefault="006D1BF6" w:rsidP="006D1BF6">
      <w:r w:rsidRPr="00BD2B25">
        <w:rPr>
          <w:b/>
        </w:rPr>
        <w:t>P</w:t>
      </w:r>
      <w:r w:rsidR="00B838CA" w:rsidRPr="00BD2B25">
        <w:rPr>
          <w:b/>
        </w:rPr>
        <w:t>roducentorganisationer (PO)</w:t>
      </w:r>
      <w:r w:rsidRPr="00BD2B25">
        <w:t xml:space="preserve">- En producentorganisation är en grupp odlare som samverkar för att stärka sin ställning på marknaden. Många är kooperativ, men de kan också vara grupper av enskilda eller grupper av företag. Producentorganisationen skall bistå med vad som behövs för att lagra, förpacka och saluföra medlemmarnas produkter. De måste kunna planera och anpassa sin produktion och främja miljövänliga metoder för odling och avfallshantering. </w:t>
      </w:r>
    </w:p>
    <w:p w:rsidR="006D1BF6" w:rsidRPr="00BD2B25" w:rsidRDefault="006D1BF6" w:rsidP="006D1BF6">
      <w:r w:rsidRPr="00BD2B25">
        <w:rPr>
          <w:b/>
        </w:rPr>
        <w:t>Marknadsordning</w:t>
      </w:r>
      <w:r w:rsidR="00B838CA" w:rsidRPr="00BD2B25">
        <w:rPr>
          <w:b/>
        </w:rPr>
        <w:t xml:space="preserve"> (MO)-</w:t>
      </w:r>
      <w:r w:rsidRPr="00BD2B25">
        <w:t xml:space="preserve"> EU:s regelverk för hur en sektors marknad ska balanseras genom olika stöd.</w:t>
      </w:r>
    </w:p>
    <w:p w:rsidR="00186859" w:rsidRPr="00BD2B25" w:rsidRDefault="00362DC5" w:rsidP="00362DC5">
      <w:r w:rsidRPr="00BD2B25">
        <w:rPr>
          <w:b/>
        </w:rPr>
        <w:t>Handelsnormer</w:t>
      </w:r>
      <w:r w:rsidRPr="00BD2B25">
        <w:t xml:space="preserve">- för frukt och grönsaker </w:t>
      </w:r>
      <w:r w:rsidR="006971C8" w:rsidRPr="00BD2B25">
        <w:t>reglerar</w:t>
      </w:r>
      <w:r w:rsidRPr="00BD2B25">
        <w:t xml:space="preserve"> kvalité, storlek, märkning, packning och presentation </w:t>
      </w:r>
      <w:r w:rsidR="00D8373C" w:rsidRPr="00BD2B25">
        <w:t xml:space="preserve">vid försäljning </w:t>
      </w:r>
      <w:r w:rsidRPr="00BD2B25">
        <w:t>i EU.</w:t>
      </w:r>
    </w:p>
    <w:p w:rsidR="00362DC5" w:rsidRPr="00BD2B25" w:rsidRDefault="00362DC5" w:rsidP="00F9775C"/>
    <w:p w:rsidR="00362DC5" w:rsidRPr="00BD2B25" w:rsidRDefault="00362DC5" w:rsidP="00F9775C">
      <w:r w:rsidRPr="00BD2B25">
        <w:rPr>
          <w:b/>
        </w:rPr>
        <w:t>Bearbetningsstöd</w:t>
      </w:r>
      <w:r w:rsidR="001E26E5" w:rsidRPr="00BD2B25">
        <w:t>- Inom sektorn för frukt och grönsaker ges stöd för att bearbeta färska produkter såsom citrus till juicer.</w:t>
      </w:r>
    </w:p>
    <w:sectPr w:rsidR="00362DC5" w:rsidRPr="00BD2B2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E70" w:rsidRPr="00BD2B25" w:rsidRDefault="001B0E70">
      <w:r w:rsidRPr="00BD2B25">
        <w:separator/>
      </w:r>
    </w:p>
  </w:endnote>
  <w:endnote w:type="continuationSeparator" w:id="0">
    <w:p w:rsidR="001B0E70" w:rsidRPr="00BD2B25" w:rsidRDefault="001B0E70">
      <w:r w:rsidRPr="00BD2B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75C" w:rsidRPr="00BD2B25" w:rsidRDefault="00F977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75C" w:rsidRPr="00BD2B25" w:rsidRDefault="001B0E70">
    <w:pPr>
      <w:pStyle w:val="SidfotH"/>
      <w:framePr w:wrap="around"/>
    </w:pPr>
    <w:r w:rsidRPr="00BD2B25">
      <w:t>2</w:t>
    </w:r>
  </w:p>
  <w:p w:rsidR="00F9775C" w:rsidRPr="00BD2B25" w:rsidRDefault="00F9775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75C" w:rsidRPr="00BD2B25" w:rsidRDefault="001B0E70">
    <w:pPr>
      <w:pStyle w:val="SidfotH"/>
      <w:framePr w:wrap="around"/>
    </w:pPr>
    <w:r w:rsidRPr="00BD2B25">
      <w:t>1</w:t>
    </w:r>
  </w:p>
  <w:p w:rsidR="00F9775C" w:rsidRPr="00BD2B25" w:rsidRDefault="00F977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E70" w:rsidRPr="00BD2B25" w:rsidRDefault="001B0E70">
      <w:r w:rsidRPr="00BD2B25">
        <w:separator/>
      </w:r>
    </w:p>
  </w:footnote>
  <w:footnote w:type="continuationSeparator" w:id="0">
    <w:p w:rsidR="001B0E70" w:rsidRPr="00BD2B25" w:rsidRDefault="001B0E70">
      <w:r w:rsidRPr="00BD2B25">
        <w:continuationSeparator/>
      </w:r>
    </w:p>
  </w:footnote>
  <w:footnote w:id="1">
    <w:p w:rsidR="00F9775C" w:rsidRPr="00BD2B25" w:rsidRDefault="00F9775C" w:rsidP="00186859">
      <w:pPr>
        <w:pStyle w:val="Fotnotstext"/>
      </w:pPr>
      <w:r w:rsidRPr="00BD2B25">
        <w:rPr>
          <w:rStyle w:val="Fotnotsreferens"/>
        </w:rPr>
        <w:footnoteRef/>
      </w:r>
      <w:r w:rsidRPr="00BD2B25">
        <w:t xml:space="preserve"> Om en PO har en saluförd produktion på 1 miljon euro, uppgår EU-stödet till 41 000 euro och medlemmarnas bidrag till 41 000 euro. Detta ger en total driftsfond på 82 000 euro som producentorganisationerna kan utnyttja för exempelvis miljöförbättrande åtgärder.</w:t>
      </w:r>
    </w:p>
  </w:footnote>
  <w:footnote w:id="2">
    <w:p w:rsidR="00F9775C" w:rsidRPr="00BD2B25" w:rsidRDefault="00F9775C">
      <w:pPr>
        <w:pStyle w:val="Fotnotstext"/>
      </w:pPr>
      <w:r w:rsidRPr="00BD2B25">
        <w:rPr>
          <w:rStyle w:val="Fotnotsreferens"/>
        </w:rPr>
        <w:footnoteRef/>
      </w:r>
      <w:r w:rsidRPr="00BD2B25">
        <w:t xml:space="preserve"> Genom ändring av EU:s generella rådsförordning för säljfrämjande åtgärder (rådets förordning (EG) nr 2826/2000).</w:t>
      </w:r>
    </w:p>
  </w:footnote>
  <w:footnote w:id="3">
    <w:p w:rsidR="00F9775C" w:rsidRPr="00BD2B25" w:rsidRDefault="00F9775C">
      <w:pPr>
        <w:pStyle w:val="Fotnotstext"/>
      </w:pPr>
      <w:r w:rsidRPr="00BD2B25">
        <w:rPr>
          <w:rStyle w:val="Fotnotsreferens"/>
        </w:rPr>
        <w:footnoteRef/>
      </w:r>
      <w:r w:rsidRPr="00BD2B25">
        <w:t xml:space="preserve"> Särskild rapport nr 8/2006, Europeiska revisionsrätten s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75C" w:rsidRPr="00BD2B25" w:rsidRDefault="00F977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75C" w:rsidRPr="00BD2B25" w:rsidRDefault="00F9775C">
    <w:pPr>
      <w:pStyle w:val="Kantrubrik"/>
      <w:framePr w:h="1157" w:hRule="exact" w:wrap="around" w:y="738"/>
    </w:pPr>
    <w:r w:rsidRPr="00BD2B25">
      <w:t>2006/07:FPM51</w:t>
    </w:r>
  </w:p>
  <w:p w:rsidR="00F9775C" w:rsidRPr="00BD2B25" w:rsidRDefault="00F9775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75C" w:rsidRPr="00BD2B25" w:rsidRDefault="00BD2B25">
    <w:pPr>
      <w:pStyle w:val="Sidhuvud"/>
    </w:pPr>
    <w:r w:rsidRPr="00BD2B2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07240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775C" w:rsidRDefault="00F9775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74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9775C" w:rsidRDefault="00F9775C">
                    <w:pPr>
                      <w:pStyle w:val="Logo"/>
                    </w:pPr>
                    <w:r>
                      <w:object w:dxaOrig="840" w:dyaOrig="1545">
                        <v:shape id="_x0000_i1025" type="#_x0000_t75" style="width:42pt;height:77.15pt" filled="t">
                          <v:imagedata r:id="rId1" o:title=""/>
                        </v:shape>
                        <o:OLEObject Type="Embed" ProgID="Word.Picture.8" ShapeID="_x0000_i1025" DrawAspect="Content" ObjectID="_182745974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24670661">
    <w:abstractNumId w:val="4"/>
  </w:num>
  <w:num w:numId="2" w16cid:durableId="652218387">
    <w:abstractNumId w:val="1"/>
  </w:num>
  <w:num w:numId="3" w16cid:durableId="1502161335">
    <w:abstractNumId w:val="2"/>
  </w:num>
  <w:num w:numId="4" w16cid:durableId="2138642802">
    <w:abstractNumId w:val="3"/>
  </w:num>
  <w:num w:numId="5" w16cid:durableId="1601329956">
    <w:abstractNumId w:val="5"/>
  </w:num>
  <w:num w:numId="6" w16cid:durableId="72548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3-12"/>
    <w:docVar w:name="Ar" w:val="2006/07"/>
    <w:docVar w:name="Dep" w:val="Jordbruksdepartementet"/>
    <w:docVar w:name="DepWeb" w:val="Jordbruksdepartementet"/>
    <w:docVar w:name="GDB1" w:val="KOM (2007) 1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särskilda bestämmelser för sektorn för frukt och grönsaker och om ändring av vissa förordnin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17"/>
    <w:docVar w:name="Nr" w:val="51"/>
    <w:docVar w:name="RD_APPVERSION" w:val="3.00"/>
    <w:docVar w:name="Rub" w:val="Förordning om reform av frukt- och grönsakssektorn"/>
    <w:docVar w:name="UppDat" w:val="2007-03-12"/>
    <w:docVar w:name="Utsk" w:val="Miljö- och jordbruksutskottet"/>
  </w:docVars>
  <w:rsids>
    <w:rsidRoot w:val="00BD2B25"/>
    <w:rsid w:val="00001F53"/>
    <w:rsid w:val="00026AE6"/>
    <w:rsid w:val="00026FD7"/>
    <w:rsid w:val="000313C5"/>
    <w:rsid w:val="000777C0"/>
    <w:rsid w:val="0008541E"/>
    <w:rsid w:val="000928A9"/>
    <w:rsid w:val="000C52AE"/>
    <w:rsid w:val="00105D39"/>
    <w:rsid w:val="00124655"/>
    <w:rsid w:val="00143E74"/>
    <w:rsid w:val="00157A62"/>
    <w:rsid w:val="00186859"/>
    <w:rsid w:val="001B0E70"/>
    <w:rsid w:val="001B164F"/>
    <w:rsid w:val="001C31C5"/>
    <w:rsid w:val="001C5998"/>
    <w:rsid w:val="001D1078"/>
    <w:rsid w:val="001E26E5"/>
    <w:rsid w:val="001E5ABD"/>
    <w:rsid w:val="001E7F10"/>
    <w:rsid w:val="00206F3D"/>
    <w:rsid w:val="002270BB"/>
    <w:rsid w:val="00233BAC"/>
    <w:rsid w:val="0025238E"/>
    <w:rsid w:val="00270A43"/>
    <w:rsid w:val="00271B9A"/>
    <w:rsid w:val="0028260D"/>
    <w:rsid w:val="00287A96"/>
    <w:rsid w:val="00295478"/>
    <w:rsid w:val="002C1E28"/>
    <w:rsid w:val="00301FDB"/>
    <w:rsid w:val="003049C5"/>
    <w:rsid w:val="00317B87"/>
    <w:rsid w:val="003201ED"/>
    <w:rsid w:val="0032096B"/>
    <w:rsid w:val="00362DC5"/>
    <w:rsid w:val="00366934"/>
    <w:rsid w:val="00374E09"/>
    <w:rsid w:val="0039225C"/>
    <w:rsid w:val="00396AC6"/>
    <w:rsid w:val="003B3C46"/>
    <w:rsid w:val="003B7DD0"/>
    <w:rsid w:val="003D0310"/>
    <w:rsid w:val="003E6BC3"/>
    <w:rsid w:val="003F50D8"/>
    <w:rsid w:val="00401C35"/>
    <w:rsid w:val="00401F8B"/>
    <w:rsid w:val="00404986"/>
    <w:rsid w:val="004110B0"/>
    <w:rsid w:val="004154FF"/>
    <w:rsid w:val="00417229"/>
    <w:rsid w:val="00430385"/>
    <w:rsid w:val="00454F2D"/>
    <w:rsid w:val="004833F6"/>
    <w:rsid w:val="00485B5C"/>
    <w:rsid w:val="004910E7"/>
    <w:rsid w:val="004B430D"/>
    <w:rsid w:val="004E24A4"/>
    <w:rsid w:val="004E5599"/>
    <w:rsid w:val="004F73E5"/>
    <w:rsid w:val="00503944"/>
    <w:rsid w:val="00512761"/>
    <w:rsid w:val="005209BB"/>
    <w:rsid w:val="005252E6"/>
    <w:rsid w:val="005350CD"/>
    <w:rsid w:val="0054229D"/>
    <w:rsid w:val="005501EE"/>
    <w:rsid w:val="00580B44"/>
    <w:rsid w:val="005C46E5"/>
    <w:rsid w:val="005C7A99"/>
    <w:rsid w:val="005D354B"/>
    <w:rsid w:val="0064356D"/>
    <w:rsid w:val="006451C0"/>
    <w:rsid w:val="00655092"/>
    <w:rsid w:val="00662948"/>
    <w:rsid w:val="006965C4"/>
    <w:rsid w:val="006971C8"/>
    <w:rsid w:val="00697DC4"/>
    <w:rsid w:val="006D1BF6"/>
    <w:rsid w:val="006D71E8"/>
    <w:rsid w:val="006E3474"/>
    <w:rsid w:val="00702452"/>
    <w:rsid w:val="00703ACF"/>
    <w:rsid w:val="00725C0B"/>
    <w:rsid w:val="0073230B"/>
    <w:rsid w:val="00745990"/>
    <w:rsid w:val="00764F8A"/>
    <w:rsid w:val="00770988"/>
    <w:rsid w:val="00781993"/>
    <w:rsid w:val="007A63B4"/>
    <w:rsid w:val="007C41A5"/>
    <w:rsid w:val="007D536C"/>
    <w:rsid w:val="007E3E12"/>
    <w:rsid w:val="007F4907"/>
    <w:rsid w:val="008224DE"/>
    <w:rsid w:val="008562EF"/>
    <w:rsid w:val="008A0FE7"/>
    <w:rsid w:val="008B4C47"/>
    <w:rsid w:val="008C2690"/>
    <w:rsid w:val="008D0EAD"/>
    <w:rsid w:val="008E275B"/>
    <w:rsid w:val="0090465E"/>
    <w:rsid w:val="00904997"/>
    <w:rsid w:val="0090623C"/>
    <w:rsid w:val="009126E0"/>
    <w:rsid w:val="00930B3B"/>
    <w:rsid w:val="00947FC2"/>
    <w:rsid w:val="0098334B"/>
    <w:rsid w:val="009A1C9C"/>
    <w:rsid w:val="009F195C"/>
    <w:rsid w:val="009F7CDA"/>
    <w:rsid w:val="00A115A5"/>
    <w:rsid w:val="00A32AAE"/>
    <w:rsid w:val="00A87FB2"/>
    <w:rsid w:val="00AA302A"/>
    <w:rsid w:val="00AB560B"/>
    <w:rsid w:val="00AF3484"/>
    <w:rsid w:val="00B17402"/>
    <w:rsid w:val="00B50ED3"/>
    <w:rsid w:val="00B54B8F"/>
    <w:rsid w:val="00B77E4C"/>
    <w:rsid w:val="00B81B2A"/>
    <w:rsid w:val="00B838CA"/>
    <w:rsid w:val="00BA2F46"/>
    <w:rsid w:val="00BB2A13"/>
    <w:rsid w:val="00BC2251"/>
    <w:rsid w:val="00BC59B3"/>
    <w:rsid w:val="00BD2B25"/>
    <w:rsid w:val="00BD4337"/>
    <w:rsid w:val="00BE06EC"/>
    <w:rsid w:val="00BE3BFA"/>
    <w:rsid w:val="00BF0D90"/>
    <w:rsid w:val="00C31561"/>
    <w:rsid w:val="00C43242"/>
    <w:rsid w:val="00C530D1"/>
    <w:rsid w:val="00C8358A"/>
    <w:rsid w:val="00C91114"/>
    <w:rsid w:val="00C97D42"/>
    <w:rsid w:val="00CA18FF"/>
    <w:rsid w:val="00CA7B01"/>
    <w:rsid w:val="00CD7EB3"/>
    <w:rsid w:val="00CE34BB"/>
    <w:rsid w:val="00D03158"/>
    <w:rsid w:val="00D052CD"/>
    <w:rsid w:val="00D32FD6"/>
    <w:rsid w:val="00D372A3"/>
    <w:rsid w:val="00D40D8C"/>
    <w:rsid w:val="00D57EC5"/>
    <w:rsid w:val="00D82187"/>
    <w:rsid w:val="00D8373C"/>
    <w:rsid w:val="00DD1A8C"/>
    <w:rsid w:val="00DD7DB1"/>
    <w:rsid w:val="00E06855"/>
    <w:rsid w:val="00E23187"/>
    <w:rsid w:val="00E408F6"/>
    <w:rsid w:val="00E45E45"/>
    <w:rsid w:val="00E45F66"/>
    <w:rsid w:val="00E57050"/>
    <w:rsid w:val="00E927CC"/>
    <w:rsid w:val="00E947FE"/>
    <w:rsid w:val="00EA79FD"/>
    <w:rsid w:val="00ED797F"/>
    <w:rsid w:val="00EF095E"/>
    <w:rsid w:val="00F01268"/>
    <w:rsid w:val="00F02448"/>
    <w:rsid w:val="00F03554"/>
    <w:rsid w:val="00F1612D"/>
    <w:rsid w:val="00F31CA7"/>
    <w:rsid w:val="00F41FBD"/>
    <w:rsid w:val="00F54036"/>
    <w:rsid w:val="00F6335E"/>
    <w:rsid w:val="00F7567B"/>
    <w:rsid w:val="00F811C7"/>
    <w:rsid w:val="00F9775C"/>
    <w:rsid w:val="00FA352B"/>
    <w:rsid w:val="00FA3E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77A779-8960-4E6D-A2BC-C5C49884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rsid w:val="00186859"/>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sid w:val="00186859"/>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1343</Words>
  <Characters>8521</Characters>
  <Application>Microsoft Office Word</Application>
  <DocSecurity>4</DocSecurity>
  <Lines>163</Lines>
  <Paragraphs>47</Paragraphs>
  <ScaleCrop>false</ScaleCrop>
  <HeadingPairs>
    <vt:vector size="2" baseType="variant">
      <vt:variant>
        <vt:lpstr>Rubrik</vt:lpstr>
      </vt:variant>
      <vt:variant>
        <vt:i4>1</vt:i4>
      </vt:variant>
    </vt:vector>
  </HeadingPairs>
  <TitlesOfParts>
    <vt:vector size="1" baseType="lpstr">
      <vt:lpstr>FPM_200607__51</vt:lpstr>
    </vt:vector>
  </TitlesOfParts>
  <Company>RD-DTSL</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FPM_200607__51</dc:title>
  <dc:subject>FPM_200607__51</dc:subject>
  <dc:creator>Riksdagen</dc:creator>
  <cp:keywords>Riksdagen</cp:keywords>
  <dc:description>KP2004-version.  Ändringarna påverkar enbart användningen inom Riksdagen. 050429 nya departement DTSL.</dc:description>
  <cp:lastModifiedBy>Lars Brink</cp:lastModifiedBy>
  <cp:revision>2</cp:revision>
  <cp:lastPrinted>2007-03-12T14:39:00Z</cp:lastPrinted>
  <dcterms:created xsi:type="dcterms:W3CDTF">2025-12-17T03:13:00Z</dcterms:created>
  <dcterms:modified xsi:type="dcterms:W3CDTF">2025-12-17T03:13:00Z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51</vt:lpwstr>
  </property>
  <property fmtid="{D5CDD505-2E9C-101B-9397-08002B2CF9AE}" pid="4" name="GDB1">
    <vt:lpwstr>KOM (2007) 17</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Förordning om reform av frukt- och grönsakssektorn</vt:lpwstr>
  </property>
  <property fmtid="{D5CDD505-2E9C-101B-9397-08002B2CF9AE}" pid="8" name="UppDat">
    <vt:lpwstr>2007-03-12</vt:lpwstr>
  </property>
  <property fmtid="{D5CDD505-2E9C-101B-9397-08002B2CF9AE}" pid="9" name="AnkDat">
    <vt:lpwstr>2007-03-12</vt:lpwstr>
  </property>
  <property fmtid="{D5CDD505-2E9C-101B-9397-08002B2CF9AE}" pid="10" name="Utsk">
    <vt:lpwstr>Miljö- och jordbruksutskottet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8;0;0;378</vt:lpwstr>
  </property>
  <property fmtid="{D5CDD505-2E9C-101B-9397-08002B2CF9AE}" pid="41" name="Sprak">
    <vt:lpwstr>Svenska</vt:lpwstr>
  </property>
  <property fmtid="{D5CDD505-2E9C-101B-9397-08002B2CF9AE}" pid="42" name="DokID">
    <vt:i4>80</vt:i4>
  </property>
  <property fmtid="{D5CDD505-2E9C-101B-9397-08002B2CF9AE}" pid="43" name="Miljö- och samhällsbyggnadsdepartementet">
    <vt:lpwstr>NEJ</vt:lpwstr>
  </property>
  <property fmtid="{D5CDD505-2E9C-101B-9397-08002B2CF9AE}" pid="44" name="Utbildnings- och kulturdepartementet">
    <vt:lpwstr>NEJ</vt:lpwstr>
  </property>
</Properties>
</file>