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E31D4">
        <w:tblPrEx>
          <w:tblCellMar>
            <w:top w:w="0" w:type="dxa"/>
            <w:left w:w="0" w:type="dxa"/>
            <w:bottom w:w="0" w:type="dxa"/>
            <w:right w:w="0" w:type="dxa"/>
          </w:tblCellMar>
        </w:tblPrEx>
        <w:trPr>
          <w:gridAfter w:val="2"/>
          <w:wAfter w:w="1758" w:type="dxa"/>
          <w:cantSplit/>
          <w:trHeight w:val="1320"/>
        </w:trPr>
        <w:tc>
          <w:tcPr>
            <w:tcW w:w="5897" w:type="dxa"/>
          </w:tcPr>
          <w:p w:rsidR="009E6FA3" w:rsidRPr="00DE31D4" w:rsidRDefault="009E6FA3">
            <w:pPr>
              <w:pStyle w:val="HuvudRubrik"/>
            </w:pPr>
            <w:r w:rsidRPr="00DE31D4">
              <w:t>Regeringskansliet</w:t>
            </w:r>
          </w:p>
          <w:p w:rsidR="009E6FA3" w:rsidRPr="00DE31D4" w:rsidRDefault="009E6FA3">
            <w:pPr>
              <w:pStyle w:val="HuvudRubrik"/>
            </w:pPr>
            <w:r w:rsidRPr="00DE31D4">
              <w:t>Faktapromemoria  2007/08:FPM24</w:t>
            </w:r>
          </w:p>
        </w:tc>
      </w:tr>
      <w:tr w:rsidR="00000000" w:rsidRPr="00DE31D4">
        <w:tblPrEx>
          <w:tblCellMar>
            <w:top w:w="0" w:type="dxa"/>
            <w:left w:w="0" w:type="dxa"/>
            <w:bottom w:w="0" w:type="dxa"/>
            <w:right w:w="0" w:type="dxa"/>
          </w:tblCellMar>
        </w:tblPrEx>
        <w:trPr>
          <w:gridAfter w:val="2"/>
          <w:wAfter w:w="1758" w:type="dxa"/>
          <w:cantSplit/>
          <w:trHeight w:val="240"/>
        </w:trPr>
        <w:tc>
          <w:tcPr>
            <w:tcW w:w="5897" w:type="dxa"/>
          </w:tcPr>
          <w:p w:rsidR="009E6FA3" w:rsidRPr="00DE31D4" w:rsidRDefault="009E6FA3">
            <w:pPr>
              <w:pStyle w:val="HuvudRubrik"/>
              <w:rPr>
                <w:sz w:val="28"/>
              </w:rPr>
            </w:pPr>
            <w:r w:rsidRPr="00DE31D4">
              <w:t>Meddelande om revidering av den fleråriga budgetramen</w:t>
            </w:r>
          </w:p>
        </w:tc>
      </w:tr>
      <w:tr w:rsidR="00000000" w:rsidRPr="00DE31D4">
        <w:tblPrEx>
          <w:tblCellMar>
            <w:top w:w="0" w:type="dxa"/>
            <w:left w:w="0" w:type="dxa"/>
            <w:bottom w:w="0" w:type="dxa"/>
            <w:right w:w="0" w:type="dxa"/>
          </w:tblCellMar>
        </w:tblPrEx>
        <w:trPr>
          <w:cantSplit/>
          <w:trHeight w:val="285"/>
        </w:trPr>
        <w:tc>
          <w:tcPr>
            <w:tcW w:w="7655" w:type="dxa"/>
            <w:gridSpan w:val="3"/>
          </w:tcPr>
          <w:p w:rsidR="009E6FA3" w:rsidRPr="00DE31D4" w:rsidRDefault="009E6FA3">
            <w:pPr>
              <w:pStyle w:val="Departement"/>
              <w:rPr>
                <w:sz w:val="28"/>
              </w:rPr>
            </w:pPr>
            <w:r w:rsidRPr="00DE31D4">
              <w:t>Finansdepartementet</w:t>
            </w:r>
          </w:p>
        </w:tc>
      </w:tr>
      <w:tr w:rsidR="00000000" w:rsidRPr="00DE31D4">
        <w:tblPrEx>
          <w:tblCellMar>
            <w:top w:w="0" w:type="dxa"/>
            <w:left w:w="0" w:type="dxa"/>
            <w:bottom w:w="0" w:type="dxa"/>
            <w:right w:w="0" w:type="dxa"/>
          </w:tblCellMar>
        </w:tblPrEx>
        <w:trPr>
          <w:cantSplit/>
          <w:trHeight w:val="240"/>
        </w:trPr>
        <w:tc>
          <w:tcPr>
            <w:tcW w:w="7655" w:type="dxa"/>
            <w:gridSpan w:val="3"/>
          </w:tcPr>
          <w:p w:rsidR="009E6FA3" w:rsidRPr="00DE31D4" w:rsidRDefault="009E6FA3">
            <w:pPr>
              <w:pStyle w:val="Dokumentdatum"/>
            </w:pPr>
            <w:r w:rsidRPr="00DE31D4">
              <w:t>2007-11-16</w:t>
            </w:r>
          </w:p>
        </w:tc>
      </w:tr>
      <w:tr w:rsidR="00000000" w:rsidRPr="00DE31D4">
        <w:tblPrEx>
          <w:tblCellMar>
            <w:top w:w="0" w:type="dxa"/>
            <w:left w:w="0" w:type="dxa"/>
            <w:bottom w:w="0" w:type="dxa"/>
            <w:right w:w="0" w:type="dxa"/>
          </w:tblCellMar>
        </w:tblPrEx>
        <w:trPr>
          <w:cantSplit/>
          <w:trHeight w:val="726"/>
        </w:trPr>
        <w:tc>
          <w:tcPr>
            <w:tcW w:w="7655" w:type="dxa"/>
            <w:gridSpan w:val="3"/>
            <w:vAlign w:val="bottom"/>
          </w:tcPr>
          <w:p w:rsidR="009E6FA3" w:rsidRPr="00DE31D4" w:rsidRDefault="009E6FA3">
            <w:pPr>
              <w:pStyle w:val="Dokumentbeteckning"/>
            </w:pPr>
            <w:r w:rsidRPr="00DE31D4">
              <w:t>Dokumentbeteckning</w:t>
            </w:r>
          </w:p>
        </w:tc>
      </w:tr>
      <w:tr w:rsidR="00000000" w:rsidRPr="00DE31D4">
        <w:tblPrEx>
          <w:tblCellMar>
            <w:top w:w="0" w:type="dxa"/>
            <w:left w:w="0" w:type="dxa"/>
            <w:bottom w:w="0" w:type="dxa"/>
            <w:right w:w="0" w:type="dxa"/>
          </w:tblCellMar>
        </w:tblPrEx>
        <w:trPr>
          <w:gridAfter w:val="1"/>
          <w:wAfter w:w="1560" w:type="dxa"/>
          <w:trHeight w:val="120"/>
        </w:trPr>
        <w:tc>
          <w:tcPr>
            <w:tcW w:w="6095" w:type="dxa"/>
            <w:gridSpan w:val="2"/>
          </w:tcPr>
          <w:p w:rsidR="009E6FA3" w:rsidRPr="00DE31D4" w:rsidRDefault="009E6FA3">
            <w:bookmarkStart w:id="0" w:name="KomNr"/>
            <w:bookmarkEnd w:id="0"/>
            <w:r w:rsidRPr="00DE31D4">
              <w:t>KOM (2007) 549</w:t>
            </w:r>
          </w:p>
        </w:tc>
      </w:tr>
      <w:tr w:rsidR="00000000" w:rsidRPr="00DE31D4">
        <w:tblPrEx>
          <w:tblCellMar>
            <w:top w:w="0" w:type="dxa"/>
            <w:left w:w="0" w:type="dxa"/>
            <w:bottom w:w="0" w:type="dxa"/>
            <w:right w:w="0" w:type="dxa"/>
          </w:tblCellMar>
        </w:tblPrEx>
        <w:trPr>
          <w:gridAfter w:val="1"/>
          <w:wAfter w:w="1560" w:type="dxa"/>
          <w:trHeight w:val="120"/>
        </w:trPr>
        <w:tc>
          <w:tcPr>
            <w:tcW w:w="6095" w:type="dxa"/>
            <w:gridSpan w:val="2"/>
          </w:tcPr>
          <w:p w:rsidR="009E6FA3" w:rsidRPr="00DE31D4" w:rsidRDefault="009E6FA3">
            <w:pPr>
              <w:pStyle w:val="Dokumentbeteckning-titel"/>
            </w:pPr>
            <w:r w:rsidRPr="00DE31D4">
              <w:t>Meddelande från kommissionen till Europaparlamentet och rådet om revidering av den fleråriga budgetramen (2007-2013) och förslag om ändring av den fleråriga budgetramen enligt det interinstitutionella avtalet av den 17 maj 2006 om budgetdisciplin och sund ekonomisk förvaltning</w:t>
            </w:r>
          </w:p>
        </w:tc>
      </w:tr>
    </w:tbl>
    <w:p w:rsidR="009E6FA3" w:rsidRPr="00DE31D4" w:rsidRDefault="009E6FA3">
      <w:pPr>
        <w:pStyle w:val="Rubrik1"/>
        <w:numPr>
          <w:ilvl w:val="0"/>
          <w:numId w:val="0"/>
        </w:numPr>
      </w:pPr>
      <w:r w:rsidRPr="00DE31D4">
        <w:t>Sammanfattning</w:t>
      </w:r>
    </w:p>
    <w:p w:rsidR="009E6FA3" w:rsidRPr="00DE31D4" w:rsidRDefault="009E6FA3">
      <w:r w:rsidRPr="00DE31D4">
        <w:t>Kommissionens meddelande och förslag till beslut syftar till att revidera den långsiktiga budgetramen 2007-2013 för att finansiera satellit</w:t>
      </w:r>
      <w:r w:rsidRPr="00DE31D4">
        <w:softHyphen/>
        <w:t>navigerings</w:t>
      </w:r>
      <w:r w:rsidRPr="00DE31D4">
        <w:softHyphen/>
        <w:t>programmen Egnos-Galileo samt det europeiska tekniska institutet. Kommissionen gör bedömningen att över perioden 2008-2013 krävs ytterligare 2 400 miljoner euro för Egnos-Galileo samt 309 miljoner euro för EIT.</w:t>
      </w:r>
    </w:p>
    <w:p w:rsidR="009E6FA3" w:rsidRPr="00DE31D4" w:rsidRDefault="009E6FA3">
      <w:r w:rsidRPr="00DE31D4">
        <w:t>Regeringen menar att det är viktigt att programmen finansieras inom taken i nuvarande fleråriga budgetram, eftersom en revidering skulle innebära ökade kostnader för medlemsstaterna samt vara ett olyckligt prejudikat för finansieringen av framtida gemenskapsprojekt.</w:t>
      </w:r>
    </w:p>
    <w:p w:rsidR="009E6FA3" w:rsidRPr="00DE31D4" w:rsidRDefault="009E6FA3">
      <w:pPr>
        <w:pStyle w:val="Rubrik1"/>
      </w:pPr>
      <w:r w:rsidRPr="00DE31D4">
        <w:t>Förslaget</w:t>
      </w:r>
    </w:p>
    <w:p w:rsidR="009E6FA3" w:rsidRPr="00DE31D4" w:rsidRDefault="009E6FA3">
      <w:pPr>
        <w:pStyle w:val="Rubrik2"/>
      </w:pPr>
      <w:r w:rsidRPr="00DE31D4">
        <w:t>Innehåll</w:t>
      </w:r>
    </w:p>
    <w:p w:rsidR="009E6FA3" w:rsidRPr="00DE31D4" w:rsidRDefault="009E6FA3">
      <w:r w:rsidRPr="00DE31D4">
        <w:t>I december 2005 enades Europeiska rådet om en flerårig budgetram för åren 2007-2013. Med utgångspunkt i denna uppgörelse förhandlade sedan rådet, europaparlamentet och kommissionen fram ett interinstitutionella avtalet om budgetdisciplin och sund ekonomisk förvaltning (IIA) som beslutades den 17 maj 2006.</w:t>
      </w:r>
    </w:p>
    <w:p w:rsidR="009E6FA3" w:rsidRPr="00DE31D4" w:rsidRDefault="009E6FA3">
      <w:r w:rsidRPr="00DE31D4">
        <w:t xml:space="preserve">Förhandlingarna som ledde fram till dessa beslut inleddes redan 2004 och hanterades av fem olika ordförandeskap i rådet. I juni 2005 gjordes vid </w:t>
      </w:r>
      <w:r w:rsidRPr="00DE31D4">
        <w:lastRenderedPageBreak/>
        <w:t>Europeiska rådet ett försök att komma överens vilket slutade med avbrutna förhandlingar. Det brittiska ordförandeskapet lyckades med stort besvär att ett halvår senare nå en kompromiss.</w:t>
      </w:r>
    </w:p>
    <w:p w:rsidR="009E6FA3" w:rsidRPr="00DE31D4" w:rsidRDefault="009E6FA3">
      <w:r w:rsidRPr="00DE31D4">
        <w:t xml:space="preserve">Kommissionens meddelande innehåller ett förslag om att revidera den fleråriga budgetramen i enlighet med punkt 21 till 23 i det interinstitutionella avtalet om budgetdisciplin och sund ekonomisk förvaltning (IIA) från 17 maj 2006. </w:t>
      </w:r>
    </w:p>
    <w:p w:rsidR="009E6FA3" w:rsidRPr="00DE31D4" w:rsidRDefault="009E6FA3">
      <w:r w:rsidRPr="00DE31D4">
        <w:t xml:space="preserve">Anledningen till förslaget är finansieringen av dels de europeiska satellitnavigeringsprogrammen (Egnos-Galileo), dels det Europeiska tekniska institutet (EIT). Kommissionen gör bedömningen att över perioden 2008-2013 krävs ytterligare 2 400 miljoner euro för Egnos-Galileo samt 309 miljoner euro för EIT. </w:t>
      </w:r>
    </w:p>
    <w:p w:rsidR="009E6FA3" w:rsidRPr="00DE31D4" w:rsidRDefault="009E6FA3">
      <w:r w:rsidRPr="00DE31D4">
        <w:t>Sedan tidigare är 1 005 miljoner euro avsatt för Egnos-Galileo under budgetkategori 1a ”Konkurrenskraft för tillväxt och sysselsättning” i enlighet med kommissionens tidigare förslag om finansiering av uppbyggnads- och driftsfaserna av Galileoprogrammet under perioden 2007-2013 (KOM (2004) 477). Detta förslag byggde på en offentlig-privat samverkan (OPS). EU skulle bidra med cirka en tredjedel av kostnaderna under uppbyggnadsfasen och stå för de 3 första årens driftskostnader, sammantaget alltså en kostnad</w:t>
      </w:r>
      <w:r w:rsidRPr="00DE31D4">
        <w:t xml:space="preserve"> för EU-budgeten om cirka 1 000 miljoner euro.</w:t>
      </w:r>
    </w:p>
    <w:p w:rsidR="009E6FA3" w:rsidRPr="00DE31D4" w:rsidRDefault="009E6FA3">
      <w:r w:rsidRPr="00DE31D4">
        <w:t>Det visade sig dock svårt att komma överens om ett koncessionskontrakt varför förhandlingarna avslutades våren 2007. Kommissionen la samtidigt fram ett meddelande ”Galileo vid skiljevägen: genomförandet av programmet” (KOM (2007) 261). I meddelandet förespråkar kommissionen ett alternativ som skulle innebära en offentlig upphandling av uppbyggnadsfasen, dvs. uppbyggnaden av en fullständig infrastruktur, och en OPS för driftsfasen och medföljande exploateringsmö</w:t>
      </w:r>
      <w:r w:rsidRPr="00DE31D4">
        <w:t>jligheter. Kommissionen gjorde bedömningen att uppbyggnaden för perioden 2007-2013 kommer kosta 3 400 miljoner euro, varav cirka 1 000 miljoner, som tidigare nämnts, redan finns anslaget i den långsiktiga budgetramen. OS-kontraktet skulle täcka perioden 2010-2030.</w:t>
      </w:r>
    </w:p>
    <w:p w:rsidR="009E6FA3" w:rsidRPr="00DE31D4" w:rsidRDefault="009E6FA3">
      <w:r w:rsidRPr="00DE31D4">
        <w:t xml:space="preserve">När det gäller EIT är finansieringsbehovet en direkt konsekvens av kommissionens förslag angående institutet. </w:t>
      </w:r>
    </w:p>
    <w:p w:rsidR="009E6FA3" w:rsidRPr="00DE31D4" w:rsidRDefault="009E6FA3">
      <w:r w:rsidRPr="00DE31D4">
        <w:t>Enligt punkt 23 i IIA ska kommissionen analysera möjligheterna till omfördelningar inom ramarna innan ett förslag om revidering läggs. Kommissionen konstaterar i sitt meddelande att inga möjligheter till omfördelning finns. Dock kan 300 miljoner euro ställas till förfogande från transportforskningen inom sjunde ramprogrammet (forskning) över perioden 2008-2013, för användande inom ramen för Galileoprojektet.</w:t>
      </w:r>
    </w:p>
    <w:p w:rsidR="009E6FA3" w:rsidRPr="00DE31D4" w:rsidRDefault="009E6FA3">
      <w:r w:rsidRPr="00DE31D4">
        <w:t xml:space="preserve">Sammantaget gör detta att ett behov om 2 409 miljoner euro uppstår inom kategori 1a. Kommissionen föreslår att taket för kategori 1a höjs med detta belopp. Samtidigt föreslår kommissionen neddragningar på kategori 2 ”Skydd och förvaltning av naturresurser” och 5 ”Administration”. Från kategori 2 föreslår kommissionen en neddragning om 2 189 miljoner euro och i kategori 5 är neddragningen 220 miljoner euro. I båda fallen rör det sig om neddragningar 2007 och till viss del 2008 för att i motsvarande mån öka </w:t>
      </w:r>
      <w:r w:rsidRPr="00DE31D4">
        <w:t>ramen för kategori 1a under perioden 2008-2013.</w:t>
      </w:r>
    </w:p>
    <w:p w:rsidR="009E6FA3" w:rsidRPr="00DE31D4" w:rsidRDefault="009E6FA3">
      <w:r w:rsidRPr="00DE31D4">
        <w:t xml:space="preserve">I båda fallen är orsaken till neddragningen att marginalen till utgiftstaket varit större än förväntat. För jordbruksutgifterna har de höga spannmålspriserna gjort att mindre budgetmedel används än vad som tidigare avsatts i budgetramen. </w:t>
      </w:r>
    </w:p>
    <w:p w:rsidR="009E6FA3" w:rsidRPr="00DE31D4" w:rsidRDefault="009E6FA3">
      <w:r w:rsidRPr="00DE31D4">
        <w:t>I enlighet med punkt 23 i IIA har kommissionen vidare gjort en revidering för att säkerställa att förhållandet mellan åtaganden och betalningar hålls på en lämplig nivå. Man föreslår därför en förändring i taket för betalningar baserat på den utbetalningstakt som förutses för Galileo och EIT, samt de förändringar som föreslås för jordbruksutgifterna och administrationen 2007 och 2008.</w:t>
      </w:r>
    </w:p>
    <w:p w:rsidR="009E6FA3" w:rsidRPr="00DE31D4" w:rsidRDefault="009E6FA3">
      <w:pPr>
        <w:pStyle w:val="Rubrik2"/>
      </w:pPr>
      <w:r w:rsidRPr="00DE31D4">
        <w:t>Gällande svenska regler och förslagets effekt på dessa</w:t>
      </w:r>
    </w:p>
    <w:p w:rsidR="009E6FA3" w:rsidRPr="00DE31D4" w:rsidRDefault="009E6FA3">
      <w:r w:rsidRPr="00DE31D4">
        <w:t>-</w:t>
      </w:r>
    </w:p>
    <w:p w:rsidR="009E6FA3" w:rsidRPr="00DE31D4" w:rsidRDefault="009E6FA3">
      <w:pPr>
        <w:pStyle w:val="Rubrik2"/>
      </w:pPr>
      <w:bookmarkStart w:id="1" w:name="_Ref179360527"/>
      <w:r w:rsidRPr="00DE31D4">
        <w:t>Budgetära konsekvenser</w:t>
      </w:r>
      <w:bookmarkEnd w:id="1"/>
    </w:p>
    <w:p w:rsidR="009E6FA3" w:rsidRPr="00DE31D4" w:rsidRDefault="009E6FA3">
      <w:r w:rsidRPr="00DE31D4">
        <w:t xml:space="preserve">De budgetära konsekvenserna av förslaget blir att utrymme under taken i kategori 2 och 5 som inte har använts eller kommer att användas dels förs framåt i tiden, dels förs till en kategori (1a) där utnyttjande med största sannolikhet kommer att bli uppemot 100 procent. </w:t>
      </w:r>
    </w:p>
    <w:p w:rsidR="009E6FA3" w:rsidRPr="00DE31D4" w:rsidRDefault="009E6FA3">
      <w:r w:rsidRPr="00DE31D4">
        <w:t>Förslaget är således inte budgetneutralt utan kommer att få genomslag på den svenska EU-avgiften. Totalt kommer förslaget innebära kostnader för den svenska statsbudgeten (via EU-avgiften) på knappt 900 miljoner kronor för perioden 2008-2013. Av detta är ca 620 miljoner kronor en ökning och resterande 280 miljoner kronor är sedan tidigare budgeterade. Till detta ska läggas risken för fördyringar vilket riskerar ytterligare belasta statsbudgeten.</w:t>
      </w:r>
    </w:p>
    <w:p w:rsidR="009E6FA3" w:rsidRPr="00DE31D4" w:rsidRDefault="009E6FA3">
      <w:pPr>
        <w:pStyle w:val="Rubrik1"/>
      </w:pPr>
      <w:r w:rsidRPr="00DE31D4">
        <w:t>Ståndpunkter</w:t>
      </w:r>
    </w:p>
    <w:p w:rsidR="009E6FA3" w:rsidRPr="00DE31D4" w:rsidRDefault="009E6FA3">
      <w:pPr>
        <w:pStyle w:val="Rubrik2"/>
      </w:pPr>
      <w:r w:rsidRPr="00DE31D4">
        <w:t>Svensk ståndpunkt</w:t>
      </w:r>
    </w:p>
    <w:p w:rsidR="009E6FA3" w:rsidRPr="00DE31D4" w:rsidRDefault="009E6FA3">
      <w:r w:rsidRPr="00DE31D4">
        <w:t>Regeringen stödjer en fortsättning av Galileoprogrammet under förutsättning att finansieringsfrågan får en tillfredsställande lösning. För EIT har Sverige accepterat en finansiell ram om högst 309 miljoner euro för 2008-2013.</w:t>
      </w:r>
    </w:p>
    <w:p w:rsidR="009E6FA3" w:rsidRPr="00DE31D4" w:rsidRDefault="009E6FA3">
      <w:r w:rsidRPr="00DE31D4">
        <w:t>Det förslag som kommissionen nu har presenterat är emellertid inte tillfredställande. Regeringen menar att det är viktigt att hålla fast vid principen att programmen finansieras inom taken i nuvarande långsiktiga budgetram, eftersom en revidering skulle öka medlemsstaternas avgifter samt innebära ett olyckligt prejudikat för finansieringen av framtida gemenskapsprojekt.</w:t>
      </w:r>
    </w:p>
    <w:p w:rsidR="009E6FA3" w:rsidRPr="00DE31D4" w:rsidRDefault="009E6FA3">
      <w:pPr>
        <w:pStyle w:val="Rubrik2"/>
      </w:pPr>
      <w:r w:rsidRPr="00DE31D4">
        <w:t>Medlemsstaternas ståndpunkter</w:t>
      </w:r>
    </w:p>
    <w:p w:rsidR="009E6FA3" w:rsidRPr="00DE31D4" w:rsidRDefault="009E6FA3">
      <w:r w:rsidRPr="00DE31D4">
        <w:t>Meddelandet har så långt fått relativt stark kritik då det river upp det beslut om den fleråriga budgetramen 2007-2013 som fattades i maj 2006. Ett flertal länder har framfört kritik mot KOM:s förslag och begär att KOM skall visa på alternativa lösningar. Vissa länder pekar på att finansieringen primärt bör ske genom omprioriteringar inom budgetkategori 1a. Andra länder förefaller acceptera principen om revidering av budgetramen och har mest synpunkter på detaljer i KOM:s förslag.</w:t>
      </w:r>
    </w:p>
    <w:p w:rsidR="009E6FA3" w:rsidRPr="00DE31D4" w:rsidRDefault="009E6FA3">
      <w:pPr>
        <w:pStyle w:val="Rubrik2"/>
      </w:pPr>
      <w:r w:rsidRPr="00DE31D4">
        <w:t>Institutionernas ståndpunkter</w:t>
      </w:r>
    </w:p>
    <w:p w:rsidR="009E6FA3" w:rsidRPr="00DE31D4" w:rsidRDefault="009E6FA3">
      <w:pPr>
        <w:keepNext/>
        <w:keepLines/>
        <w:suppressAutoHyphens/>
      </w:pPr>
      <w:r w:rsidRPr="00DE31D4">
        <w:t xml:space="preserve">Europaparlamentet antog den 20 juni 2007 en resolution (P6_TA-PROV(2007)072 – PE 391.046/51) angående finansieringen av Galileo där man ger sitt stöd till en fortsättning av programmet, motsätter en mellanstatlig finansiering av det ytterligare behov av medel som uppkommit samt uppmanar kommissionen att lägga fram ett förslag till revidering av den fleråriga budgetramen. </w:t>
      </w:r>
    </w:p>
    <w:p w:rsidR="009E6FA3" w:rsidRPr="00DE31D4" w:rsidRDefault="009E6FA3">
      <w:pPr>
        <w:pStyle w:val="Rubrik2"/>
      </w:pPr>
      <w:r w:rsidRPr="00DE31D4">
        <w:t>Remissinstansernas ståndpunkter</w:t>
      </w:r>
    </w:p>
    <w:p w:rsidR="009E6FA3" w:rsidRPr="00DE31D4" w:rsidRDefault="009E6FA3">
      <w:r w:rsidRPr="00DE31D4">
        <w:t>-</w:t>
      </w:r>
    </w:p>
    <w:p w:rsidR="009E6FA3" w:rsidRPr="00DE31D4" w:rsidRDefault="009E6FA3">
      <w:pPr>
        <w:pStyle w:val="Rubrik1"/>
      </w:pPr>
      <w:r w:rsidRPr="00DE31D4">
        <w:t>Övrigt</w:t>
      </w:r>
    </w:p>
    <w:p w:rsidR="009E6FA3" w:rsidRPr="00DE31D4" w:rsidRDefault="009E6FA3">
      <w:pPr>
        <w:pStyle w:val="Rubrik2"/>
      </w:pPr>
      <w:r w:rsidRPr="00DE31D4">
        <w:t>Fortsatt behandling av ärendet</w:t>
      </w:r>
    </w:p>
    <w:p w:rsidR="009E6FA3" w:rsidRPr="00DE31D4" w:rsidRDefault="009E6FA3">
      <w:r w:rsidRPr="00DE31D4">
        <w:t>Frågan kommer hanteras av Ekofin-rådet och GAERC under hösten och ett avgörande planeras i slutet av året.</w:t>
      </w:r>
    </w:p>
    <w:p w:rsidR="009E6FA3" w:rsidRPr="00DE31D4" w:rsidRDefault="009E6FA3">
      <w:pPr>
        <w:pStyle w:val="Rubrik2"/>
      </w:pPr>
      <w:r w:rsidRPr="00DE31D4">
        <w:t>Rättslig grund och beslutsförfarande</w:t>
      </w:r>
    </w:p>
    <w:p w:rsidR="009E6FA3" w:rsidRPr="00DE31D4" w:rsidRDefault="009E6FA3">
      <w:r w:rsidRPr="00DE31D4">
        <w:t>Beslut om att revidera taken i den fleråriga budgetramen beslutas gemensamt av budgetmyndighetens två parter (rådet och Europaparlamentet) i linje med punkt 21 - 23 i det interinstitutionella avtalet om budgetdisciplin och sund ekonomisk förvaltning (IIA).</w:t>
      </w:r>
    </w:p>
    <w:p w:rsidR="009E6FA3" w:rsidRPr="00DE31D4" w:rsidRDefault="009E6FA3">
      <w:r w:rsidRPr="00DE31D4">
        <w:t>Europaparlamentet beslutar med en majoritet av dess ledamöter och tre femtedelar av de avgivna rösterna. Rådet beslutar med kvalificerad majoritet i fall som rör belopp upp till och med 0,03 procent av EU:s BNI. I fall som rör belopp större än 0,03 procent av EU:s BNI beslutar rådet med enhällighet. I det nu aktuella fallet är kvalificerad majoritet aktuell i rådet.</w:t>
      </w:r>
    </w:p>
    <w:p w:rsidR="009E6FA3" w:rsidRPr="00DE31D4" w:rsidRDefault="009E6FA3">
      <w:pPr>
        <w:pStyle w:val="Rubrik2"/>
      </w:pPr>
      <w:r w:rsidRPr="00DE31D4">
        <w:t>Fackuttryck/termer</w:t>
      </w:r>
    </w:p>
    <w:p w:rsidR="009E6FA3" w:rsidRPr="00DE31D4" w:rsidRDefault="009E6FA3">
      <w:r w:rsidRPr="00DE31D4">
        <w:rPr>
          <w:b/>
          <w:i/>
        </w:rPr>
        <w:t>Fleråriga budgetramen:</w:t>
      </w:r>
      <w:r w:rsidRPr="00DE31D4">
        <w:t xml:space="preserve"> Den fleråriga budgetramen (2007-2013) är indelad i 5 budgetkategorier (med vissa underkategorier), se tabell nedan. Dessa tak får inte överskridas. Medel får heller inte flyttas mellan kategorierna. Galileo och EIT återfinns i kategori 1a. Övriga program inom kategori 1a är bland annat forskningsprogrammet, programmet för livslångt lärandet och transeuropeiska nätverk (infrastruktur).</w:t>
      </w:r>
    </w:p>
    <w:p w:rsidR="009E6FA3" w:rsidRPr="00DE31D4" w:rsidRDefault="009E6FA3"/>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
        <w:gridCol w:w="3476"/>
        <w:gridCol w:w="792"/>
        <w:gridCol w:w="950"/>
      </w:tblGrid>
      <w:tr w:rsidR="00000000" w:rsidRPr="00DE31D4">
        <w:trPr>
          <w:cantSplit/>
          <w:trHeight w:hRule="exact" w:val="284"/>
        </w:trPr>
        <w:tc>
          <w:tcPr>
            <w:tcW w:w="675" w:type="dxa"/>
            <w:tcBorders>
              <w:top w:val="single" w:sz="4" w:space="0" w:color="auto"/>
              <w:left w:val="single" w:sz="4" w:space="0" w:color="auto"/>
            </w:tcBorders>
            <w:vAlign w:val="center"/>
          </w:tcPr>
          <w:p w:rsidR="009E6FA3" w:rsidRPr="00DE31D4" w:rsidRDefault="009E6FA3">
            <w:r w:rsidRPr="00DE31D4">
              <w:t>1a</w:t>
            </w:r>
          </w:p>
        </w:tc>
        <w:tc>
          <w:tcPr>
            <w:tcW w:w="4395" w:type="dxa"/>
            <w:gridSpan w:val="2"/>
            <w:tcBorders>
              <w:top w:val="single" w:sz="4" w:space="0" w:color="auto"/>
            </w:tcBorders>
            <w:vAlign w:val="center"/>
          </w:tcPr>
          <w:p w:rsidR="009E6FA3" w:rsidRPr="00DE31D4" w:rsidRDefault="009E6FA3">
            <w:r w:rsidRPr="00DE31D4">
              <w:t>Konkurrenskraft för tillväxt och sysselsättning</w:t>
            </w:r>
          </w:p>
        </w:tc>
        <w:tc>
          <w:tcPr>
            <w:tcW w:w="966" w:type="dxa"/>
            <w:tcBorders>
              <w:top w:val="single" w:sz="4" w:space="0" w:color="auto"/>
              <w:right w:val="single" w:sz="4" w:space="0" w:color="auto"/>
            </w:tcBorders>
            <w:vAlign w:val="center"/>
          </w:tcPr>
          <w:p w:rsidR="009E6FA3" w:rsidRPr="00DE31D4" w:rsidRDefault="009E6FA3">
            <w:r w:rsidRPr="00DE31D4">
              <w:t>74</w:t>
            </w:r>
          </w:p>
        </w:tc>
      </w:tr>
      <w:tr w:rsidR="00000000" w:rsidRPr="00DE31D4">
        <w:trPr>
          <w:cantSplit/>
          <w:trHeight w:hRule="exact" w:val="284"/>
        </w:trPr>
        <w:tc>
          <w:tcPr>
            <w:tcW w:w="675" w:type="dxa"/>
            <w:tcBorders>
              <w:left w:val="single" w:sz="4" w:space="0" w:color="auto"/>
            </w:tcBorders>
          </w:tcPr>
          <w:p w:rsidR="009E6FA3" w:rsidRPr="00DE31D4" w:rsidRDefault="009E6FA3">
            <w:r w:rsidRPr="00DE31D4">
              <w:t>1b</w:t>
            </w:r>
          </w:p>
        </w:tc>
        <w:tc>
          <w:tcPr>
            <w:tcW w:w="4395" w:type="dxa"/>
            <w:gridSpan w:val="2"/>
          </w:tcPr>
          <w:p w:rsidR="009E6FA3" w:rsidRPr="00DE31D4" w:rsidRDefault="009E6FA3">
            <w:r w:rsidRPr="00DE31D4">
              <w:t>Sammanhållning för tillväxt och sysselsättning</w:t>
            </w:r>
          </w:p>
        </w:tc>
        <w:tc>
          <w:tcPr>
            <w:tcW w:w="966" w:type="dxa"/>
            <w:tcBorders>
              <w:right w:val="single" w:sz="4" w:space="0" w:color="auto"/>
            </w:tcBorders>
          </w:tcPr>
          <w:p w:rsidR="009E6FA3" w:rsidRPr="00DE31D4" w:rsidRDefault="009E6FA3">
            <w:r w:rsidRPr="00DE31D4">
              <w:t>308</w:t>
            </w:r>
          </w:p>
        </w:tc>
      </w:tr>
      <w:tr w:rsidR="00000000" w:rsidRPr="00DE31D4">
        <w:trPr>
          <w:cantSplit/>
          <w:trHeight w:hRule="exact" w:val="518"/>
        </w:trPr>
        <w:tc>
          <w:tcPr>
            <w:tcW w:w="675" w:type="dxa"/>
            <w:tcBorders>
              <w:left w:val="single" w:sz="4" w:space="0" w:color="auto"/>
            </w:tcBorders>
          </w:tcPr>
          <w:p w:rsidR="009E6FA3" w:rsidRPr="00DE31D4" w:rsidRDefault="009E6FA3">
            <w:r w:rsidRPr="00DE31D4">
              <w:t>2</w:t>
            </w:r>
          </w:p>
        </w:tc>
        <w:tc>
          <w:tcPr>
            <w:tcW w:w="4395" w:type="dxa"/>
            <w:gridSpan w:val="2"/>
          </w:tcPr>
          <w:p w:rsidR="009E6FA3" w:rsidRPr="00DE31D4" w:rsidRDefault="009E6FA3">
            <w:r w:rsidRPr="00DE31D4">
              <w:t>Skydd och förvaltning av naturresurser (inklusive jord</w:t>
            </w:r>
            <w:r w:rsidRPr="00DE31D4">
              <w:softHyphen/>
              <w:t>bruks</w:t>
            </w:r>
            <w:r w:rsidRPr="00DE31D4">
              <w:softHyphen/>
              <w:t>politiken)</w:t>
            </w:r>
          </w:p>
        </w:tc>
        <w:tc>
          <w:tcPr>
            <w:tcW w:w="966" w:type="dxa"/>
            <w:tcBorders>
              <w:right w:val="single" w:sz="4" w:space="0" w:color="auto"/>
            </w:tcBorders>
          </w:tcPr>
          <w:p w:rsidR="009E6FA3" w:rsidRPr="00DE31D4" w:rsidRDefault="009E6FA3">
            <w:r w:rsidRPr="00DE31D4">
              <w:t>371</w:t>
            </w:r>
          </w:p>
        </w:tc>
      </w:tr>
      <w:tr w:rsidR="00000000" w:rsidRPr="00DE31D4">
        <w:trPr>
          <w:cantSplit/>
          <w:trHeight w:hRule="exact" w:val="284"/>
        </w:trPr>
        <w:tc>
          <w:tcPr>
            <w:tcW w:w="675" w:type="dxa"/>
            <w:tcBorders>
              <w:left w:val="single" w:sz="4" w:space="0" w:color="auto"/>
            </w:tcBorders>
          </w:tcPr>
          <w:p w:rsidR="009E6FA3" w:rsidRPr="00DE31D4" w:rsidRDefault="009E6FA3">
            <w:r w:rsidRPr="00DE31D4">
              <w:t>3</w:t>
            </w:r>
          </w:p>
        </w:tc>
        <w:tc>
          <w:tcPr>
            <w:tcW w:w="4395" w:type="dxa"/>
            <w:gridSpan w:val="2"/>
          </w:tcPr>
          <w:p w:rsidR="009E6FA3" w:rsidRPr="00DE31D4" w:rsidRDefault="009E6FA3">
            <w:r w:rsidRPr="00DE31D4">
              <w:t>Medborgarskap, frihet, säkerhet och rättvisa</w:t>
            </w:r>
          </w:p>
        </w:tc>
        <w:tc>
          <w:tcPr>
            <w:tcW w:w="966" w:type="dxa"/>
            <w:tcBorders>
              <w:right w:val="single" w:sz="4" w:space="0" w:color="auto"/>
            </w:tcBorders>
          </w:tcPr>
          <w:p w:rsidR="009E6FA3" w:rsidRPr="00DE31D4" w:rsidRDefault="009E6FA3">
            <w:r w:rsidRPr="00DE31D4">
              <w:t>11</w:t>
            </w:r>
          </w:p>
        </w:tc>
      </w:tr>
      <w:tr w:rsidR="00000000" w:rsidRPr="00DE31D4">
        <w:trPr>
          <w:cantSplit/>
          <w:trHeight w:hRule="exact" w:val="284"/>
        </w:trPr>
        <w:tc>
          <w:tcPr>
            <w:tcW w:w="675" w:type="dxa"/>
            <w:tcBorders>
              <w:left w:val="single" w:sz="4" w:space="0" w:color="auto"/>
            </w:tcBorders>
          </w:tcPr>
          <w:p w:rsidR="009E6FA3" w:rsidRPr="00DE31D4" w:rsidRDefault="009E6FA3">
            <w:r w:rsidRPr="00DE31D4">
              <w:t>4</w:t>
            </w:r>
          </w:p>
        </w:tc>
        <w:tc>
          <w:tcPr>
            <w:tcW w:w="4395" w:type="dxa"/>
            <w:gridSpan w:val="2"/>
          </w:tcPr>
          <w:p w:rsidR="009E6FA3" w:rsidRPr="00DE31D4" w:rsidRDefault="009E6FA3">
            <w:r w:rsidRPr="00DE31D4">
              <w:t>EU som global partner</w:t>
            </w:r>
          </w:p>
        </w:tc>
        <w:tc>
          <w:tcPr>
            <w:tcW w:w="966" w:type="dxa"/>
            <w:tcBorders>
              <w:right w:val="single" w:sz="4" w:space="0" w:color="auto"/>
            </w:tcBorders>
          </w:tcPr>
          <w:p w:rsidR="009E6FA3" w:rsidRPr="00DE31D4" w:rsidRDefault="009E6FA3">
            <w:r w:rsidRPr="00DE31D4">
              <w:t>49</w:t>
            </w:r>
          </w:p>
        </w:tc>
      </w:tr>
      <w:tr w:rsidR="00000000" w:rsidRPr="00DE31D4">
        <w:trPr>
          <w:cantSplit/>
          <w:trHeight w:hRule="exact" w:val="284"/>
        </w:trPr>
        <w:tc>
          <w:tcPr>
            <w:tcW w:w="675" w:type="dxa"/>
            <w:tcBorders>
              <w:left w:val="single" w:sz="4" w:space="0" w:color="auto"/>
            </w:tcBorders>
          </w:tcPr>
          <w:p w:rsidR="009E6FA3" w:rsidRPr="00DE31D4" w:rsidRDefault="009E6FA3">
            <w:r w:rsidRPr="00DE31D4">
              <w:t>5</w:t>
            </w:r>
          </w:p>
        </w:tc>
        <w:tc>
          <w:tcPr>
            <w:tcW w:w="4395" w:type="dxa"/>
            <w:gridSpan w:val="2"/>
          </w:tcPr>
          <w:p w:rsidR="009E6FA3" w:rsidRPr="00DE31D4" w:rsidRDefault="009E6FA3">
            <w:r w:rsidRPr="00DE31D4">
              <w:t>Administration</w:t>
            </w:r>
          </w:p>
        </w:tc>
        <w:tc>
          <w:tcPr>
            <w:tcW w:w="966" w:type="dxa"/>
            <w:tcBorders>
              <w:right w:val="single" w:sz="4" w:space="0" w:color="auto"/>
            </w:tcBorders>
          </w:tcPr>
          <w:p w:rsidR="009E6FA3" w:rsidRPr="00DE31D4" w:rsidRDefault="009E6FA3">
            <w:r w:rsidRPr="00DE31D4">
              <w:t>50</w:t>
            </w:r>
          </w:p>
        </w:tc>
      </w:tr>
      <w:tr w:rsidR="00000000" w:rsidRPr="00DE31D4">
        <w:trPr>
          <w:cantSplit/>
          <w:trHeight w:hRule="exact" w:val="284"/>
        </w:trPr>
        <w:tc>
          <w:tcPr>
            <w:tcW w:w="675" w:type="dxa"/>
            <w:tcBorders>
              <w:left w:val="single" w:sz="4" w:space="0" w:color="auto"/>
              <w:bottom w:val="single" w:sz="4" w:space="0" w:color="auto"/>
            </w:tcBorders>
          </w:tcPr>
          <w:p w:rsidR="009E6FA3" w:rsidRPr="00DE31D4" w:rsidRDefault="009E6FA3">
            <w:r w:rsidRPr="00DE31D4">
              <w:t>Totalt</w:t>
            </w:r>
          </w:p>
        </w:tc>
        <w:tc>
          <w:tcPr>
            <w:tcW w:w="4395" w:type="dxa"/>
            <w:gridSpan w:val="2"/>
            <w:tcBorders>
              <w:bottom w:val="single" w:sz="4" w:space="0" w:color="auto"/>
            </w:tcBorders>
          </w:tcPr>
          <w:p w:rsidR="009E6FA3" w:rsidRPr="00DE31D4" w:rsidRDefault="009E6FA3"/>
        </w:tc>
        <w:tc>
          <w:tcPr>
            <w:tcW w:w="966" w:type="dxa"/>
            <w:tcBorders>
              <w:bottom w:val="single" w:sz="4" w:space="0" w:color="auto"/>
              <w:right w:val="single" w:sz="4" w:space="0" w:color="auto"/>
            </w:tcBorders>
          </w:tcPr>
          <w:p w:rsidR="009E6FA3" w:rsidRPr="00DE31D4" w:rsidRDefault="009E6FA3">
            <w:r w:rsidRPr="00DE31D4">
              <w:t>864</w:t>
            </w:r>
          </w:p>
        </w:tc>
      </w:tr>
      <w:tr w:rsidR="00000000" w:rsidRPr="00DE31D4">
        <w:trPr>
          <w:gridAfter w:val="2"/>
          <w:wAfter w:w="1783" w:type="dxa"/>
        </w:trPr>
        <w:tc>
          <w:tcPr>
            <w:tcW w:w="4253" w:type="dxa"/>
            <w:gridSpan w:val="2"/>
          </w:tcPr>
          <w:p w:rsidR="009E6FA3" w:rsidRPr="00DE31D4" w:rsidRDefault="009E6FA3">
            <w:r w:rsidRPr="00DE31D4">
              <w:t>åtagandenivå i miljarder euro, 2004-års priser</w:t>
            </w:r>
          </w:p>
        </w:tc>
      </w:tr>
    </w:tbl>
    <w:p w:rsidR="009E6FA3" w:rsidRPr="00DE31D4" w:rsidRDefault="009E6FA3">
      <w:r w:rsidRPr="00DE31D4">
        <w:rPr>
          <w:b/>
          <w:i/>
        </w:rPr>
        <w:t>Interinstitutionella avtalet (IIA):</w:t>
      </w:r>
      <w:r w:rsidRPr="00DE31D4">
        <w:t xml:space="preserve"> Den fleråriga budgetramen är inte fördragsfäst utan fastställs därför i ett avtal mellan institutionerna: rådet, europarlamentet och kommissionen, som därmed förbinder sig att följa innehållet. Bakgrunden till IIA om budgetramen är de tidigare mycket besvärliga årsbudgetförhandlingarna.</w:t>
      </w:r>
    </w:p>
    <w:sectPr w:rsidR="009E6FA3" w:rsidRPr="00DE31D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FA3" w:rsidRPr="00DE31D4" w:rsidRDefault="009E6FA3">
      <w:r w:rsidRPr="00DE31D4">
        <w:separator/>
      </w:r>
    </w:p>
  </w:endnote>
  <w:endnote w:type="continuationSeparator" w:id="0">
    <w:p w:rsidR="009E6FA3" w:rsidRPr="00DE31D4" w:rsidRDefault="009E6FA3">
      <w:r w:rsidRPr="00DE3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FA3" w:rsidRPr="00DE31D4" w:rsidRDefault="009E6F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FA3" w:rsidRPr="00DE31D4" w:rsidRDefault="009E6FA3">
    <w:pPr>
      <w:pStyle w:val="SidfotH"/>
      <w:framePr w:wrap="around"/>
    </w:pPr>
    <w:r w:rsidRPr="00DE31D4">
      <w:t>2</w:t>
    </w:r>
  </w:p>
  <w:p w:rsidR="009E6FA3" w:rsidRPr="00DE31D4" w:rsidRDefault="009E6F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FA3" w:rsidRPr="00DE31D4" w:rsidRDefault="009E6FA3">
    <w:pPr>
      <w:pStyle w:val="SidfotH"/>
      <w:framePr w:wrap="around"/>
    </w:pPr>
    <w:r w:rsidRPr="00DE31D4">
      <w:t>1</w:t>
    </w:r>
  </w:p>
  <w:p w:rsidR="009E6FA3" w:rsidRPr="00DE31D4" w:rsidRDefault="009E6F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FA3" w:rsidRPr="00DE31D4" w:rsidRDefault="009E6FA3">
      <w:r w:rsidRPr="00DE31D4">
        <w:separator/>
      </w:r>
    </w:p>
  </w:footnote>
  <w:footnote w:type="continuationSeparator" w:id="0">
    <w:p w:rsidR="009E6FA3" w:rsidRPr="00DE31D4" w:rsidRDefault="009E6FA3">
      <w:r w:rsidRPr="00DE31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FA3" w:rsidRPr="00DE31D4" w:rsidRDefault="009E6F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FA3" w:rsidRPr="00DE31D4" w:rsidRDefault="009E6FA3">
    <w:pPr>
      <w:pStyle w:val="Kantrubrik"/>
      <w:framePr w:h="1157" w:hRule="exact" w:wrap="around" w:y="738"/>
    </w:pPr>
    <w:r w:rsidRPr="00DE31D4">
      <w:t>2007/08:FPM24</w:t>
    </w:r>
  </w:p>
  <w:p w:rsidR="009E6FA3" w:rsidRPr="00DE31D4" w:rsidRDefault="009E6F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FA3" w:rsidRPr="00DE31D4" w:rsidRDefault="00DE31D4">
    <w:pPr>
      <w:pStyle w:val="Sidhuvud"/>
    </w:pPr>
    <w:r w:rsidRPr="00DE31D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65317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FA3" w:rsidRDefault="009E6FA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6FA3" w:rsidRDefault="009E6FA3">
                    <w:pPr>
                      <w:pStyle w:val="Logo"/>
                    </w:pPr>
                    <w:r>
                      <w:object w:dxaOrig="840" w:dyaOrig="1545">
                        <v:shape id="_x0000_i1025" type="#_x0000_t75" style="width:42pt;height:77.15pt" filled="t">
                          <v:imagedata r:id="rId1" o:title=""/>
                        </v:shape>
                        <o:OLEObject Type="Embed" ProgID="Word.Picture.8" ShapeID="_x0000_i1025" DrawAspect="Content" ObjectID="_18274958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6783709">
    <w:abstractNumId w:val="4"/>
  </w:num>
  <w:num w:numId="2" w16cid:durableId="2124306571">
    <w:abstractNumId w:val="1"/>
  </w:num>
  <w:num w:numId="3" w16cid:durableId="482701229">
    <w:abstractNumId w:val="2"/>
  </w:num>
  <w:num w:numId="4" w16cid:durableId="567615425">
    <w:abstractNumId w:val="3"/>
  </w:num>
  <w:num w:numId="5" w16cid:durableId="2042120819">
    <w:abstractNumId w:val="5"/>
  </w:num>
  <w:num w:numId="6" w16cid:durableId="155912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16"/>
    <w:docVar w:name="Ar" w:val="2007/08"/>
    <w:docVar w:name="Dep" w:val="Finansdepartementet"/>
    <w:docVar w:name="DepWeb" w:val="Finansdepartementet"/>
    <w:docVar w:name="GDB1" w:val="KOM (2007) 5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revidering av den fleråriga budgetramen (2007-2013) och förslag om ändring av den fleråriga budgetramen enligt det interinstitutionella avtalet av den 17 maj 2006 om budgetdisciplin och sund ekonomisk förval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49"/>
    <w:docVar w:name="Nr" w:val="24"/>
    <w:docVar w:name="RD_APPVERSION" w:val="3.00"/>
    <w:docVar w:name="Rub" w:val="Meddelande om revidering av den fleråriga budgetramen"/>
    <w:docVar w:name="UppDat" w:val="2007-11-16"/>
    <w:docVar w:name="Utsk" w:val="Trafikutskottet"/>
  </w:docVars>
  <w:rsids>
    <w:rsidRoot w:val="004605A6"/>
    <w:rsid w:val="004605A6"/>
    <w:rsid w:val="009E6FA3"/>
    <w:rsid w:val="00DE31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9A72E5-EDC0-49DD-940F-77A033FE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pPr>
      <w:spacing w:after="240"/>
      <w:jc w:val="both"/>
    </w:pPr>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1319</Words>
  <Characters>8271</Characters>
  <Application>Microsoft Office Word</Application>
  <DocSecurity>4</DocSecurity>
  <Lines>179</Lines>
  <Paragraphs>79</Paragraphs>
  <ScaleCrop>false</ScaleCrop>
  <HeadingPairs>
    <vt:vector size="2" baseType="variant">
      <vt:variant>
        <vt:lpstr>Rubrik</vt:lpstr>
      </vt:variant>
      <vt:variant>
        <vt:i4>1</vt:i4>
      </vt:variant>
    </vt:vector>
  </HeadingPairs>
  <TitlesOfParts>
    <vt:vector size="1" baseType="lpstr">
      <vt:lpstr>FPM_200708__24</vt:lpstr>
    </vt:vector>
  </TitlesOfParts>
  <Company>RD-DTSL</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FPM_200708__24</dc:title>
  <dc:subject>FPM_200708__24</dc:subject>
  <dc:creator>Riksdagen</dc:creator>
  <cp:keywords>Riksdagen</cp:keywords>
  <dc:description>KP2004-version.  Ändringarna påverkar enbart användningen inom Riksdagen. 050429 nya departement DTSL.</dc:description>
  <cp:lastModifiedBy>Lars Brink</cp:lastModifiedBy>
  <cp:revision>2</cp:revision>
  <cp:lastPrinted>2007-11-19T07:29:00Z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KOM (2007) 549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revidering av den fleråriga budgetramen</vt:lpwstr>
  </property>
  <property fmtid="{D5CDD505-2E9C-101B-9397-08002B2CF9AE}" pid="8" name="UppDat">
    <vt:lpwstr>2007-11-16</vt:lpwstr>
  </property>
  <property fmtid="{D5CDD505-2E9C-101B-9397-08002B2CF9AE}" pid="9" name="AnkDat">
    <vt:lpwstr>2007-11-16</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6;0;0;256</vt:lpwstr>
  </property>
  <property fmtid="{D5CDD505-2E9C-101B-9397-08002B2CF9AE}" pid="41" name="Sprak">
    <vt:lpwstr>Svenska</vt:lpwstr>
  </property>
  <property fmtid="{D5CDD505-2E9C-101B-9397-08002B2CF9AE}" pid="42" name="DokID">
    <vt:i4>80</vt:i4>
  </property>
</Properties>
</file>