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362" w:rsidRPr="00022362" w:rsidRDefault="00022362">
      <w:pPr>
        <w:pStyle w:val="Hemstlrubrik"/>
        <w:shd w:val="clear" w:color="000000" w:fill="auto"/>
      </w:pPr>
      <w:bookmarkStart w:id="0" w:name="_Toc211766340"/>
      <w:bookmarkStart w:id="1" w:name="_Toc211766348"/>
      <w:r w:rsidRPr="00022362">
        <w:t>Förslag till riksdagsbeslut</w:t>
      </w:r>
    </w:p>
    <w:p w:rsidR="00022362" w:rsidRPr="00022362" w:rsidRDefault="00022362">
      <w:pPr>
        <w:pStyle w:val="Hemstlatt"/>
        <w:numPr>
          <w:ilvl w:val="0"/>
          <w:numId w:val="1"/>
        </w:numPr>
        <w:shd w:val="clear" w:color="000000" w:fill="auto"/>
      </w:pPr>
      <w:r w:rsidRPr="00022362">
        <w:t>Riksdagen avslår proposition 2008/09:7.</w:t>
      </w:r>
    </w:p>
    <w:p w:rsidR="00022362" w:rsidRPr="00022362" w:rsidRDefault="00022362">
      <w:pPr>
        <w:pStyle w:val="Hemstlatt"/>
        <w:numPr>
          <w:ilvl w:val="0"/>
          <w:numId w:val="1"/>
        </w:numPr>
        <w:shd w:val="clear" w:color="000000" w:fill="auto"/>
      </w:pPr>
      <w:r w:rsidRPr="00022362">
        <w:t>Riksdagen begär att regeringen återkommer med lagförslag om en nedsättning av arbetsgivaravgifterna och de sociala avgifterna i enlighet med det förslag som presenteras i moti</w:t>
      </w:r>
      <w:r w:rsidRPr="00022362">
        <w:t>o</w:t>
      </w:r>
      <w:r w:rsidRPr="00022362">
        <w:t>nen.</w:t>
      </w:r>
    </w:p>
    <w:p w:rsidR="00022362" w:rsidRPr="00022362" w:rsidRDefault="00022362">
      <w:pPr>
        <w:pStyle w:val="Rubrik1"/>
        <w:shd w:val="clear" w:color="000000" w:fill="auto"/>
      </w:pPr>
      <w:r w:rsidRPr="00022362">
        <w:t>Motivering</w:t>
      </w:r>
      <w:bookmarkEnd w:id="0"/>
      <w:bookmarkEnd w:id="1"/>
    </w:p>
    <w:p w:rsidR="00022362" w:rsidRPr="00022362" w:rsidRDefault="00022362">
      <w:pPr>
        <w:shd w:val="clear" w:color="000000" w:fill="auto"/>
      </w:pPr>
      <w:r w:rsidRPr="00022362">
        <w:t>Regeringen föreslår att nedsättningen av socialavgifterna för unga som exist</w:t>
      </w:r>
      <w:r w:rsidRPr="00022362">
        <w:t>e</w:t>
      </w:r>
      <w:r w:rsidRPr="00022362">
        <w:t>rar i dag utvidgas. Regeringens förslag innebär att socialavgifterna för un</w:t>
      </w:r>
      <w:r w:rsidRPr="00022362">
        <w:t>g</w:t>
      </w:r>
      <w:r w:rsidRPr="00022362">
        <w:t xml:space="preserve">domar upp t.o.m. 25 år utgår med 15,5 % (15,49 % arbetsgivaravgift och 15,07 % egenavgifter) mot ungefär 31,5 % för övriga arbetstagare. </w:t>
      </w:r>
    </w:p>
    <w:p w:rsidR="00022362" w:rsidRPr="00022362" w:rsidRDefault="00022362">
      <w:pPr>
        <w:pStyle w:val="Normaltindrag"/>
        <w:shd w:val="clear" w:color="000000" w:fill="auto"/>
      </w:pPr>
      <w:r w:rsidRPr="00022362">
        <w:t>Regeringen anför som motiv till nedsättningen den fortsatt höga arbetslö</w:t>
      </w:r>
      <w:r w:rsidRPr="00022362">
        <w:t>s</w:t>
      </w:r>
      <w:r w:rsidRPr="00022362">
        <w:t>heten bland unga. Vi delar givetvis regeringens syn att arbetslösheten för ungdomar bör minska. Den metod som man valt är dock ineffektiv och myc</w:t>
      </w:r>
      <w:r w:rsidRPr="00022362">
        <w:t>k</w:t>
      </w:r>
      <w:r w:rsidRPr="00022362">
        <w:t>et kostsam och skapar dessutom märkliga tröskeleffekter där unga människor över 25 år får högre arbetsgivaravgifter. En mycket stor del av avgiftssän</w:t>
      </w:r>
      <w:r w:rsidRPr="00022362">
        <w:t>k</w:t>
      </w:r>
      <w:r w:rsidRPr="00022362">
        <w:t>ningen tillfaller dessutom stora företag som normalt anställer många ungd</w:t>
      </w:r>
      <w:r w:rsidRPr="00022362">
        <w:t>o</w:t>
      </w:r>
      <w:r w:rsidRPr="00022362">
        <w:t xml:space="preserve">mar och som skulle ha gjort det även utan nedsättningen. </w:t>
      </w:r>
    </w:p>
    <w:p w:rsidR="00022362" w:rsidRPr="00022362" w:rsidRDefault="00022362">
      <w:pPr>
        <w:pStyle w:val="Normaltindrag"/>
        <w:shd w:val="clear" w:color="000000" w:fill="auto"/>
      </w:pPr>
      <w:r w:rsidRPr="00022362">
        <w:t>Selektiva skattesänkningar av arbetsgivaravgifterna gör dessutom skattes</w:t>
      </w:r>
      <w:r w:rsidRPr="00022362">
        <w:t>y</w:t>
      </w:r>
      <w:r w:rsidRPr="00022362">
        <w:t>stemet krångligare, mindre enhetligt och svårare att överblicka. Trots detta kan selektiva nedsättningar vara motiverade t.ex. för att hjälpa människor som verkligen har det svårt att ta sig in på arbetsmarkanden. Subventionerade anställningar kan vara motiverade av att personerna som får stöd har lägre produktivitet eller upplevs ha lägre produktivitet än andra. Ungdomar som grupp har däremot inte denna lägre produktivitet, snarare tvärtom. Många nyutbildade ungdomar har mycket lätt att få arbete. Arbets</w:t>
      </w:r>
      <w:r w:rsidRPr="00022362">
        <w:softHyphen/>
      </w:r>
      <w:r w:rsidRPr="00022362">
        <w:t>givar</w:t>
      </w:r>
      <w:r w:rsidRPr="00022362">
        <w:softHyphen/>
        <w:t>avgifts</w:t>
      </w:r>
      <w:r w:rsidRPr="00022362">
        <w:softHyphen/>
        <w:t>sänk</w:t>
      </w:r>
      <w:r w:rsidRPr="00022362">
        <w:softHyphen/>
        <w:t xml:space="preserve">ningen för ungdomar riktar sig till alla ungdomar och är därför ett ineffektivt </w:t>
      </w:r>
      <w:r w:rsidRPr="00022362">
        <w:lastRenderedPageBreak/>
        <w:t>sätt att öka sysselsättningen i denna grupp, vilket även Finanspolitiska rådet konstaterat</w:t>
      </w:r>
      <w:r w:rsidRPr="00022362">
        <w:rPr>
          <w:rStyle w:val="Fotnotsreferens"/>
          <w:szCs w:val="19"/>
        </w:rPr>
        <w:footnoteReference w:id="1"/>
      </w:r>
      <w:r w:rsidRPr="00022362">
        <w:t>.</w:t>
      </w:r>
    </w:p>
    <w:p w:rsidR="00022362" w:rsidRPr="00022362" w:rsidRDefault="00022362">
      <w:pPr>
        <w:pStyle w:val="Normaltindrag"/>
        <w:shd w:val="clear" w:color="000000" w:fill="auto"/>
      </w:pPr>
      <w:r w:rsidRPr="00022362">
        <w:t>I stället för regeringens dyra och ineffektiva nedsättning av socialavgifte</w:t>
      </w:r>
      <w:r w:rsidRPr="00022362">
        <w:t>r</w:t>
      </w:r>
      <w:r w:rsidRPr="00022362">
        <w:t>na för unga föreslår vi i Miljöpartiet i vår budgetmotion en nedsättning av arbetsgivar</w:t>
      </w:r>
      <w:r w:rsidRPr="00022362">
        <w:softHyphen/>
        <w:t>avgifterna och egenavgifterna för de minsta företagen med syfte att underlätta för småföretagen att växa.</w:t>
      </w:r>
    </w:p>
    <w:p w:rsidR="00022362" w:rsidRPr="00022362" w:rsidRDefault="00022362">
      <w:pPr>
        <w:pStyle w:val="Normaltindrag"/>
        <w:shd w:val="clear" w:color="000000" w:fill="auto"/>
        <w:spacing w:after="125"/>
        <w:rPr>
          <w:b/>
          <w:bCs/>
          <w:szCs w:val="19"/>
        </w:rPr>
      </w:pPr>
      <w:r w:rsidRPr="00022362">
        <w:t>Vårt förslag innebär att arbetsgivar</w:t>
      </w:r>
      <w:r w:rsidRPr="00022362">
        <w:softHyphen/>
        <w:t>avgiften sätts ned med 10 procentenh</w:t>
      </w:r>
      <w:r w:rsidRPr="00022362">
        <w:t>e</w:t>
      </w:r>
      <w:r w:rsidRPr="00022362">
        <w:t>ter på en maximal lönesumma på 2,5 miljoner kronor, vilket ger en maximal nedsättning för varje företag på 20 800 kr per månad (se tabell nedan). Vi föreslår också att soloföretagare får en nedsättning så att de endast betalar ålderspensionsavgiften, drygt 10 % för den första anställda under det första året. För soloföretagaren innebär detta minskade kostnader för den första anställda det första året med drygt 60 000 kr (beräknat på en månadslön på 25 000 kr per månad).</w:t>
      </w:r>
      <w:r w:rsidRPr="00022362">
        <w:rPr>
          <w:b/>
          <w:bCs/>
          <w:szCs w:val="19"/>
        </w:rPr>
        <w:t xml:space="preserve"> </w:t>
      </w:r>
    </w:p>
    <w:p w:rsidR="00022362" w:rsidRPr="00022362" w:rsidRDefault="00022362">
      <w:pPr>
        <w:shd w:val="clear" w:color="000000" w:fill="auto"/>
        <w:spacing w:before="0"/>
        <w:rPr>
          <w:b/>
        </w:rPr>
      </w:pPr>
      <w:r w:rsidRPr="00022362">
        <w:rPr>
          <w:b/>
        </w:rPr>
        <w:t>Nedsättning av arbetsgivaravgifterna med 10 procentenheter upp till en lön</w:t>
      </w:r>
      <w:r w:rsidRPr="00022362">
        <w:rPr>
          <w:b/>
        </w:rPr>
        <w:t>e</w:t>
      </w:r>
      <w:r w:rsidRPr="00022362">
        <w:rPr>
          <w:b/>
        </w:rPr>
        <w:t>summa på maximalt 2,5 miljoner</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95"/>
        <w:gridCol w:w="1093"/>
        <w:gridCol w:w="1243"/>
        <w:gridCol w:w="1243"/>
        <w:gridCol w:w="1280"/>
      </w:tblGrid>
      <w:tr w:rsidR="00000000" w:rsidRPr="00022362">
        <w:trPr>
          <w:trHeight w:val="465"/>
        </w:trPr>
        <w:tc>
          <w:tcPr>
            <w:tcW w:w="1095" w:type="dxa"/>
            <w:tcBorders>
              <w:top w:val="single" w:sz="4" w:space="0" w:color="auto"/>
              <w:bottom w:val="single" w:sz="4" w:space="0" w:color="auto"/>
            </w:tcBorders>
            <w:vAlign w:val="bottom"/>
          </w:tcPr>
          <w:p w:rsidR="00022362" w:rsidRPr="00022362" w:rsidRDefault="00022362">
            <w:pPr>
              <w:shd w:val="clear" w:color="000000" w:fill="auto"/>
              <w:spacing w:before="60" w:line="200" w:lineRule="exact"/>
              <w:jc w:val="right"/>
              <w:rPr>
                <w:b/>
                <w:sz w:val="16"/>
                <w:szCs w:val="16"/>
              </w:rPr>
            </w:pPr>
            <w:r w:rsidRPr="00022362">
              <w:rPr>
                <w:b/>
                <w:sz w:val="16"/>
                <w:szCs w:val="16"/>
              </w:rPr>
              <w:t>Lönesu</w:t>
            </w:r>
            <w:r w:rsidRPr="00022362">
              <w:rPr>
                <w:b/>
                <w:sz w:val="16"/>
                <w:szCs w:val="16"/>
              </w:rPr>
              <w:t>m</w:t>
            </w:r>
            <w:r w:rsidRPr="00022362">
              <w:rPr>
                <w:b/>
                <w:sz w:val="16"/>
                <w:szCs w:val="16"/>
              </w:rPr>
              <w:t>ma</w:t>
            </w:r>
          </w:p>
        </w:tc>
        <w:tc>
          <w:tcPr>
            <w:tcW w:w="1093" w:type="dxa"/>
            <w:tcBorders>
              <w:top w:val="single" w:sz="4" w:space="0" w:color="auto"/>
              <w:bottom w:val="single" w:sz="4" w:space="0" w:color="auto"/>
            </w:tcBorders>
            <w:vAlign w:val="bottom"/>
          </w:tcPr>
          <w:p w:rsidR="00022362" w:rsidRPr="00022362" w:rsidRDefault="00022362">
            <w:pPr>
              <w:shd w:val="clear" w:color="000000" w:fill="auto"/>
              <w:spacing w:before="60" w:line="200" w:lineRule="exact"/>
              <w:ind w:left="-113"/>
              <w:jc w:val="right"/>
              <w:rPr>
                <w:b/>
                <w:spacing w:val="-2"/>
                <w:sz w:val="16"/>
                <w:szCs w:val="16"/>
              </w:rPr>
            </w:pPr>
            <w:r w:rsidRPr="00022362">
              <w:rPr>
                <w:b/>
                <w:spacing w:val="-4"/>
                <w:sz w:val="16"/>
                <w:szCs w:val="16"/>
              </w:rPr>
              <w:t>Ungefärligt antal</w:t>
            </w:r>
            <w:r w:rsidRPr="00022362">
              <w:rPr>
                <w:b/>
                <w:spacing w:val="-2"/>
                <w:sz w:val="16"/>
                <w:szCs w:val="16"/>
              </w:rPr>
              <w:t xml:space="preserve"> </w:t>
            </w:r>
            <w:r w:rsidRPr="00022362">
              <w:rPr>
                <w:b/>
                <w:spacing w:val="-4"/>
                <w:sz w:val="16"/>
                <w:szCs w:val="16"/>
              </w:rPr>
              <w:t>anstäl</w:t>
            </w:r>
            <w:r w:rsidRPr="00022362">
              <w:rPr>
                <w:b/>
                <w:spacing w:val="-4"/>
                <w:sz w:val="16"/>
                <w:szCs w:val="16"/>
              </w:rPr>
              <w:t>l</w:t>
            </w:r>
            <w:r w:rsidRPr="00022362">
              <w:rPr>
                <w:b/>
                <w:spacing w:val="-4"/>
                <w:sz w:val="16"/>
                <w:szCs w:val="16"/>
              </w:rPr>
              <w:t>da</w:t>
            </w:r>
          </w:p>
        </w:tc>
        <w:tc>
          <w:tcPr>
            <w:tcW w:w="1243" w:type="dxa"/>
            <w:tcBorders>
              <w:top w:val="single" w:sz="4" w:space="0" w:color="auto"/>
              <w:bottom w:val="single" w:sz="4" w:space="0" w:color="auto"/>
            </w:tcBorders>
            <w:vAlign w:val="bottom"/>
          </w:tcPr>
          <w:p w:rsidR="00022362" w:rsidRPr="00022362" w:rsidRDefault="00022362">
            <w:pPr>
              <w:shd w:val="clear" w:color="000000" w:fill="auto"/>
              <w:spacing w:before="60" w:line="200" w:lineRule="exact"/>
              <w:jc w:val="right"/>
              <w:rPr>
                <w:b/>
                <w:sz w:val="16"/>
                <w:szCs w:val="16"/>
              </w:rPr>
            </w:pPr>
            <w:r w:rsidRPr="00022362">
              <w:rPr>
                <w:b/>
                <w:sz w:val="16"/>
                <w:szCs w:val="16"/>
              </w:rPr>
              <w:t>Arbetsgivar</w:t>
            </w:r>
            <w:r w:rsidRPr="00022362">
              <w:rPr>
                <w:b/>
                <w:sz w:val="16"/>
                <w:szCs w:val="16"/>
              </w:rPr>
              <w:softHyphen/>
              <w:t>avgift före</w:t>
            </w:r>
          </w:p>
        </w:tc>
        <w:tc>
          <w:tcPr>
            <w:tcW w:w="1243" w:type="dxa"/>
            <w:tcBorders>
              <w:top w:val="single" w:sz="4" w:space="0" w:color="auto"/>
              <w:bottom w:val="single" w:sz="4" w:space="0" w:color="auto"/>
            </w:tcBorders>
            <w:vAlign w:val="bottom"/>
          </w:tcPr>
          <w:p w:rsidR="00022362" w:rsidRPr="00022362" w:rsidRDefault="00022362">
            <w:pPr>
              <w:shd w:val="clear" w:color="000000" w:fill="auto"/>
              <w:spacing w:before="60" w:line="200" w:lineRule="exact"/>
              <w:jc w:val="right"/>
              <w:rPr>
                <w:b/>
                <w:sz w:val="16"/>
                <w:szCs w:val="16"/>
              </w:rPr>
            </w:pPr>
            <w:r w:rsidRPr="00022362">
              <w:rPr>
                <w:b/>
                <w:sz w:val="16"/>
                <w:szCs w:val="16"/>
              </w:rPr>
              <w:t>Arbetsgivar</w:t>
            </w:r>
            <w:r w:rsidRPr="00022362">
              <w:rPr>
                <w:b/>
                <w:sz w:val="16"/>
                <w:szCs w:val="16"/>
              </w:rPr>
              <w:softHyphen/>
              <w:t>avgift mp</w:t>
            </w:r>
          </w:p>
        </w:tc>
        <w:tc>
          <w:tcPr>
            <w:tcW w:w="1280" w:type="dxa"/>
            <w:tcBorders>
              <w:top w:val="single" w:sz="4" w:space="0" w:color="auto"/>
              <w:bottom w:val="single" w:sz="4" w:space="0" w:color="auto"/>
            </w:tcBorders>
            <w:vAlign w:val="bottom"/>
          </w:tcPr>
          <w:p w:rsidR="00022362" w:rsidRPr="00022362" w:rsidRDefault="00022362">
            <w:pPr>
              <w:shd w:val="clear" w:color="000000" w:fill="auto"/>
              <w:spacing w:before="60" w:line="200" w:lineRule="exact"/>
              <w:jc w:val="right"/>
              <w:rPr>
                <w:b/>
                <w:sz w:val="16"/>
                <w:szCs w:val="16"/>
              </w:rPr>
            </w:pPr>
            <w:r w:rsidRPr="00022362">
              <w:rPr>
                <w:b/>
                <w:sz w:val="16"/>
                <w:szCs w:val="16"/>
              </w:rPr>
              <w:t>Total nedsätt</w:t>
            </w:r>
            <w:r w:rsidRPr="00022362">
              <w:rPr>
                <w:b/>
                <w:sz w:val="16"/>
                <w:szCs w:val="16"/>
              </w:rPr>
              <w:softHyphen/>
              <w:t>ning/månad</w:t>
            </w:r>
          </w:p>
        </w:tc>
      </w:tr>
      <w:tr w:rsidR="00000000" w:rsidRPr="00022362">
        <w:trPr>
          <w:trHeight w:val="255"/>
        </w:trPr>
        <w:tc>
          <w:tcPr>
            <w:tcW w:w="1095" w:type="dxa"/>
            <w:tcBorders>
              <w:top w:val="single" w:sz="4" w:space="0" w:color="auto"/>
            </w:tcBorders>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2 500 000</w:t>
            </w:r>
          </w:p>
        </w:tc>
        <w:tc>
          <w:tcPr>
            <w:tcW w:w="1093" w:type="dxa"/>
            <w:tcBorders>
              <w:top w:val="single" w:sz="4" w:space="0" w:color="auto"/>
            </w:tcBorders>
            <w:noWrap/>
            <w:vAlign w:val="bottom"/>
          </w:tcPr>
          <w:p w:rsidR="00022362" w:rsidRPr="00022362" w:rsidRDefault="00022362">
            <w:pPr>
              <w:shd w:val="clear" w:color="000000" w:fill="auto"/>
              <w:spacing w:before="60" w:line="200" w:lineRule="exact"/>
              <w:ind w:right="71"/>
              <w:jc w:val="right"/>
              <w:rPr>
                <w:sz w:val="16"/>
                <w:szCs w:val="16"/>
              </w:rPr>
            </w:pPr>
            <w:r w:rsidRPr="00022362">
              <w:rPr>
                <w:sz w:val="16"/>
                <w:szCs w:val="16"/>
              </w:rPr>
              <w:t>8</w:t>
            </w:r>
          </w:p>
        </w:tc>
        <w:tc>
          <w:tcPr>
            <w:tcW w:w="1243" w:type="dxa"/>
            <w:tcBorders>
              <w:top w:val="single" w:sz="4" w:space="0" w:color="auto"/>
            </w:tcBorders>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785 000</w:t>
            </w:r>
          </w:p>
        </w:tc>
        <w:tc>
          <w:tcPr>
            <w:tcW w:w="1243" w:type="dxa"/>
            <w:tcBorders>
              <w:top w:val="single" w:sz="4" w:space="0" w:color="auto"/>
            </w:tcBorders>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535 000</w:t>
            </w:r>
          </w:p>
        </w:tc>
        <w:tc>
          <w:tcPr>
            <w:tcW w:w="1280" w:type="dxa"/>
            <w:tcBorders>
              <w:top w:val="single" w:sz="4" w:space="0" w:color="auto"/>
            </w:tcBorders>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20 833</w:t>
            </w:r>
          </w:p>
        </w:tc>
      </w:tr>
      <w:tr w:rsidR="00000000" w:rsidRPr="00022362">
        <w:trPr>
          <w:trHeight w:val="255"/>
        </w:trPr>
        <w:tc>
          <w:tcPr>
            <w:tcW w:w="1095"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2 000 000</w:t>
            </w:r>
          </w:p>
        </w:tc>
        <w:tc>
          <w:tcPr>
            <w:tcW w:w="1093" w:type="dxa"/>
            <w:noWrap/>
            <w:vAlign w:val="bottom"/>
          </w:tcPr>
          <w:p w:rsidR="00022362" w:rsidRPr="00022362" w:rsidRDefault="00022362">
            <w:pPr>
              <w:shd w:val="clear" w:color="000000" w:fill="auto"/>
              <w:spacing w:before="60" w:line="200" w:lineRule="exact"/>
              <w:ind w:right="71"/>
              <w:jc w:val="right"/>
              <w:rPr>
                <w:sz w:val="16"/>
                <w:szCs w:val="16"/>
              </w:rPr>
            </w:pPr>
            <w:r w:rsidRPr="00022362">
              <w:rPr>
                <w:sz w:val="16"/>
                <w:szCs w:val="16"/>
              </w:rPr>
              <w:t>6</w:t>
            </w:r>
          </w:p>
        </w:tc>
        <w:tc>
          <w:tcPr>
            <w:tcW w:w="1243"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628 000</w:t>
            </w:r>
          </w:p>
        </w:tc>
        <w:tc>
          <w:tcPr>
            <w:tcW w:w="1243"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428 000</w:t>
            </w:r>
          </w:p>
        </w:tc>
        <w:tc>
          <w:tcPr>
            <w:tcW w:w="1280"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16 667</w:t>
            </w:r>
          </w:p>
        </w:tc>
      </w:tr>
      <w:tr w:rsidR="00000000" w:rsidRPr="00022362">
        <w:trPr>
          <w:trHeight w:val="255"/>
        </w:trPr>
        <w:tc>
          <w:tcPr>
            <w:tcW w:w="1095"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1 500 000</w:t>
            </w:r>
          </w:p>
        </w:tc>
        <w:tc>
          <w:tcPr>
            <w:tcW w:w="1093" w:type="dxa"/>
            <w:noWrap/>
            <w:vAlign w:val="bottom"/>
          </w:tcPr>
          <w:p w:rsidR="00022362" w:rsidRPr="00022362" w:rsidRDefault="00022362">
            <w:pPr>
              <w:shd w:val="clear" w:color="000000" w:fill="auto"/>
              <w:spacing w:before="60" w:line="200" w:lineRule="exact"/>
              <w:ind w:right="71"/>
              <w:jc w:val="right"/>
              <w:rPr>
                <w:sz w:val="16"/>
                <w:szCs w:val="16"/>
              </w:rPr>
            </w:pPr>
            <w:r w:rsidRPr="00022362">
              <w:rPr>
                <w:sz w:val="16"/>
                <w:szCs w:val="16"/>
              </w:rPr>
              <w:t>5</w:t>
            </w:r>
          </w:p>
        </w:tc>
        <w:tc>
          <w:tcPr>
            <w:tcW w:w="1243"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471 000</w:t>
            </w:r>
          </w:p>
        </w:tc>
        <w:tc>
          <w:tcPr>
            <w:tcW w:w="1243"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321 000</w:t>
            </w:r>
          </w:p>
        </w:tc>
        <w:tc>
          <w:tcPr>
            <w:tcW w:w="1280"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12 500</w:t>
            </w:r>
          </w:p>
        </w:tc>
      </w:tr>
      <w:tr w:rsidR="00000000" w:rsidRPr="00022362">
        <w:trPr>
          <w:trHeight w:val="270"/>
        </w:trPr>
        <w:tc>
          <w:tcPr>
            <w:tcW w:w="1095"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1 000 000</w:t>
            </w:r>
          </w:p>
        </w:tc>
        <w:tc>
          <w:tcPr>
            <w:tcW w:w="1093" w:type="dxa"/>
            <w:noWrap/>
            <w:vAlign w:val="bottom"/>
          </w:tcPr>
          <w:p w:rsidR="00022362" w:rsidRPr="00022362" w:rsidRDefault="00022362">
            <w:pPr>
              <w:shd w:val="clear" w:color="000000" w:fill="auto"/>
              <w:spacing w:before="60" w:line="200" w:lineRule="exact"/>
              <w:ind w:right="71"/>
              <w:jc w:val="right"/>
              <w:rPr>
                <w:sz w:val="16"/>
                <w:szCs w:val="16"/>
              </w:rPr>
            </w:pPr>
            <w:r w:rsidRPr="00022362">
              <w:rPr>
                <w:sz w:val="16"/>
                <w:szCs w:val="16"/>
              </w:rPr>
              <w:t>3</w:t>
            </w:r>
          </w:p>
        </w:tc>
        <w:tc>
          <w:tcPr>
            <w:tcW w:w="1243"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314 000</w:t>
            </w:r>
          </w:p>
        </w:tc>
        <w:tc>
          <w:tcPr>
            <w:tcW w:w="1243"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214 000</w:t>
            </w:r>
          </w:p>
        </w:tc>
        <w:tc>
          <w:tcPr>
            <w:tcW w:w="1280" w:type="dxa"/>
            <w:noWrap/>
            <w:vAlign w:val="bottom"/>
          </w:tcPr>
          <w:p w:rsidR="00022362" w:rsidRPr="00022362" w:rsidRDefault="00022362">
            <w:pPr>
              <w:shd w:val="clear" w:color="000000" w:fill="auto"/>
              <w:spacing w:before="60" w:line="200" w:lineRule="exact"/>
              <w:jc w:val="right"/>
              <w:rPr>
                <w:sz w:val="16"/>
                <w:szCs w:val="16"/>
              </w:rPr>
            </w:pPr>
            <w:r w:rsidRPr="00022362">
              <w:rPr>
                <w:sz w:val="16"/>
                <w:szCs w:val="16"/>
              </w:rPr>
              <w:t>8 333</w:t>
            </w:r>
          </w:p>
        </w:tc>
      </w:tr>
    </w:tbl>
    <w:p w:rsidR="00022362" w:rsidRPr="00022362" w:rsidRDefault="00022362">
      <w:pPr>
        <w:pStyle w:val="Normaltindrag"/>
        <w:shd w:val="clear" w:color="000000" w:fill="auto"/>
        <w:rPr>
          <w:sz w:val="8"/>
          <w:szCs w:val="8"/>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362">
        <w:trPr>
          <w:cantSplit/>
        </w:trPr>
        <w:tc>
          <w:tcPr>
            <w:tcW w:w="3046" w:type="dxa"/>
          </w:tcPr>
          <w:p w:rsidR="00022362" w:rsidRPr="00022362" w:rsidRDefault="00022362">
            <w:pPr>
              <w:pStyle w:val="UnderskriftDatum"/>
              <w:shd w:val="clear" w:color="000000" w:fill="auto"/>
              <w:spacing w:before="240"/>
            </w:pPr>
            <w:r w:rsidRPr="00022362">
              <w:t>Stockholm den 15 oktober 2008</w:t>
            </w:r>
          </w:p>
        </w:tc>
        <w:tc>
          <w:tcPr>
            <w:tcW w:w="3047" w:type="dxa"/>
          </w:tcPr>
          <w:p w:rsidR="00022362" w:rsidRPr="00022362" w:rsidRDefault="00022362">
            <w:pPr>
              <w:pStyle w:val="Underskrifter"/>
              <w:shd w:val="clear" w:color="000000" w:fill="auto"/>
              <w:spacing w:before="240"/>
            </w:pPr>
          </w:p>
        </w:tc>
      </w:tr>
      <w:tr w:rsidR="00000000" w:rsidRPr="00022362">
        <w:trPr>
          <w:cantSplit/>
        </w:trPr>
        <w:tc>
          <w:tcPr>
            <w:tcW w:w="3046" w:type="dxa"/>
          </w:tcPr>
          <w:p w:rsidR="00022362" w:rsidRPr="00022362" w:rsidRDefault="00022362">
            <w:pPr>
              <w:pStyle w:val="Underskrifter"/>
              <w:shd w:val="clear" w:color="000000" w:fill="auto"/>
            </w:pPr>
            <w:r w:rsidRPr="00022362">
              <w:t>Gunvor G Ericson (mp)</w:t>
            </w:r>
          </w:p>
        </w:tc>
        <w:tc>
          <w:tcPr>
            <w:tcW w:w="3046" w:type="dxa"/>
          </w:tcPr>
          <w:p w:rsidR="00022362" w:rsidRPr="00022362" w:rsidRDefault="00022362">
            <w:pPr>
              <w:pStyle w:val="Underskrifter"/>
              <w:shd w:val="clear" w:color="000000" w:fill="auto"/>
            </w:pPr>
          </w:p>
        </w:tc>
      </w:tr>
      <w:tr w:rsidR="00000000" w:rsidRPr="00022362">
        <w:trPr>
          <w:cantSplit/>
        </w:trPr>
        <w:tc>
          <w:tcPr>
            <w:tcW w:w="3046" w:type="dxa"/>
          </w:tcPr>
          <w:p w:rsidR="00022362" w:rsidRPr="00022362" w:rsidRDefault="00022362">
            <w:pPr>
              <w:pStyle w:val="Underskrifter"/>
              <w:shd w:val="clear" w:color="000000" w:fill="auto"/>
            </w:pPr>
            <w:r w:rsidRPr="00022362">
              <w:t>Bodil Ceballos (mp)</w:t>
            </w:r>
          </w:p>
        </w:tc>
        <w:tc>
          <w:tcPr>
            <w:tcW w:w="3046" w:type="dxa"/>
          </w:tcPr>
          <w:p w:rsidR="00022362" w:rsidRPr="00022362" w:rsidRDefault="00022362">
            <w:pPr>
              <w:pStyle w:val="Underskrifter"/>
              <w:shd w:val="clear" w:color="000000" w:fill="auto"/>
            </w:pPr>
            <w:r w:rsidRPr="00022362">
              <w:t>Thomas Nihlén (mp)</w:t>
            </w:r>
          </w:p>
        </w:tc>
      </w:tr>
    </w:tbl>
    <w:p w:rsidR="00022362" w:rsidRPr="00022362" w:rsidRDefault="00022362">
      <w:pPr>
        <w:pStyle w:val="Normaltindrag"/>
        <w:pBdr>
          <w:between w:val="single" w:sz="4" w:space="1" w:color="auto"/>
        </w:pBdr>
        <w:shd w:val="clear" w:color="000000" w:fill="auto"/>
      </w:pPr>
    </w:p>
    <w:sectPr w:rsidR="00000000" w:rsidRPr="000223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362" w:rsidRPr="00022362" w:rsidRDefault="00022362">
      <w:r w:rsidRPr="00022362">
        <w:separator/>
      </w:r>
    </w:p>
  </w:endnote>
  <w:endnote w:type="continuationSeparator" w:id="0">
    <w:p w:rsidR="00022362" w:rsidRPr="00022362" w:rsidRDefault="00022362">
      <w:r w:rsidRPr="000223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2" w:rsidRPr="00022362" w:rsidRDefault="00022362">
    <w:pPr>
      <w:pStyle w:val="Sidfot"/>
    </w:pPr>
    <w:r w:rsidRPr="000223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287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62" w:rsidRDefault="000223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362" w:rsidRDefault="000223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2" w:rsidRPr="00022362" w:rsidRDefault="00022362">
    <w:pPr>
      <w:pStyle w:val="Sidfot"/>
    </w:pPr>
    <w:r w:rsidRPr="000223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114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62" w:rsidRDefault="000223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362" w:rsidRDefault="000223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2" w:rsidRPr="00022362" w:rsidRDefault="00022362">
    <w:pPr>
      <w:pStyle w:val="Sidfot"/>
    </w:pPr>
    <w:r w:rsidRPr="000223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113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62" w:rsidRDefault="000223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362" w:rsidRDefault="000223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362" w:rsidRPr="00022362" w:rsidRDefault="00022362">
      <w:pPr>
        <w:pStyle w:val="Sidfot"/>
      </w:pPr>
    </w:p>
  </w:footnote>
  <w:footnote w:type="continuationSeparator" w:id="0">
    <w:p w:rsidR="00022362" w:rsidRPr="00022362" w:rsidRDefault="00022362">
      <w:r w:rsidRPr="00022362">
        <w:continuationSeparator/>
      </w:r>
    </w:p>
  </w:footnote>
  <w:footnote w:id="1">
    <w:p w:rsidR="00022362" w:rsidRPr="00022362" w:rsidRDefault="00022362">
      <w:pPr>
        <w:pStyle w:val="Fotnotstext"/>
        <w:rPr>
          <w:sz w:val="16"/>
          <w:szCs w:val="16"/>
        </w:rPr>
      </w:pPr>
      <w:r w:rsidRPr="00022362">
        <w:rPr>
          <w:rStyle w:val="Fotnotsreferens"/>
          <w:sz w:val="19"/>
          <w:szCs w:val="19"/>
        </w:rPr>
        <w:footnoteRef/>
      </w:r>
      <w:r w:rsidRPr="00022362">
        <w:rPr>
          <w:sz w:val="19"/>
          <w:szCs w:val="19"/>
        </w:rPr>
        <w:t xml:space="preserve"> </w:t>
      </w:r>
      <w:r w:rsidRPr="00022362">
        <w:rPr>
          <w:sz w:val="16"/>
          <w:szCs w:val="16"/>
        </w:rPr>
        <w:t xml:space="preserve">Finanspolitiska rådet, Finanspolitiska rådets rapport 2008 s. </w:t>
      </w:r>
      <w:smartTag w:uri="urn:schemas-microsoft-com:office:smarttags" w:element="metricconverter">
        <w:smartTagPr>
          <w:attr w:name="ProductID" w:val="210 f"/>
        </w:smartTagPr>
        <w:r w:rsidRPr="00022362">
          <w:rPr>
            <w:sz w:val="16"/>
            <w:szCs w:val="16"/>
          </w:rPr>
          <w:t>210 f</w:t>
        </w:r>
      </w:smartTag>
      <w:r w:rsidRPr="0002236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2" w:rsidRPr="00022362" w:rsidRDefault="00022362">
    <w:pPr>
      <w:pStyle w:val="Sidhuvud"/>
    </w:pPr>
    <w:r w:rsidRPr="000223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370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62" w:rsidRDefault="000223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362" w:rsidRDefault="000223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2" w:rsidRPr="00022362" w:rsidRDefault="00022362">
    <w:pPr>
      <w:pStyle w:val="Sidhuvud"/>
    </w:pPr>
    <w:r w:rsidRPr="000223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755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62" w:rsidRDefault="000223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362" w:rsidRDefault="000223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2" w:rsidRPr="00022362" w:rsidRDefault="00022362">
    <w:pPr>
      <w:pStyle w:val="FSHNormal"/>
      <w:tabs>
        <w:tab w:val="right" w:pos="5840"/>
      </w:tabs>
    </w:pPr>
    <w:r w:rsidRPr="00022362">
      <w:br/>
    </w:r>
    <w:r w:rsidRPr="00022362">
      <w:fldChar w:fldCharType="begin" w:fldLock="1"/>
    </w:r>
    <w:r w:rsidRPr="00022362">
      <w:instrText xml:space="preserve"> DOCPROPERTY</w:instrText>
    </w:r>
    <w:r w:rsidRPr="00022362">
      <w:rPr>
        <w:sz w:val="18"/>
      </w:rPr>
      <w:instrText xml:space="preserve"> "YearUser" *\charformat </w:instrText>
    </w:r>
    <w:r w:rsidRPr="00022362">
      <w:fldChar w:fldCharType="separate"/>
    </w:r>
    <w:r w:rsidRPr="00022362">
      <w:t>2008/09</w:t>
    </w:r>
    <w:r w:rsidRPr="00022362">
      <w:fldChar w:fldCharType="end"/>
    </w:r>
    <w:r w:rsidRPr="00022362">
      <w:t xml:space="preserve"> </w:t>
    </w:r>
    <w:r w:rsidRPr="00022362">
      <w:tab/>
      <w:t xml:space="preserve">mnr: </w:t>
    </w:r>
    <w:r w:rsidRPr="00022362">
      <w:fldChar w:fldCharType="begin" w:fldLock="1"/>
    </w:r>
    <w:r w:rsidRPr="00022362">
      <w:instrText xml:space="preserve"> DOCPROPERTY</w:instrText>
    </w:r>
    <w:r w:rsidRPr="00022362">
      <w:rPr>
        <w:sz w:val="18"/>
      </w:rPr>
      <w:instrText xml:space="preserve"> "Motionsnummer" *\charformat </w:instrText>
    </w:r>
    <w:r w:rsidRPr="00022362">
      <w:fldChar w:fldCharType="separate"/>
    </w:r>
    <w:r w:rsidRPr="00022362">
      <w:t>Sf4</w:t>
    </w:r>
    <w:r w:rsidRPr="00022362">
      <w:fldChar w:fldCharType="end"/>
    </w:r>
    <w:r w:rsidRPr="00022362">
      <w:br/>
    </w:r>
    <w:r w:rsidRPr="00022362">
      <w:fldChar w:fldCharType="begin" w:fldLock="1"/>
    </w:r>
    <w:r w:rsidRPr="00022362">
      <w:instrText xml:space="preserve"> DOCPROPERTY</w:instrText>
    </w:r>
    <w:r w:rsidRPr="00022362">
      <w:rPr>
        <w:sz w:val="18"/>
      </w:rPr>
      <w:instrText xml:space="preserve"> "Samling" *\charformat </w:instrText>
    </w:r>
    <w:r w:rsidRPr="00022362">
      <w:fldChar w:fldCharType="end"/>
    </w:r>
    <w:r w:rsidRPr="00022362">
      <w:tab/>
      <w:t xml:space="preserve">pnr: </w:t>
    </w:r>
    <w:r w:rsidRPr="00022362">
      <w:fldChar w:fldCharType="begin" w:fldLock="1"/>
    </w:r>
    <w:r w:rsidRPr="00022362">
      <w:instrText xml:space="preserve"> DOCPROPERTY</w:instrText>
    </w:r>
    <w:r w:rsidRPr="00022362">
      <w:rPr>
        <w:sz w:val="18"/>
      </w:rPr>
      <w:instrText xml:space="preserve"> "Partinummer" *\charformat </w:instrText>
    </w:r>
    <w:r w:rsidRPr="00022362">
      <w:fldChar w:fldCharType="separate"/>
    </w:r>
    <w:r w:rsidRPr="00022362">
      <w:t>mp8</w:t>
    </w:r>
    <w:r w:rsidRPr="00022362">
      <w:fldChar w:fldCharType="end"/>
    </w:r>
  </w:p>
  <w:p w:rsidR="00022362" w:rsidRPr="00022362" w:rsidRDefault="00022362">
    <w:pPr>
      <w:pStyle w:val="FSHRub1"/>
    </w:pPr>
    <w:r w:rsidRPr="00022362">
      <w:t>Motion till riksdagen</w:t>
    </w:r>
    <w:r w:rsidRPr="00022362">
      <w:br/>
    </w:r>
    <w:r w:rsidRPr="00022362">
      <w:fldChar w:fldCharType="begin" w:fldLock="1"/>
    </w:r>
    <w:r w:rsidRPr="00022362">
      <w:instrText xml:space="preserve"> DOCPROPERTY "YearUser" *\charformat </w:instrText>
    </w:r>
    <w:r w:rsidRPr="00022362">
      <w:fldChar w:fldCharType="separate"/>
    </w:r>
    <w:r w:rsidRPr="00022362">
      <w:t>2008/09</w:t>
    </w:r>
    <w:r w:rsidRPr="00022362">
      <w:fldChar w:fldCharType="end"/>
    </w:r>
    <w:r w:rsidRPr="00022362">
      <w:t>:</w:t>
    </w:r>
    <w:r w:rsidRPr="00022362">
      <w:fldChar w:fldCharType="begin" w:fldLock="1"/>
    </w:r>
    <w:r w:rsidRPr="00022362">
      <w:instrText xml:space="preserve"> DOCPROPERTY "Motionsnummer" *\charformat </w:instrText>
    </w:r>
    <w:r w:rsidRPr="00022362">
      <w:fldChar w:fldCharType="separate"/>
    </w:r>
    <w:r w:rsidRPr="00022362">
      <w:t>Sf4</w:t>
    </w:r>
    <w:r w:rsidRPr="00022362">
      <w:fldChar w:fldCharType="end"/>
    </w:r>
  </w:p>
  <w:p w:rsidR="00022362" w:rsidRPr="00022362" w:rsidRDefault="00022362">
    <w:pPr>
      <w:pStyle w:val="FSHNormalS5"/>
    </w:pPr>
    <w:r w:rsidRPr="00022362">
      <w:fldChar w:fldCharType="begin" w:fldLock="1"/>
    </w:r>
    <w:r w:rsidRPr="00022362">
      <w:instrText xml:space="preserve"> DOCPROPERTY "MotionarText" *\charformat </w:instrText>
    </w:r>
    <w:r w:rsidRPr="00022362">
      <w:fldChar w:fldCharType="separate"/>
    </w:r>
    <w:r w:rsidRPr="00022362">
      <w:t>av Gunvor G Ericson m.fl. (mp)</w:t>
    </w:r>
    <w:r w:rsidRPr="00022362">
      <w:fldChar w:fldCharType="end"/>
    </w:r>
    <w:r w:rsidRPr="00022362">
      <w:br/>
    </w:r>
    <w:r w:rsidRPr="00022362">
      <w:fldChar w:fldCharType="begin" w:fldLock="1"/>
    </w:r>
    <w:r w:rsidRPr="00022362">
      <w:instrText xml:space="preserve"> DOCPROPERTY "SvarFrasKort" *\charformat </w:instrText>
    </w:r>
    <w:r w:rsidRPr="00022362">
      <w:fldChar w:fldCharType="separate"/>
    </w:r>
    <w:r w:rsidRPr="00022362">
      <w:t>med anledning av prop. 2008/09:7</w:t>
    </w:r>
    <w:r w:rsidRPr="00022362">
      <w:fldChar w:fldCharType="end"/>
    </w:r>
  </w:p>
  <w:p w:rsidR="00022362" w:rsidRPr="00022362" w:rsidRDefault="00022362">
    <w:pPr>
      <w:pStyle w:val="FSHTitel"/>
    </w:pPr>
    <w:r w:rsidRPr="00022362">
      <w:fldChar w:fldCharType="begin" w:fldLock="1"/>
    </w:r>
    <w:r w:rsidRPr="00022362">
      <w:instrText xml:space="preserve"> DOCPROPERTY</w:instrText>
    </w:r>
    <w:r w:rsidRPr="00022362">
      <w:rPr>
        <w:sz w:val="18"/>
      </w:rPr>
      <w:instrText xml:space="preserve"> "RubrikSvar" *\charformat </w:instrText>
    </w:r>
    <w:r w:rsidRPr="00022362">
      <w:fldChar w:fldCharType="separate"/>
    </w:r>
    <w:r w:rsidRPr="00022362">
      <w:t>Kraftfullare nedsättning av socialavgifter för unga</w:t>
    </w:r>
    <w:r w:rsidRPr="00022362">
      <w:fldChar w:fldCharType="end"/>
    </w:r>
  </w:p>
  <w:p w:rsidR="00022362" w:rsidRPr="00022362" w:rsidRDefault="00022362">
    <w:pPr>
      <w:pStyle w:val="Normal00"/>
    </w:pPr>
  </w:p>
  <w:p w:rsidR="00022362" w:rsidRPr="00022362" w:rsidRDefault="000223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1F1811"/>
    <w:multiLevelType w:val="hybridMultilevel"/>
    <w:tmpl w:val="8F286752"/>
    <w:lvl w:ilvl="0" w:tplc="3F0AF6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9936420">
    <w:abstractNumId w:val="8"/>
  </w:num>
  <w:num w:numId="2" w16cid:durableId="1197234210">
    <w:abstractNumId w:val="9"/>
  </w:num>
  <w:num w:numId="3" w16cid:durableId="1576478999">
    <w:abstractNumId w:val="8"/>
  </w:num>
  <w:num w:numId="4" w16cid:durableId="586766630">
    <w:abstractNumId w:val="9"/>
  </w:num>
  <w:num w:numId="5" w16cid:durableId="1246498862">
    <w:abstractNumId w:val="13"/>
  </w:num>
  <w:num w:numId="6" w16cid:durableId="1737392091">
    <w:abstractNumId w:val="10"/>
  </w:num>
  <w:num w:numId="7" w16cid:durableId="1189176932">
    <w:abstractNumId w:val="11"/>
  </w:num>
  <w:num w:numId="8" w16cid:durableId="1713576043">
    <w:abstractNumId w:val="12"/>
  </w:num>
  <w:num w:numId="9" w16cid:durableId="1863009090">
    <w:abstractNumId w:val="8"/>
  </w:num>
  <w:num w:numId="10" w16cid:durableId="14430698">
    <w:abstractNumId w:val="3"/>
  </w:num>
  <w:num w:numId="11" w16cid:durableId="322510358">
    <w:abstractNumId w:val="2"/>
  </w:num>
  <w:num w:numId="12" w16cid:durableId="1879121897">
    <w:abstractNumId w:val="1"/>
  </w:num>
  <w:num w:numId="13" w16cid:durableId="1493331564">
    <w:abstractNumId w:val="0"/>
  </w:num>
  <w:num w:numId="14" w16cid:durableId="1640186632">
    <w:abstractNumId w:val="9"/>
  </w:num>
  <w:num w:numId="15" w16cid:durableId="991567637">
    <w:abstractNumId w:val="7"/>
  </w:num>
  <w:num w:numId="16" w16cid:durableId="659819003">
    <w:abstractNumId w:val="6"/>
  </w:num>
  <w:num w:numId="17" w16cid:durableId="604458163">
    <w:abstractNumId w:val="5"/>
  </w:num>
  <w:num w:numId="18" w16cid:durableId="560798430">
    <w:abstractNumId w:val="4"/>
  </w:num>
  <w:num w:numId="19" w16cid:durableId="1807821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4"/>
    <w:docVar w:name="PersonGUIDs" w:val="{89ABCACB-191A-460E-9D0D-F493EEE6F9F1},{44E1179A-EAF6-4300-B094-8294DC01CCC9},{678A9254-59ED-452D-AB16-7DA16C224668}"/>
  </w:docVars>
  <w:rsids>
    <w:rsidRoot w:val="00930D67"/>
    <w:rsid w:val="00022362"/>
    <w:rsid w:val="00930D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7DFD7086-0720-4BAE-90AB-39487384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semiHidden/>
    <w:pPr>
      <w:spacing w:line="240" w:lineRule="auto"/>
    </w:pPr>
    <w:rPr>
      <w:sz w:val="20"/>
      <w:lang w:eastAsia="en-US"/>
    </w:rPr>
  </w:style>
  <w:style w:type="character" w:customStyle="1" w:styleId="FotnotstextChar">
    <w:name w:val="Fotnotstext Char"/>
    <w:basedOn w:val="Standardstycketeckensnitt"/>
    <w:link w:val="Fotnotstext"/>
    <w:rPr>
      <w:lang w:val="sv-SE" w:eastAsia="en-US" w:bidi="ar-SA"/>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2646</Characters>
  <Application>Microsoft Office Word</Application>
  <DocSecurity>4</DocSecurity>
  <Lines>80</Lines>
  <Paragraphs>45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2008-10-30T12:28:00Z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mot2000_495_2008-10-14</vt:lpwstr>
  </property>
  <property fmtid="{D5CDD505-2E9C-101B-9397-08002B2CF9AE}" pid="3" name="version">
    <vt:lpwstr>mot2000_495_2008-10-14</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 Kraftfullare nedsättning av socialavgifter för unga</vt:lpwstr>
  </property>
  <property fmtid="{D5CDD505-2E9C-101B-9397-08002B2CF9AE}" pid="11" name="SvarFrasKort">
    <vt:lpwstr>med anledning av prop. 2008/09:7</vt:lpwstr>
  </property>
  <property fmtid="{D5CDD505-2E9C-101B-9397-08002B2CF9AE}" pid="12" name="Svar">
    <vt:lpwstr>Proposition</vt:lpwstr>
  </property>
  <property fmtid="{D5CDD505-2E9C-101B-9397-08002B2CF9AE}" pid="13" name="SvarNr">
    <vt:lpwstr>2008/09:7</vt:lpwstr>
  </property>
  <property fmtid="{D5CDD505-2E9C-101B-9397-08002B2CF9AE}" pid="14" name="RubrikSvar">
    <vt:lpwstr>Kraftfullare nedsättning av socialavgifter för unga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(mp)\Ceballos, Bodil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Bodil Ceballos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20082009000001090112000000080075</vt:lpwstr>
  </property>
  <property fmtid="{D5CDD505-2E9C-101B-9397-08002B2CF9AE}" pid="47" name="datum">
    <vt:lpwstr>081015</vt:lpwstr>
  </property>
  <property fmtid="{D5CDD505-2E9C-101B-9397-08002B2CF9AE}" pid="48" name="avsändar-e-post">
    <vt:lpwstr>magnus.lindgren@riksdagen.se</vt:lpwstr>
  </property>
  <property fmtid="{D5CDD505-2E9C-101B-9397-08002B2CF9AE}" pid="49" name="id">
    <vt:lpwstr>20082009000001090112000000080075</vt:lpwstr>
  </property>
  <property fmtid="{D5CDD505-2E9C-101B-9397-08002B2CF9AE}" pid="50" name="nummer">
    <vt:lpwstr>4</vt:lpwstr>
  </property>
  <property fmtid="{D5CDD505-2E9C-101B-9397-08002B2CF9AE}" pid="51" name="utskottsbeteckning">
    <vt:lpwstr>Sf</vt:lpwstr>
  </property>
  <property fmtid="{D5CDD505-2E9C-101B-9397-08002B2CF9AE}" pid="52" name="GlobalUID">
    <vt:lpwstr>{C30F6B65-B350-4C69-843D-A63FB8243245}</vt:lpwstr>
  </property>
  <property fmtid="{D5CDD505-2E9C-101B-9397-08002B2CF9AE}" pid="53" name="Överföringar">
    <vt:i4>0</vt:i4>
  </property>
  <property fmtid="{D5CDD505-2E9C-101B-9397-08002B2CF9AE}" pid="54" name="Checksum">
    <vt:lpwstr>*1014404016542*</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081030 13:41:57.722</vt:lpwstr>
  </property>
  <property fmtid="{D5CDD505-2E9C-101B-9397-08002B2CF9AE}" pid="58" name="urixGuid">
    <vt:lpwstr>{58FE0440-C97F-4C14-AF53-C843338F5E0B}</vt:lpwstr>
  </property>
</Properties>
</file>