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2018/19</w:t>
      </w:r>
      <w:bookmarkEnd w:id="0"/>
      <w:r>
        <w:t>:</w:t>
      </w:r>
      <w:bookmarkStart w:id="1" w:name="DocumentNumber"/>
      <w:r>
        <w:t>111</w:t>
      </w:r>
      <w:bookmarkEnd w:id="1"/>
    </w:p>
    <w:p w:rsidR="006E04A4">
      <w:pPr>
        <w:pStyle w:val="Date"/>
        <w:outlineLvl w:val="0"/>
      </w:pPr>
      <w:bookmarkStart w:id="2" w:name="DocumentDate"/>
      <w:r>
        <w:t>Torsdagen den 29 augusti 2019</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12.00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Interpellationssvar</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Justering av protokoll från sammanträdena onsdagen den 5, måndagen den 10, tisdagen den 11, onsdagen den 12, torsdagen den 13, fredagen den 14, måndagen den 17, tisdagen den 18, onsdagen den 19, måndagen den 24 och tisdagen den 25 juni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gruppledare för partigrupp</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Johan Pehrson (L) fr.o.m. den 28 juni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ersättare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Lars Jilmstad (M) som ersättare fr.o.m. den 26 augusti 2019 t.o.m. den 3 maj 2020 under Jessica Rosencrantzs (M) ledighet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Lena Emilsson (S) som ersättare fr.o.m. den 4 oktober t.o.m. den 3 november under Ola Möllers (S) ledighet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Inga-Lill Sjöblom (S) som ersättare fr.o.m. den 21 oktober 2019 t.o.m. den 17 maj 2020 under Sanne Lennströms (S) ledighet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kompletteringsval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Lars Jilmstad (M) som suppleant i konstitutionsutskottet fr.o.m. i dag t.o.m. den 3 maj 2020 under Jessica Rosencrantzs (M) ledighet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Annika Hirvonen Falk (MP) som suppleant i EU-nämnden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Johan Pehrson (L) som suppleant i utrikesnämnden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vice ordförande i utskott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Louise Meijer (M) som andre vice ordförande i miljö- och jordbruksutskottet fr.o.m. den 26 augusti 2019 t.o.m. den 3 maj 2020 under Jessica Rosencrantzs (M) ledighet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vice ordförande i EU-nämnden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Pål Jonson (M) som andre vice ordförande i EU-nämnden fr.o.m. den 14 juni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Meddelande om namnändring</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Jonny Cato Hansson (C) har bytt namn till Jonny Cato (C)</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 xml:space="preserve">2018/19:292 av Gudrun Brunegård (KD) </w:t>
            </w:r>
            <w:r>
              <w:rPr>
                <w:rtl w:val="0"/>
              </w:rPr>
              <w:br/>
            </w:r>
            <w:r>
              <w:rPr>
                <w:rtl w:val="0"/>
              </w:rPr>
              <w:t>Utredningen om konfessionella inslag i skolväsendet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 xml:space="preserve">2018/19:293 av Elisabeth Björnsdotter Rahm (M) </w:t>
            </w:r>
            <w:r>
              <w:rPr>
                <w:rtl w:val="0"/>
              </w:rPr>
              <w:br/>
            </w:r>
            <w:r>
              <w:rPr>
                <w:rtl w:val="0"/>
              </w:rPr>
              <w:t>Kostnadsökning i välfärden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 xml:space="preserve">2018/19:295 av Hans Rothenberg (M) </w:t>
            </w:r>
            <w:r>
              <w:rPr>
                <w:rtl w:val="0"/>
              </w:rPr>
              <w:br/>
            </w:r>
            <w:r>
              <w:rPr>
                <w:rtl w:val="0"/>
              </w:rPr>
              <w:t>Elsparkcyklar i stadsmiljöer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 xml:space="preserve">2018/19:296 av Angelica Lundberg (SD) </w:t>
            </w:r>
            <w:r>
              <w:rPr>
                <w:rtl w:val="0"/>
              </w:rPr>
              <w:br/>
            </w:r>
            <w:r>
              <w:rPr>
                <w:rtl w:val="0"/>
              </w:rPr>
              <w:t>Avvikande personnummer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 xml:space="preserve">2018/19:300 av Jessika Roswall (M) </w:t>
            </w:r>
            <w:r>
              <w:rPr>
                <w:rtl w:val="0"/>
              </w:rPr>
              <w:br/>
            </w:r>
            <w:r>
              <w:rPr>
                <w:rtl w:val="0"/>
              </w:rPr>
              <w:t>Förbifart Stockholm</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 xml:space="preserve">2018/19:301 av Mikael Oscarsson (KD) </w:t>
            </w:r>
            <w:r>
              <w:rPr>
                <w:rtl w:val="0"/>
              </w:rPr>
              <w:br/>
            </w:r>
            <w:r>
              <w:rPr>
                <w:rtl w:val="0"/>
              </w:rPr>
              <w:t>Utländska stöldligor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 xml:space="preserve">2018/19:302 av Tony Haddou (V) </w:t>
            </w:r>
            <w:r>
              <w:rPr>
                <w:rtl w:val="0"/>
              </w:rPr>
              <w:br/>
            </w:r>
            <w:r>
              <w:rPr>
                <w:rtl w:val="0"/>
              </w:rPr>
              <w:t>Aggressiv skatteplanering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faktapromemorior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 xml:space="preserve">2018/19:FPM53 EU:s årsbudget för 2020 </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 xml:space="preserve">2018/19:FPM54 Lägesrapport från kommissionen om förberedelserna för beredskapsåtgärder inför Storbritanniens utträde ur EU </w:t>
            </w:r>
            <w:r>
              <w:rPr>
                <w:i/>
                <w:iCs/>
                <w:rtl w:val="0"/>
              </w:rPr>
              <w:t>2017/18:FPM162, 2018/19:FPM17, 2018/19:FPM27, COM(2019) 276</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 xml:space="preserve">2018/19:FPM55 Lägesrapport om åtgärdsplan mot desinformation </w:t>
            </w:r>
            <w:r>
              <w:rPr>
                <w:i/>
                <w:iCs/>
                <w:rtl w:val="0"/>
              </w:rPr>
              <w:t>JOIN(2019) 12</w:t>
            </w:r>
          </w:p>
        </w:tc>
        <w:tc>
          <w:tcPr>
            <w:tcW w:w="2055" w:type="dxa"/>
          </w:tcPr>
          <w:p w:rsidR="006E04A4" w:rsidP="00C84F80">
            <w:r>
              <w:rPr>
                <w:rtl w:val="0"/>
              </w:rPr>
              <w:t>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2018/19:141 Elektroniska fraktsedlar vid vägtransport</w:t>
            </w:r>
            <w:r>
              <w:rPr>
                <w:rtl w:val="0"/>
              </w:rPr>
              <w:br/>
            </w:r>
            <w:r>
              <w:rPr>
                <w:i/>
                <w:iCs/>
                <w:rtl w:val="0"/>
              </w:rPr>
              <w:t>Kammaren har beslutat om förlängd motionstid för denna proposition</w:t>
            </w:r>
            <w:r>
              <w:rPr>
                <w:rtl w:val="0"/>
              </w:rPr>
              <w:br/>
            </w:r>
            <w:r>
              <w:rPr>
                <w:i/>
                <w:iCs/>
                <w:rtl w:val="0"/>
              </w:rPr>
              <w:t>Motionstiden utgår den 25 september</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2018/19:143 Genomförande av direktivet om skattetvistlösningsmekanismer inom EU</w:t>
            </w:r>
            <w:r>
              <w:rPr>
                <w:rtl w:val="0"/>
              </w:rPr>
              <w:br/>
            </w:r>
            <w:r>
              <w:rPr>
                <w:i/>
                <w:iCs/>
                <w:rtl w:val="0"/>
              </w:rPr>
              <w:t>Kammaren har beslutat om förlängd motionstid för denna proposition</w:t>
            </w:r>
            <w:r>
              <w:rPr>
                <w:i/>
                <w:iCs/>
                <w:rtl w:val="0"/>
              </w:rPr>
              <w:br/>
            </w:r>
            <w:r>
              <w:rPr>
                <w:i/>
                <w:iCs/>
                <w:rtl w:val="0"/>
              </w:rPr>
              <w:t>Motionstiden utgår den 25 september</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2018/19:147 Kamerabevakning i brottsbekämpningen – ett enklare förfarande</w:t>
            </w:r>
            <w:r>
              <w:rPr>
                <w:rtl w:val="0"/>
              </w:rPr>
              <w:br/>
            </w:r>
            <w:r>
              <w:rPr>
                <w:i/>
                <w:iCs/>
                <w:rtl w:val="0"/>
              </w:rPr>
              <w:t>Kammaren har beslutat om förlängd motionstid för denna proposition</w:t>
            </w:r>
            <w:r>
              <w:rPr>
                <w:i/>
                <w:iCs/>
                <w:rtl w:val="0"/>
              </w:rPr>
              <w:br/>
            </w:r>
            <w:r>
              <w:rPr>
                <w:i/>
                <w:iCs/>
                <w:rtl w:val="0"/>
              </w:rPr>
              <w:t>Motionstiden utgår den 25 september</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2018/19:150 Skärpta åtgärder mot penningtvätt och finansiering av terrorism</w:t>
            </w:r>
            <w:r>
              <w:rPr>
                <w:rtl w:val="0"/>
              </w:rPr>
              <w:br/>
            </w:r>
            <w:r>
              <w:rPr>
                <w:i/>
                <w:iCs/>
                <w:rtl w:val="0"/>
              </w:rPr>
              <w:t>Kammaren har beslutat om förlängd motionstid för denna proposition</w:t>
            </w:r>
            <w:r>
              <w:rPr>
                <w:i/>
                <w:iCs/>
                <w:rtl w:val="0"/>
              </w:rPr>
              <w:br/>
            </w:r>
            <w:r>
              <w:rPr>
                <w:i/>
                <w:iCs/>
                <w:rtl w:val="0"/>
              </w:rPr>
              <w:t>Motionstiden utgår den 25 september</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2018/19:151 Behandling av personuppgifter vid Myndigheten för arbetsmiljökunskap</w:t>
            </w:r>
            <w:r>
              <w:rPr>
                <w:rtl w:val="0"/>
              </w:rPr>
              <w:br/>
            </w:r>
            <w:r>
              <w:rPr>
                <w:i/>
                <w:iCs/>
                <w:rtl w:val="0"/>
              </w:rPr>
              <w:t>Kammaren har beslutat om förlängd motionstid för denna proposition</w:t>
            </w:r>
            <w:r>
              <w:rPr>
                <w:i/>
                <w:iCs/>
                <w:rtl w:val="0"/>
              </w:rPr>
              <w:br/>
            </w:r>
            <w:r>
              <w:rPr>
                <w:i/>
                <w:iCs/>
                <w:rtl w:val="0"/>
              </w:rPr>
              <w:t>Motionstiden utgår den 25 september</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2018/19:154 Brott mot förtroendevalda</w:t>
            </w:r>
            <w:r>
              <w:rPr>
                <w:rtl w:val="0"/>
              </w:rPr>
              <w:br/>
            </w:r>
            <w:r>
              <w:rPr>
                <w:i/>
                <w:iCs/>
                <w:rtl w:val="0"/>
              </w:rPr>
              <w:t>Kammaren har beslutat om förlängd motionstid för denna proposition</w:t>
            </w:r>
            <w:r>
              <w:rPr>
                <w:i/>
                <w:iCs/>
                <w:rtl w:val="0"/>
              </w:rPr>
              <w:br/>
            </w:r>
            <w:r>
              <w:rPr>
                <w:i/>
                <w:iCs/>
                <w:rtl w:val="0"/>
              </w:rPr>
              <w:t>Motionstiden utgår den 25 september</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Debatt med anledning av 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Justitie- och migrationsminister Morgan Johansson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2018/19:223 av Ludvig Aspling (SD)</w:t>
            </w:r>
            <w:r>
              <w:rPr>
                <w:rtl w:val="0"/>
              </w:rPr>
              <w:br/>
            </w:r>
            <w:r>
              <w:rPr>
                <w:rtl w:val="0"/>
              </w:rPr>
              <w:t>Antikorruptionsarbetet i EU</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29</w:t>
            </w:r>
          </w:p>
        </w:tc>
        <w:tc>
          <w:tcPr>
            <w:tcW w:w="6663" w:type="dxa"/>
          </w:tcPr>
          <w:p w:rsidR="006E04A4" w:rsidP="000326E3">
            <w:r>
              <w:rPr>
                <w:rtl w:val="0"/>
              </w:rPr>
              <w:t>2018/19:264 av Larry Söder (KD)</w:t>
            </w:r>
            <w:r>
              <w:rPr>
                <w:rtl w:val="0"/>
              </w:rPr>
              <w:br/>
            </w:r>
            <w:r>
              <w:rPr>
                <w:rtl w:val="0"/>
              </w:rPr>
              <w:t>Attraktivare tomträtter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30</w:t>
            </w:r>
          </w:p>
        </w:tc>
        <w:tc>
          <w:tcPr>
            <w:tcW w:w="6663" w:type="dxa"/>
          </w:tcPr>
          <w:p w:rsidR="006E04A4" w:rsidP="000326E3">
            <w:r>
              <w:rPr>
                <w:rtl w:val="0"/>
              </w:rPr>
              <w:t>2018/19:267 av Katja Nyberg (SD)</w:t>
            </w:r>
            <w:r>
              <w:rPr>
                <w:rtl w:val="0"/>
              </w:rPr>
              <w:br/>
            </w:r>
            <w:r>
              <w:rPr>
                <w:rtl w:val="0"/>
              </w:rPr>
              <w:t>Anstaltsplatser utomlands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Ardalan Shekarabi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31</w:t>
            </w:r>
          </w:p>
        </w:tc>
        <w:tc>
          <w:tcPr>
            <w:tcW w:w="6663" w:type="dxa"/>
          </w:tcPr>
          <w:p w:rsidR="006E04A4" w:rsidP="000326E3">
            <w:r>
              <w:rPr>
                <w:rtl w:val="0"/>
              </w:rPr>
              <w:t>2018/19:293 av Elisabeth Björnsdotter Rahm (M)</w:t>
            </w:r>
            <w:r>
              <w:rPr>
                <w:rtl w:val="0"/>
              </w:rPr>
              <w:br/>
            </w:r>
            <w:r>
              <w:rPr>
                <w:rtl w:val="0"/>
              </w:rPr>
              <w:t>Kostnadsökning i välfärden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32</w:t>
            </w:r>
          </w:p>
        </w:tc>
        <w:tc>
          <w:tcPr>
            <w:tcW w:w="6663" w:type="dxa"/>
          </w:tcPr>
          <w:p w:rsidR="006E04A4" w:rsidP="000326E3">
            <w:r>
              <w:rPr>
                <w:rtl w:val="0"/>
              </w:rPr>
              <w:t>2018/19:294 av Ulla Andersson (V)</w:t>
            </w:r>
            <w:r>
              <w:rPr>
                <w:rtl w:val="0"/>
              </w:rPr>
              <w:br/>
            </w:r>
            <w:r>
              <w:rPr>
                <w:rtl w:val="0"/>
              </w:rPr>
              <w:t>Kommunernas ekonomi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Anders Ygeman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33</w:t>
            </w:r>
          </w:p>
        </w:tc>
        <w:tc>
          <w:tcPr>
            <w:tcW w:w="6663" w:type="dxa"/>
          </w:tcPr>
          <w:p w:rsidR="006E04A4" w:rsidP="000326E3">
            <w:r>
              <w:rPr>
                <w:rtl w:val="0"/>
              </w:rPr>
              <w:t>2018/19:260 av Jens Holm (V)</w:t>
            </w:r>
            <w:r>
              <w:rPr>
                <w:rtl w:val="0"/>
              </w:rPr>
              <w:br/>
            </w:r>
            <w:r>
              <w:rPr>
                <w:rtl w:val="0"/>
              </w:rPr>
              <w:t>Fossilgasterminalen i Göteborg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Utbildningsminister Anna Ekström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34</w:t>
            </w:r>
          </w:p>
        </w:tc>
        <w:tc>
          <w:tcPr>
            <w:tcW w:w="6663" w:type="dxa"/>
          </w:tcPr>
          <w:p w:rsidR="006E04A4" w:rsidP="000326E3">
            <w:r>
              <w:rPr>
                <w:rtl w:val="0"/>
              </w:rPr>
              <w:t>2018/19:292 av Gudrun Brunegård (KD)</w:t>
            </w:r>
            <w:r>
              <w:rPr>
                <w:rtl w:val="0"/>
              </w:rPr>
              <w:br/>
            </w:r>
            <w:r>
              <w:rPr>
                <w:rtl w:val="0"/>
              </w:rPr>
              <w:t>Utredningen om konfessionella inslag i skolväsendet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35</w:t>
            </w:r>
          </w:p>
        </w:tc>
        <w:tc>
          <w:tcPr>
            <w:tcW w:w="6663" w:type="dxa"/>
          </w:tcPr>
          <w:p w:rsidR="006E04A4" w:rsidP="000326E3">
            <w:r>
              <w:rPr>
                <w:rtl w:val="0"/>
              </w:rPr>
              <w:t>2018/19:297 av Roger Haddad (L)</w:t>
            </w:r>
            <w:r>
              <w:rPr>
                <w:rtl w:val="0"/>
              </w:rPr>
              <w:br/>
            </w:r>
            <w:r>
              <w:rPr>
                <w:rtl w:val="0"/>
              </w:rPr>
              <w:t>Färre skolinspektioner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36</w:t>
            </w:r>
          </w:p>
        </w:tc>
        <w:tc>
          <w:tcPr>
            <w:tcW w:w="6663" w:type="dxa"/>
          </w:tcPr>
          <w:p w:rsidR="006E04A4" w:rsidP="000326E3">
            <w:r>
              <w:rPr>
                <w:rtl w:val="0"/>
              </w:rPr>
              <w:t>2018/19:304 av Roger Haddad (L)</w:t>
            </w:r>
            <w:r>
              <w:rPr>
                <w:rtl w:val="0"/>
              </w:rPr>
              <w:br/>
            </w:r>
            <w:r>
              <w:rPr>
                <w:rtl w:val="0"/>
              </w:rPr>
              <w:t>Kritik mot handläggningen av personalkränkningar inom skolan</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Torsdagen den 29 augusti 2019</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2019-08-29</SAFIR_Sammantradesdatum_Doc>
    <SAFIR_SammantradeID xmlns="C07A1A6C-0B19-41D9-BDF8-F523BA3921EB">93d46eea-52c7-4fa3-ab8a-06fe5a5c27cc</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A75F2-5D05-4490-82E5-2E0BB53EED84}"/>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Torsdagen den 29 augusti 2019</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