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7E92A28E71A4A96BD052DFADED2DCFB"/>
        </w:placeholder>
        <w:text/>
      </w:sdtPr>
      <w:sdtEndPr/>
      <w:sdtContent>
        <w:p w:rsidRPr="00C017B0" w:rsidR="00AF30DD" w:rsidP="00C017B0" w:rsidRDefault="00AF30DD" w14:paraId="3867D3E0" w14:textId="77777777">
          <w:pPr>
            <w:pStyle w:val="Rubrik1"/>
          </w:pPr>
          <w:r w:rsidRPr="00C017B0">
            <w:t>F</w:t>
          </w:r>
          <w:r w:rsidRPr="00C017B0" w:rsidR="00654410">
            <w:t>ö</w:t>
          </w:r>
          <w:r w:rsidRPr="00C017B0">
            <w:t>rslag till riksdagsbeslut</w:t>
          </w:r>
        </w:p>
      </w:sdtContent>
    </w:sdt>
    <w:sdt>
      <w:sdtPr>
        <w:alias w:val="Yrkande 1"/>
        <w:tag w:val="7209ffcf-58d8-4d7e-8e64-a6d634ce9855"/>
        <w:id w:val="820393691"/>
        <w:lock w:val="sdtLocked"/>
      </w:sdtPr>
      <w:sdtEndPr/>
      <w:sdtContent>
        <w:p w:rsidR="00E43828" w:rsidRDefault="00486677" w14:paraId="3867D3E1" w14:textId="77F0AD7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beviljande av medel för personlig assistans bör kunna överklagas till en person med högre omvårdnadskompetens eller medicinsk kompetens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436944B143473DAC54EF50E9C150C1"/>
        </w:placeholder>
        <w:text/>
      </w:sdtPr>
      <w:sdtEndPr/>
      <w:sdtContent>
        <w:p w:rsidRPr="00422B9E" w:rsidR="00422B9E" w:rsidP="004E759A" w:rsidRDefault="006D79C9" w14:paraId="3867D3E2" w14:textId="77777777">
          <w:pPr>
            <w:pStyle w:val="Rubrik1"/>
          </w:pPr>
          <w:r>
            <w:t>Motivering</w:t>
          </w:r>
        </w:p>
      </w:sdtContent>
    </w:sdt>
    <w:p w:rsidR="00654410" w:rsidP="00C017B0" w:rsidRDefault="004E759A" w14:paraId="3867D3E3" w14:textId="19C1D9F6">
      <w:pPr>
        <w:pStyle w:val="Normalutanindragellerluft"/>
      </w:pPr>
      <w:r>
        <w:t>Reformen med personliga assistenter via assistansersättningen infördes 1994.</w:t>
      </w:r>
      <w:r w:rsidR="003636C5">
        <w:t xml:space="preserve"> En re</w:t>
      </w:r>
      <w:r>
        <w:t>form som varit v</w:t>
      </w:r>
      <w:r w:rsidR="003636C5">
        <w:t>i</w:t>
      </w:r>
      <w:r w:rsidR="00654410">
        <w:t>ktig för alla dem i b</w:t>
      </w:r>
      <w:r>
        <w:t xml:space="preserve">ehov av assistent och som lett till en ökad frihet för den enskilde och </w:t>
      </w:r>
      <w:r w:rsidR="003636C5">
        <w:t xml:space="preserve">gett </w:t>
      </w:r>
      <w:r>
        <w:t xml:space="preserve">en högre </w:t>
      </w:r>
      <w:r w:rsidR="00654410">
        <w:t>livskvalité till både dem i behov av assistent och deras närstående.</w:t>
      </w:r>
      <w:r w:rsidR="00BB3FA3">
        <w:t xml:space="preserve"> </w:t>
      </w:r>
      <w:r w:rsidR="00654410">
        <w:t>För att säkra kvalitén</w:t>
      </w:r>
      <w:r w:rsidR="00DC0306">
        <w:t xml:space="preserve"> både </w:t>
      </w:r>
      <w:r w:rsidR="00BB3FA3">
        <w:t xml:space="preserve">för dem som har </w:t>
      </w:r>
      <w:r w:rsidR="00DC0306">
        <w:t>rätt till assistansersättning</w:t>
      </w:r>
      <w:r w:rsidR="00BB3FA3">
        <w:t xml:space="preserve"> samt</w:t>
      </w:r>
      <w:r w:rsidR="00DC0306">
        <w:t xml:space="preserve"> att sä</w:t>
      </w:r>
      <w:r w:rsidR="00654410">
        <w:t>kra att reformen inte överutnyttjas</w:t>
      </w:r>
      <w:r w:rsidR="00BB3FA3">
        <w:t xml:space="preserve"> behöver </w:t>
      </w:r>
      <w:r w:rsidR="00DC0306">
        <w:t>kompetensen hos dem som beviljar ersättningarna förbättras. Därför</w:t>
      </w:r>
      <w:r w:rsidR="00654410">
        <w:t xml:space="preserve"> bör man se över </w:t>
      </w:r>
      <w:r w:rsidR="00BB3FA3">
        <w:t>kompetensen hos dem som beviljar er</w:t>
      </w:r>
      <w:r w:rsidR="004D12E2">
        <w:t>sättningen samt öppna för en så kallad</w:t>
      </w:r>
      <w:r w:rsidR="00BB3FA3">
        <w:t xml:space="preserve"> ”se</w:t>
      </w:r>
      <w:r w:rsidR="004D12E2">
        <w:t>c</w:t>
      </w:r>
      <w:r w:rsidR="00BB3FA3">
        <w:t>ond opinion” vid avslag.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5EDE2F462541FB87C8BD85CC0B8C98"/>
        </w:placeholder>
      </w:sdtPr>
      <w:sdtEndPr>
        <w:rPr>
          <w:i w:val="0"/>
          <w:noProof w:val="0"/>
        </w:rPr>
      </w:sdtEndPr>
      <w:sdtContent>
        <w:p w:rsidR="00485FEF" w:rsidP="00A104B2" w:rsidRDefault="00485FEF" w14:paraId="3867D3E4" w14:textId="77777777"/>
        <w:p w:rsidRPr="008E0FE2" w:rsidR="004801AC" w:rsidP="00A104B2" w:rsidRDefault="00C017B0" w14:paraId="3867D3E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1B76" w:rsidRDefault="00C11B76" w14:paraId="3867D3E9" w14:textId="77777777"/>
    <w:sectPr w:rsidR="00C11B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7D3EB" w14:textId="77777777" w:rsidR="00160C98" w:rsidRDefault="00160C98" w:rsidP="000C1CAD">
      <w:pPr>
        <w:spacing w:line="240" w:lineRule="auto"/>
      </w:pPr>
      <w:r>
        <w:separator/>
      </w:r>
    </w:p>
  </w:endnote>
  <w:endnote w:type="continuationSeparator" w:id="0">
    <w:p w14:paraId="3867D3EC" w14:textId="77777777" w:rsidR="00160C98" w:rsidRDefault="00160C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7D3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7D3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B3FA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2AA90" w14:textId="77777777" w:rsidR="00C017B0" w:rsidRDefault="00C017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7D3E9" w14:textId="77777777" w:rsidR="00160C98" w:rsidRDefault="00160C98" w:rsidP="000C1CAD">
      <w:pPr>
        <w:spacing w:line="240" w:lineRule="auto"/>
      </w:pPr>
      <w:r>
        <w:separator/>
      </w:r>
    </w:p>
  </w:footnote>
  <w:footnote w:type="continuationSeparator" w:id="0">
    <w:p w14:paraId="3867D3EA" w14:textId="77777777" w:rsidR="00160C98" w:rsidRDefault="00160C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867D3E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67D3FC" wp14:anchorId="3867D3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017B0" w14:paraId="3867D3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36B25FF49748E6AF66487EDF50C1E7"/>
                              </w:placeholder>
                              <w:text/>
                            </w:sdtPr>
                            <w:sdtEndPr/>
                            <w:sdtContent>
                              <w:r w:rsidR="004E759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E8A0AB9B7443F98FFFD13D648A0A98"/>
                              </w:placeholder>
                              <w:text/>
                            </w:sdtPr>
                            <w:sdtEndPr/>
                            <w:sdtContent>
                              <w:r w:rsidR="00485FEF">
                                <w:t>1119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67D3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017B0" w14:paraId="3867D3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36B25FF49748E6AF66487EDF50C1E7"/>
                        </w:placeholder>
                        <w:text/>
                      </w:sdtPr>
                      <w:sdtEndPr/>
                      <w:sdtContent>
                        <w:r w:rsidR="004E759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E8A0AB9B7443F98FFFD13D648A0A98"/>
                        </w:placeholder>
                        <w:text/>
                      </w:sdtPr>
                      <w:sdtEndPr/>
                      <w:sdtContent>
                        <w:r w:rsidR="00485FEF">
                          <w:t>1119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67D3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867D3EF" w14:textId="77777777">
    <w:pPr>
      <w:jc w:val="right"/>
    </w:pPr>
  </w:p>
  <w:p w:rsidR="00262EA3" w:rsidP="00776B74" w:rsidRDefault="00262EA3" w14:paraId="3867D3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017B0" w14:paraId="3867D3F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67D3FE" wp14:anchorId="3867D3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017B0" w14:paraId="3867D3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759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5FEF">
          <w:t>1119</w:t>
        </w:r>
      </w:sdtContent>
    </w:sdt>
  </w:p>
  <w:p w:rsidRPr="008227B3" w:rsidR="00262EA3" w:rsidP="008227B3" w:rsidRDefault="00C017B0" w14:paraId="3867D3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017B0" w14:paraId="3867D3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:1951</w:t>
        </w:r>
      </w:sdtContent>
    </w:sdt>
  </w:p>
  <w:p w:rsidR="00262EA3" w:rsidP="00E03A3D" w:rsidRDefault="00C017B0" w14:paraId="3867D3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86677" w14:paraId="3867D3F8" w14:textId="02B6D782">
        <w:pPr>
          <w:pStyle w:val="FSHRub2"/>
        </w:pPr>
        <w:r>
          <w:t>Ärenden rörande beviljande av personlig assistent bör kunna få en ”second opinion”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67D3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E75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DEA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DC5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98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6C5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FEF"/>
    <w:rsid w:val="004860AB"/>
    <w:rsid w:val="00486677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2E2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868"/>
    <w:rsid w:val="004E5125"/>
    <w:rsid w:val="004E51DD"/>
    <w:rsid w:val="004E556C"/>
    <w:rsid w:val="004E62BE"/>
    <w:rsid w:val="004E759A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410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4B2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596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FA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17B0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1B76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306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9CA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828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3EF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67D3E0"/>
  <w15:chartTrackingRefBased/>
  <w15:docId w15:val="{CF9AE760-FAF5-4DAD-B589-6FF20A4E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E92A28E71A4A96BD052DFADED2D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14CF4-1DFA-456F-9AF1-A6BCA0B73E0F}"/>
      </w:docPartPr>
      <w:docPartBody>
        <w:p w:rsidR="00487F22" w:rsidRDefault="00487F22">
          <w:pPr>
            <w:pStyle w:val="C7E92A28E71A4A96BD052DFADED2DC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436944B143473DAC54EF50E9C15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9F34A-772F-4FBC-8436-75C64E1A868C}"/>
      </w:docPartPr>
      <w:docPartBody>
        <w:p w:rsidR="00487F22" w:rsidRDefault="00487F22">
          <w:pPr>
            <w:pStyle w:val="42436944B143473DAC54EF50E9C150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36B25FF49748E6AF66487EDF50C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CFFAE-6D9E-427C-8B0E-A1B0F7A4C124}"/>
      </w:docPartPr>
      <w:docPartBody>
        <w:p w:rsidR="00487F22" w:rsidRDefault="00487F22">
          <w:pPr>
            <w:pStyle w:val="AA36B25FF49748E6AF66487EDF50C1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E8A0AB9B7443F98FFFD13D648A0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F482F-61D8-4F5A-9695-99BC3B046180}"/>
      </w:docPartPr>
      <w:docPartBody>
        <w:p w:rsidR="00487F22" w:rsidRDefault="00487F22">
          <w:pPr>
            <w:pStyle w:val="60E8A0AB9B7443F98FFFD13D648A0A98"/>
          </w:pPr>
          <w:r>
            <w:t xml:space="preserve"> </w:t>
          </w:r>
        </w:p>
      </w:docPartBody>
    </w:docPart>
    <w:docPart>
      <w:docPartPr>
        <w:name w:val="DE5EDE2F462541FB87C8BD85CC0B8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8DDE6-6606-4B54-998B-AE04AD1E90D8}"/>
      </w:docPartPr>
      <w:docPartBody>
        <w:p w:rsidR="0063020B" w:rsidRDefault="006302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22"/>
    <w:rsid w:val="00487F22"/>
    <w:rsid w:val="0063020B"/>
    <w:rsid w:val="00B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E92A28E71A4A96BD052DFADED2DCFB">
    <w:name w:val="C7E92A28E71A4A96BD052DFADED2DCFB"/>
  </w:style>
  <w:style w:type="paragraph" w:customStyle="1" w:styleId="0DA27CFF49A544C788487FB31C9D1D94">
    <w:name w:val="0DA27CFF49A544C788487FB31C9D1D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06AF3096CB144809197CAC2573F8C87">
    <w:name w:val="B06AF3096CB144809197CAC2573F8C87"/>
  </w:style>
  <w:style w:type="paragraph" w:customStyle="1" w:styleId="42436944B143473DAC54EF50E9C150C1">
    <w:name w:val="42436944B143473DAC54EF50E9C150C1"/>
  </w:style>
  <w:style w:type="paragraph" w:customStyle="1" w:styleId="9DB84ECCB36F4AA6AD415484226D0C62">
    <w:name w:val="9DB84ECCB36F4AA6AD415484226D0C62"/>
  </w:style>
  <w:style w:type="paragraph" w:customStyle="1" w:styleId="38540FA8FCFF4EA7919B5D7CC3994DEA">
    <w:name w:val="38540FA8FCFF4EA7919B5D7CC3994DEA"/>
  </w:style>
  <w:style w:type="paragraph" w:customStyle="1" w:styleId="AA36B25FF49748E6AF66487EDF50C1E7">
    <w:name w:val="AA36B25FF49748E6AF66487EDF50C1E7"/>
  </w:style>
  <w:style w:type="paragraph" w:customStyle="1" w:styleId="60E8A0AB9B7443F98FFFD13D648A0A98">
    <w:name w:val="60E8A0AB9B7443F98FFFD13D648A0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072E6-6B66-4DCE-B4A4-9411B33A5A7E}"/>
</file>

<file path=customXml/itemProps2.xml><?xml version="1.0" encoding="utf-8"?>
<ds:datastoreItem xmlns:ds="http://schemas.openxmlformats.org/officeDocument/2006/customXml" ds:itemID="{997E1061-A441-41F8-8DD2-1CF5D0C129D1}"/>
</file>

<file path=customXml/itemProps3.xml><?xml version="1.0" encoding="utf-8"?>
<ds:datastoreItem xmlns:ds="http://schemas.openxmlformats.org/officeDocument/2006/customXml" ds:itemID="{79364D8D-8AD5-4B28-B257-F7575B1F2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759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M1119 Ärenden rörande beviljande av personlig assistent bör kunna få en  second opinion</vt:lpstr>
      <vt:lpstr>
      </vt:lpstr>
    </vt:vector>
  </TitlesOfParts>
  <Company>Sveriges riksdag</Company>
  <LinksUpToDate>false</LinksUpToDate>
  <CharactersWithSpaces>890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