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E5A58">
        <w:tblPrEx>
          <w:tblCellMar>
            <w:top w:w="0" w:type="dxa"/>
            <w:left w:w="0" w:type="dxa"/>
            <w:bottom w:w="0" w:type="dxa"/>
            <w:right w:w="0" w:type="dxa"/>
          </w:tblCellMar>
        </w:tblPrEx>
        <w:trPr>
          <w:gridAfter w:val="2"/>
          <w:wAfter w:w="1758" w:type="dxa"/>
          <w:cantSplit/>
          <w:trHeight w:val="1320"/>
        </w:trPr>
        <w:tc>
          <w:tcPr>
            <w:tcW w:w="5897" w:type="dxa"/>
          </w:tcPr>
          <w:p w:rsidR="0010455A" w:rsidRPr="00EE5A58" w:rsidRDefault="0010455A">
            <w:pPr>
              <w:pStyle w:val="HuvudRubrik"/>
            </w:pPr>
            <w:r w:rsidRPr="00EE5A58">
              <w:t>Regeringskansliet</w:t>
            </w:r>
          </w:p>
          <w:p w:rsidR="0010455A" w:rsidRPr="00EE5A58" w:rsidRDefault="0010455A">
            <w:pPr>
              <w:pStyle w:val="HuvudRubrik"/>
            </w:pPr>
            <w:r w:rsidRPr="00EE5A58">
              <w:t>Faktapromemoria  2007/08:FPM55</w:t>
            </w:r>
          </w:p>
        </w:tc>
      </w:tr>
      <w:tr w:rsidR="00000000" w:rsidRPr="00EE5A58">
        <w:tblPrEx>
          <w:tblCellMar>
            <w:top w:w="0" w:type="dxa"/>
            <w:left w:w="0" w:type="dxa"/>
            <w:bottom w:w="0" w:type="dxa"/>
            <w:right w:w="0" w:type="dxa"/>
          </w:tblCellMar>
        </w:tblPrEx>
        <w:trPr>
          <w:gridAfter w:val="2"/>
          <w:wAfter w:w="1758" w:type="dxa"/>
          <w:cantSplit/>
          <w:trHeight w:val="240"/>
        </w:trPr>
        <w:tc>
          <w:tcPr>
            <w:tcW w:w="5897" w:type="dxa"/>
          </w:tcPr>
          <w:p w:rsidR="0010455A" w:rsidRPr="00EE5A58" w:rsidRDefault="0010455A">
            <w:pPr>
              <w:pStyle w:val="HuvudRubrik"/>
              <w:rPr>
                <w:sz w:val="28"/>
              </w:rPr>
            </w:pPr>
            <w:r w:rsidRPr="00EE5A58">
              <w:t>Mervärdesskatt och finansiella tjänster</w:t>
            </w:r>
          </w:p>
        </w:tc>
      </w:tr>
      <w:tr w:rsidR="00000000" w:rsidRPr="00EE5A58">
        <w:tblPrEx>
          <w:tblCellMar>
            <w:top w:w="0" w:type="dxa"/>
            <w:left w:w="0" w:type="dxa"/>
            <w:bottom w:w="0" w:type="dxa"/>
            <w:right w:w="0" w:type="dxa"/>
          </w:tblCellMar>
        </w:tblPrEx>
        <w:trPr>
          <w:cantSplit/>
          <w:trHeight w:val="285"/>
        </w:trPr>
        <w:tc>
          <w:tcPr>
            <w:tcW w:w="7655" w:type="dxa"/>
            <w:gridSpan w:val="3"/>
          </w:tcPr>
          <w:p w:rsidR="0010455A" w:rsidRPr="00EE5A58" w:rsidRDefault="0010455A">
            <w:pPr>
              <w:pStyle w:val="Departement"/>
              <w:rPr>
                <w:sz w:val="28"/>
              </w:rPr>
            </w:pPr>
            <w:r w:rsidRPr="00EE5A58">
              <w:t>Finansdepartementet</w:t>
            </w:r>
          </w:p>
        </w:tc>
      </w:tr>
      <w:tr w:rsidR="00000000" w:rsidRPr="00EE5A58">
        <w:tblPrEx>
          <w:tblCellMar>
            <w:top w:w="0" w:type="dxa"/>
            <w:left w:w="0" w:type="dxa"/>
            <w:bottom w:w="0" w:type="dxa"/>
            <w:right w:w="0" w:type="dxa"/>
          </w:tblCellMar>
        </w:tblPrEx>
        <w:trPr>
          <w:cantSplit/>
          <w:trHeight w:val="240"/>
        </w:trPr>
        <w:tc>
          <w:tcPr>
            <w:tcW w:w="7655" w:type="dxa"/>
            <w:gridSpan w:val="3"/>
          </w:tcPr>
          <w:p w:rsidR="0010455A" w:rsidRPr="00EE5A58" w:rsidRDefault="0010455A">
            <w:pPr>
              <w:pStyle w:val="Dokumentdatum"/>
            </w:pPr>
            <w:r w:rsidRPr="00EE5A58">
              <w:t>2008-01-15</w:t>
            </w:r>
          </w:p>
        </w:tc>
      </w:tr>
      <w:tr w:rsidR="00000000" w:rsidRPr="00EE5A58">
        <w:tblPrEx>
          <w:tblCellMar>
            <w:top w:w="0" w:type="dxa"/>
            <w:left w:w="0" w:type="dxa"/>
            <w:bottom w:w="0" w:type="dxa"/>
            <w:right w:w="0" w:type="dxa"/>
          </w:tblCellMar>
        </w:tblPrEx>
        <w:trPr>
          <w:cantSplit/>
          <w:trHeight w:val="726"/>
        </w:trPr>
        <w:tc>
          <w:tcPr>
            <w:tcW w:w="7655" w:type="dxa"/>
            <w:gridSpan w:val="3"/>
            <w:vAlign w:val="bottom"/>
          </w:tcPr>
          <w:p w:rsidR="0010455A" w:rsidRPr="00EE5A58" w:rsidRDefault="0010455A">
            <w:pPr>
              <w:pStyle w:val="Dokumentbeteckning"/>
            </w:pPr>
            <w:r w:rsidRPr="00EE5A58">
              <w:t>Dokumentbeteckning</w:t>
            </w:r>
          </w:p>
        </w:tc>
      </w:tr>
      <w:tr w:rsidR="00000000" w:rsidRPr="00EE5A58">
        <w:tblPrEx>
          <w:tblCellMar>
            <w:top w:w="0" w:type="dxa"/>
            <w:left w:w="0" w:type="dxa"/>
            <w:bottom w:w="0" w:type="dxa"/>
            <w:right w:w="0" w:type="dxa"/>
          </w:tblCellMar>
        </w:tblPrEx>
        <w:trPr>
          <w:gridAfter w:val="1"/>
          <w:wAfter w:w="1560" w:type="dxa"/>
          <w:trHeight w:val="120"/>
        </w:trPr>
        <w:tc>
          <w:tcPr>
            <w:tcW w:w="6095" w:type="dxa"/>
            <w:gridSpan w:val="2"/>
          </w:tcPr>
          <w:p w:rsidR="0010455A" w:rsidRPr="00EE5A58" w:rsidRDefault="0010455A">
            <w:bookmarkStart w:id="0" w:name="KomNr"/>
            <w:bookmarkEnd w:id="0"/>
            <w:r w:rsidRPr="00EE5A58">
              <w:t>KOM(2007)747</w:t>
            </w:r>
          </w:p>
        </w:tc>
      </w:tr>
      <w:tr w:rsidR="00000000" w:rsidRPr="00EE5A58">
        <w:tblPrEx>
          <w:tblCellMar>
            <w:top w:w="0" w:type="dxa"/>
            <w:left w:w="0" w:type="dxa"/>
            <w:bottom w:w="0" w:type="dxa"/>
            <w:right w:w="0" w:type="dxa"/>
          </w:tblCellMar>
        </w:tblPrEx>
        <w:trPr>
          <w:gridAfter w:val="1"/>
          <w:wAfter w:w="1560" w:type="dxa"/>
          <w:trHeight w:val="120"/>
        </w:trPr>
        <w:tc>
          <w:tcPr>
            <w:tcW w:w="6095" w:type="dxa"/>
            <w:gridSpan w:val="2"/>
          </w:tcPr>
          <w:p w:rsidR="0010455A" w:rsidRPr="00EE5A58" w:rsidRDefault="0010455A">
            <w:pPr>
              <w:pStyle w:val="Dokumentbeteckning-titel"/>
            </w:pPr>
            <w:r w:rsidRPr="00EE5A58">
              <w:t>Förslag till rådets direktiv om ändring av direktiv 2006/112/EG om ett gemensamt system för mervärdesskatt i fråga om behandling av försäkring och finansiella tjänster</w:t>
            </w:r>
          </w:p>
        </w:tc>
      </w:tr>
      <w:tr w:rsidR="00000000" w:rsidRPr="00EE5A58">
        <w:tblPrEx>
          <w:tblCellMar>
            <w:top w:w="0" w:type="dxa"/>
            <w:left w:w="0" w:type="dxa"/>
            <w:bottom w:w="0" w:type="dxa"/>
            <w:right w:w="0" w:type="dxa"/>
          </w:tblCellMar>
        </w:tblPrEx>
        <w:trPr>
          <w:gridAfter w:val="1"/>
          <w:wAfter w:w="1560" w:type="dxa"/>
          <w:trHeight w:val="120"/>
        </w:trPr>
        <w:tc>
          <w:tcPr>
            <w:tcW w:w="6095" w:type="dxa"/>
            <w:gridSpan w:val="2"/>
          </w:tcPr>
          <w:p w:rsidR="0010455A" w:rsidRPr="00EE5A58" w:rsidRDefault="0010455A">
            <w:r w:rsidRPr="00EE5A58">
              <w:t>KOM(2007)746</w:t>
            </w:r>
          </w:p>
        </w:tc>
      </w:tr>
      <w:tr w:rsidR="00000000" w:rsidRPr="00EE5A58">
        <w:tblPrEx>
          <w:tblCellMar>
            <w:top w:w="0" w:type="dxa"/>
            <w:left w:w="0" w:type="dxa"/>
            <w:bottom w:w="0" w:type="dxa"/>
            <w:right w:w="0" w:type="dxa"/>
          </w:tblCellMar>
        </w:tblPrEx>
        <w:trPr>
          <w:gridAfter w:val="1"/>
          <w:wAfter w:w="1560" w:type="dxa"/>
          <w:trHeight w:val="120"/>
        </w:trPr>
        <w:tc>
          <w:tcPr>
            <w:tcW w:w="6095" w:type="dxa"/>
            <w:gridSpan w:val="2"/>
          </w:tcPr>
          <w:p w:rsidR="0010455A" w:rsidRPr="00EE5A58" w:rsidRDefault="0010455A">
            <w:pPr>
              <w:pStyle w:val="Dokumentbeteckning-titel"/>
            </w:pPr>
            <w:r w:rsidRPr="00EE5A58">
              <w:t>Förslag till rådets förordning om tillämpningsföreskrifter för direktiv 2006/112/EG om ett gemensamt system för mervärdesskatt i fråga om behandling av försäkring och finansiella tjänster</w:t>
            </w:r>
          </w:p>
        </w:tc>
      </w:tr>
    </w:tbl>
    <w:p w:rsidR="0010455A" w:rsidRPr="00EE5A58" w:rsidRDefault="0010455A"/>
    <w:p w:rsidR="0010455A" w:rsidRPr="00EE5A58" w:rsidRDefault="0010455A">
      <w:pPr>
        <w:pStyle w:val="Rubrik1"/>
        <w:numPr>
          <w:ilvl w:val="0"/>
          <w:numId w:val="0"/>
        </w:numPr>
      </w:pPr>
      <w:r w:rsidRPr="00EE5A58">
        <w:t>Sammanfattning</w:t>
      </w:r>
    </w:p>
    <w:p w:rsidR="0010455A" w:rsidRPr="00EE5A58" w:rsidRDefault="0010455A">
      <w:r w:rsidRPr="00EE5A58">
        <w:t>Syftet med lagförslaget är att öka förutsebarheten i regelverket om undantaget från mervärdesskatt för finansiella tjänster och försäkringstjänster i mervärdesskattedirektivet 2006/112/EG genom att förtydliga reglerna. Vidare är syftet med lagförslaget att minska effekterna av den dolda mervärdesskatt som i dag ingår i de finansiella företagens och försäkrings</w:t>
      </w:r>
      <w:r w:rsidRPr="00EE5A58">
        <w:softHyphen/>
        <w:t>företagens kostnader. Lagförslaget består av två delar, ett direktivförslag och ett förordnings</w:t>
      </w:r>
      <w:r w:rsidRPr="00EE5A58">
        <w:softHyphen/>
        <w:t>förslag. I direktivet räknas de olika tjänsterna upp som ska omfattas av undantaget och ges en närmare definition. Vidare föreslås att finansiella företag och försäkringsföretag ska ha rätt att välja om man önskar beskatta vissa transaktioner i verksamheten. Slutligen föreslås en ordning för att underlätta kostnadsdelning för företagen i de aktuella branscherna. I förordningen ges utfyllande exempel på de enligt</w:t>
      </w:r>
      <w:r w:rsidRPr="00EE5A58">
        <w:t xml:space="preserve"> direktivet undantagna finansiella tjänsterna och försäkringstjänsterna. Regeringen stöder kommis</w:t>
      </w:r>
      <w:r w:rsidRPr="00EE5A58">
        <w:softHyphen/>
        <w:t xml:space="preserve">sionens initiativ till en översyn av regelverket på detta område men anser att förslaget kan förbättras så att t.ex. lagtexten blir tydligare avseende behandlingen av olika tjänster i mervärdesskattehänseende.        </w:t>
      </w:r>
    </w:p>
    <w:p w:rsidR="0010455A" w:rsidRPr="00EE5A58" w:rsidRDefault="0010455A">
      <w:pPr>
        <w:pStyle w:val="Rubrik1"/>
      </w:pPr>
      <w:r w:rsidRPr="00EE5A58">
        <w:lastRenderedPageBreak/>
        <w:t>Förslaget</w:t>
      </w:r>
    </w:p>
    <w:p w:rsidR="0010455A" w:rsidRPr="00EE5A58" w:rsidRDefault="0010455A">
      <w:pPr>
        <w:pStyle w:val="Rubrik2"/>
      </w:pPr>
      <w:r w:rsidRPr="00EE5A58">
        <w:t>Ärendets bakgrund</w:t>
      </w:r>
    </w:p>
    <w:p w:rsidR="0010455A" w:rsidRPr="00EE5A58" w:rsidRDefault="0010455A">
      <w:r w:rsidRPr="00EE5A58">
        <w:t>Enligt artikel 135.1 a–g i mervärdesskattedirektivet 2006/112/EG ska medlemsstaterna undanta från mervärdesskatt försäkringstjänster, återförsäkringstjänster samt en rad finansiella tjänster såsom beviljande av och förmedling av krediter, förmedling av kreditgarantier eller andra säkerheter, transaktioner avseende spar- och transaktionskonton, betalningar och överföringar, transaktioner rörande aktier, andelar i bolag, obligationer m.m. Undantagsregeln i direktivet har kommit att tolkas olika inom EU vilke</w:t>
      </w:r>
      <w:r w:rsidRPr="00EE5A58">
        <w:t>t har lett till konkurrenssnedvridning på marknaden för finansiella tjänster och hindrat den fortsatta integrationen av finansmarknaderna inom EU. Inom den Europeiska kommissionen har sedan början av år 2006 bedrivits ett arbete med att ta fram ett underlag för ett lagförslag som preciserar och förbättrar det befintliga undantaget i mervärdesskatte</w:t>
      </w:r>
      <w:r w:rsidRPr="00EE5A58">
        <w:softHyphen/>
        <w:t>direktivet. Arbetet har bedrivits tillsammans med medlemsstaterna. Samman</w:t>
      </w:r>
      <w:r w:rsidRPr="00EE5A58">
        <w:softHyphen/>
        <w:t>lagt har kommissionen hållit 14 arbetsgrupps</w:t>
      </w:r>
      <w:r w:rsidRPr="00EE5A58">
        <w:softHyphen/>
        <w:t>möten. På svensk nivå har Finansdepartemen</w:t>
      </w:r>
      <w:r w:rsidRPr="00EE5A58">
        <w:t xml:space="preserve">tet löpande haft samråd med företrädare för finans- och försäkringsbranschen och Skatteverket i syfte att ta till vara svenska intressen och bidra till förbättringar av lagförslaget.  </w:t>
      </w:r>
    </w:p>
    <w:p w:rsidR="0010455A" w:rsidRPr="00EE5A58" w:rsidRDefault="0010455A">
      <w:pPr>
        <w:pStyle w:val="Rubrik2"/>
      </w:pPr>
      <w:r w:rsidRPr="00EE5A58">
        <w:t>Förslagets innehåll</w:t>
      </w:r>
    </w:p>
    <w:p w:rsidR="0010455A" w:rsidRPr="00EE5A58" w:rsidRDefault="0010455A">
      <w:r w:rsidRPr="00EE5A58">
        <w:t>Lagförslaget består av två delar, ett direktivförslag som ändrar mervärdesskattedirektivet 2006/112/EG och ett förordningsförslag med när</w:t>
      </w:r>
      <w:r w:rsidRPr="00EE5A58">
        <w:softHyphen/>
        <w:t>mare tillämpningsföreskrifter för bestämmelserna i mervärdesskatte</w:t>
      </w:r>
      <w:r w:rsidRPr="00EE5A58">
        <w:softHyphen/>
        <w:t>direk</w:t>
      </w:r>
      <w:r w:rsidRPr="00EE5A58">
        <w:softHyphen/>
        <w:t>tivet. I direktivförslaget föreslås en indelning av försäkringstjänster och finansiella tjänster i sju grupper; 1. försäkring och återförsäkring, 2. beviljande av krediter och garantier för skulder, 3. insättning och kontoföring, 4. valutaväxling och tillhandahållande av betalningsmedel, 5. tillhandahållande av värdepapper, 6. förmedling i samband med försäkrings</w:t>
      </w:r>
      <w:r w:rsidRPr="00EE5A58">
        <w:softHyphen/>
        <w:t>transaktioner och finansiella transaktioner och 7. förvaltning av invest</w:t>
      </w:r>
      <w:r w:rsidRPr="00EE5A58">
        <w:t>erings</w:t>
      </w:r>
      <w:r w:rsidRPr="00EE5A58">
        <w:softHyphen/>
        <w:t>fonder. De olika kategorierna av tjänster definieras närmare i en separat artikel. Villkoren för tillämpningen av undantaget från skatteplikt bygger enligt förslaget på objektiva ekonomiska kriterier som frikopplar dem från tolkningar som bygger på nationella privaträttsliga begrepp. Vidare förslås att undantaget även ska omfatta tjänster som ingår som en del av en finansiell tjänst eller försäkringstjänst och som har den specifika och väsentliga karaktären av en sådan undantagen tjänst. Det föreslås</w:t>
      </w:r>
      <w:r w:rsidRPr="00EE5A58">
        <w:t xml:space="preserve"> också ett gemensamt och enhetligt förmedlingsbegrepp för försäkring och finansiella tjänster. Finansiella företag och försäkringsföretag ska vidare enligt förslaget ha rätt att beskatta finansiella transaktioner eller försäkringstransaktioner. Valmöjlighet ges således det enskilda företaget. I dag finns en valmöjlighet i mervärdes</w:t>
      </w:r>
      <w:r w:rsidRPr="00EE5A58">
        <w:softHyphen/>
        <w:t>skatte</w:t>
      </w:r>
      <w:r w:rsidRPr="00EE5A58">
        <w:softHyphen/>
        <w:t>direktivet för medlemsstaterna att medge beskattningsbara personer rätt att beskatta finansiella tjänster. En sådan valmöjlighet tillämpas av Frankrike och Tyskland. Vidar</w:t>
      </w:r>
      <w:r w:rsidRPr="00EE5A58">
        <w:t>e föreslås en metod för kostnadsdelning som innebär att en grupp av finansiella företag eller försäkringsföretag tillsammans kan göra gemensamma inköp vilka kan fördelas på de enskilda företagen utan att detta får särskilda mervärdesskatte</w:t>
      </w:r>
      <w:r w:rsidRPr="00EE5A58">
        <w:softHyphen/>
        <w:t>konsekvenser (s.k. ”cost sharing” och ”pooling”).</w:t>
      </w:r>
    </w:p>
    <w:p w:rsidR="0010455A" w:rsidRPr="00EE5A58" w:rsidRDefault="0010455A">
      <w:r w:rsidRPr="00EE5A58">
        <w:t>I förordningsförslaget ges exempel på tjänster som omfattas av de olika kategorierna av tjänster enligt direktivförslaget. Vidare exemplifieras förmedlingstjänster samt tjänster som har den specifika och väsentliga karaktä</w:t>
      </w:r>
      <w:r w:rsidRPr="00EE5A58">
        <w:t xml:space="preserve">ren av de olika undantagna tjänsterna.     </w:t>
      </w:r>
    </w:p>
    <w:p w:rsidR="0010455A" w:rsidRPr="00EE5A58" w:rsidRDefault="0010455A">
      <w:pPr>
        <w:pStyle w:val="Rubrik2"/>
      </w:pPr>
      <w:r w:rsidRPr="00EE5A58">
        <w:t>Gällande svenska regler och förslagets effekt på dessa</w:t>
      </w:r>
    </w:p>
    <w:p w:rsidR="0010455A" w:rsidRPr="00EE5A58" w:rsidRDefault="0010455A">
      <w:r w:rsidRPr="00EE5A58">
        <w:t>Reglerna om undantag för mervärdesskatt på finansiella tjänster och försäkringstjänster finns i 3 kap. 9</w:t>
      </w:r>
      <w:r w:rsidRPr="00EE5A58">
        <w:softHyphen/>
        <w:t>–10 §§ mervärdesskattelagen (1994:200). Här stadgas att bank- och finansieringstjänster samt omsättning som utgör värdepappershandel undantas från skatteplikt. Med värdepappershandel förstås omsättning och förmedling av aktier, andra andelar och fordringar, oavsett om de representeras av värdepapper eller inte samt förvaltning av investeringsfonder enligt lagen (2004:46) om investeringsfonder. Vidare stadgas avseende försäkringstjänster att omsättning av sådana samt återförsäkringstjänster, inbegripet tjän</w:t>
      </w:r>
      <w:r w:rsidRPr="00EE5A58">
        <w:t>ster av försäkringsmäklare eller andra förmedlare av försäkringar och som avser försäkringar eller återförsäkringar undantas från skatteplikt. De svenska reglerna, som är allmänt utformade, befanns i huvudsak stå i överens</w:t>
      </w:r>
      <w:r w:rsidRPr="00EE5A58">
        <w:softHyphen/>
        <w:t>stämmelse med mervärdesskattedirektivets regler i samband med den genomgång av mervärdesskattelagen som gjordes inför Sveriges anslutning till EU (prop. 1994/95:57). De svenska reglerna tolkas i ljuset av EG-reglerna samt mot bakgrund av praxis från EG-domstolen. Om lagförslaget antas tor</w:t>
      </w:r>
      <w:r w:rsidRPr="00EE5A58">
        <w:t xml:space="preserve">de en justering av de svenska reglerna i förtydligande syfte bli nödvändig.    </w:t>
      </w:r>
    </w:p>
    <w:p w:rsidR="0010455A" w:rsidRPr="00EE5A58" w:rsidRDefault="0010455A">
      <w:pPr>
        <w:pStyle w:val="Rubrik2"/>
      </w:pPr>
      <w:r w:rsidRPr="00EE5A58">
        <w:t>Budgetära konsekvenser</w:t>
      </w:r>
    </w:p>
    <w:p w:rsidR="0010455A" w:rsidRPr="00EE5A58" w:rsidRDefault="0010455A">
      <w:r w:rsidRPr="00EE5A58">
        <w:t>Kommissionen har i sin konsekvensbedömning analyserat den inverkan lagförslaget kan förväntas få för rättssäkerheten samt förslagets finansiella effekter för företag och medlemsstaters ekonomi. Redogörelsen finns i dokument SEC(2007) 1554 som återfinns på EU:s hemsida http://europa.eu. Kommissionen pekar på att lagförslaget bör leda till en större harmonisering vid tillämpningen av reglerna på området och därmed ökad konkurrensneutralitet på marknaden för finansiella tjänster och försäkrings</w:t>
      </w:r>
      <w:r w:rsidRPr="00EE5A58">
        <w:softHyphen/>
        <w:t>tjänster inom EU. Kommissionen pekar emellertid på att de förslag som avser undantag från mervärdesskatt vid omsättning som sker i samband med kostnadsdelning mellan finansiella företag samt den föreslagna val</w:t>
      </w:r>
      <w:r w:rsidRPr="00EE5A58">
        <w:softHyphen/>
        <w:t>möjligheten att beskatta vissa transaktioner skulle kunna få vissa negativa finansiella effekter för medlemsstaterna. Om en sådan effekt uppstår är beroende av om de finansiella företagens beteenden ändras avseende t.ex. omfattningen av upphandling av tjänster från extern tillhandahållare i stället f</w:t>
      </w:r>
      <w:r w:rsidRPr="00EE5A58">
        <w:t>ör egenproduktion av motsvarande tjänst. I avsaknad av kompletta siffer</w:t>
      </w:r>
      <w:r w:rsidRPr="00EE5A58">
        <w:softHyphen/>
        <w:t xml:space="preserve">underlag är det enligt kommissionen emellertid inte i nuläget möjligt att kvantifiera de eventuella finansiella konsekvenserna av lagförslaget.      </w:t>
      </w:r>
    </w:p>
    <w:p w:rsidR="0010455A" w:rsidRPr="00EE5A58" w:rsidRDefault="0010455A">
      <w:pPr>
        <w:pStyle w:val="Rubrik1"/>
      </w:pPr>
      <w:r w:rsidRPr="00EE5A58">
        <w:t>Ståndpunkter</w:t>
      </w:r>
    </w:p>
    <w:p w:rsidR="0010455A" w:rsidRPr="00EE5A58" w:rsidRDefault="0010455A">
      <w:pPr>
        <w:pStyle w:val="Rubrik2"/>
      </w:pPr>
      <w:r w:rsidRPr="00EE5A58">
        <w:t>Preliminär svensk ståndpunkt</w:t>
      </w:r>
    </w:p>
    <w:p w:rsidR="0010455A" w:rsidRPr="00EE5A58" w:rsidRDefault="0010455A">
      <w:pPr>
        <w:autoSpaceDE w:val="0"/>
        <w:autoSpaceDN w:val="0"/>
        <w:adjustRightInd w:val="0"/>
        <w:spacing w:before="120" w:line="240" w:lineRule="auto"/>
        <w:rPr>
          <w:color w:val="000000"/>
          <w:sz w:val="18"/>
          <w:szCs w:val="18"/>
        </w:rPr>
      </w:pPr>
      <w:r w:rsidRPr="00EE5A58">
        <w:t>Regeringen är positiv till att en översyn görs av de nuvarande reglerna om undantag från mervärdesskatt för finansiella tjänster och försäkringstjänster. Det är enligt svensk uppfattning viktigt att det blir en harmoniserad tillämpning av regelverket inom EU för att skapa konkurrensneutralitet på EU:s inre marknad för dessa tjänster. Kommissionens lagförslag är emellertid oklart i flera delar och bör därför bearbetas ytterligare, bland annat så att det tydligare framgår hur exempelvis betal- och överföring</w:t>
      </w:r>
      <w:r w:rsidRPr="00EE5A58">
        <w:t>stjänster, depåtjänster (”custody services”) och derivat ska behandlas i mervärdes</w:t>
      </w:r>
      <w:r w:rsidRPr="00EE5A58">
        <w:softHyphen/>
        <w:t xml:space="preserve">skattehänseende. </w:t>
      </w:r>
      <w:r w:rsidRPr="00EE5A58">
        <w:rPr>
          <w:color w:val="000000"/>
          <w:sz w:val="18"/>
          <w:szCs w:val="18"/>
        </w:rPr>
        <w:t>Det är viktigt att finansmarknadernas funktionssätt inte försämras.</w:t>
      </w:r>
    </w:p>
    <w:p w:rsidR="0010455A" w:rsidRPr="00EE5A58" w:rsidRDefault="0010455A">
      <w:pPr>
        <w:autoSpaceDE w:val="0"/>
        <w:autoSpaceDN w:val="0"/>
        <w:adjustRightInd w:val="0"/>
        <w:spacing w:before="0" w:line="240" w:lineRule="auto"/>
        <w:jc w:val="left"/>
        <w:rPr>
          <w:color w:val="000000"/>
          <w:sz w:val="18"/>
          <w:szCs w:val="18"/>
        </w:rPr>
      </w:pPr>
    </w:p>
    <w:p w:rsidR="0010455A" w:rsidRPr="00EE5A58" w:rsidRDefault="0010455A">
      <w:pPr>
        <w:pStyle w:val="Rubrik2"/>
      </w:pPr>
      <w:r w:rsidRPr="00EE5A58">
        <w:t>Medlemsstaternas ståndpunkter</w:t>
      </w:r>
    </w:p>
    <w:p w:rsidR="0010455A" w:rsidRPr="00EE5A58" w:rsidRDefault="0010455A">
      <w:r w:rsidRPr="00EE5A58">
        <w:t>Medlemsstaterna är positiva till att en översyn görs av nuvarande regler i syfte att skapa en större likformighet i tillämpningen av regelverket inom EU. Medlemsländerna har emellertid framfört att man i princip inte är beredd att acceptera negativa finansiella effekter av förslagen. Flera länder har påpekat att lagförslaget är oklart och bör preciseras ytterligare.</w:t>
      </w:r>
    </w:p>
    <w:p w:rsidR="0010455A" w:rsidRPr="00EE5A58" w:rsidRDefault="0010455A">
      <w:pPr>
        <w:pStyle w:val="Rubrik2"/>
      </w:pPr>
      <w:r w:rsidRPr="00EE5A58">
        <w:t>Institutionernas ståndpunkter</w:t>
      </w:r>
    </w:p>
    <w:p w:rsidR="0010455A" w:rsidRPr="00EE5A58" w:rsidRDefault="0010455A">
      <w:r w:rsidRPr="00EE5A58">
        <w:t>Institutionerna har ännu inte lämnat några yttranden.</w:t>
      </w:r>
    </w:p>
    <w:p w:rsidR="0010455A" w:rsidRPr="00EE5A58" w:rsidRDefault="0010455A">
      <w:pPr>
        <w:pStyle w:val="Rubrik2"/>
      </w:pPr>
      <w:r w:rsidRPr="00EE5A58">
        <w:t>Remissinstansernas ståndpunkter</w:t>
      </w:r>
    </w:p>
    <w:p w:rsidR="0010455A" w:rsidRPr="00EE5A58" w:rsidRDefault="0010455A">
      <w:r w:rsidRPr="00EE5A58">
        <w:t xml:space="preserve">Förslaget är remitterat den 19 december 2007. Några remissvar har ännu inte inkommit.  </w:t>
      </w:r>
    </w:p>
    <w:p w:rsidR="0010455A" w:rsidRPr="00EE5A58" w:rsidRDefault="0010455A">
      <w:pPr>
        <w:pStyle w:val="Rubrik1"/>
      </w:pPr>
      <w:r w:rsidRPr="00EE5A58">
        <w:t>Förslagets förutsättningar</w:t>
      </w:r>
    </w:p>
    <w:p w:rsidR="0010455A" w:rsidRPr="00EE5A58" w:rsidRDefault="0010455A">
      <w:pPr>
        <w:pStyle w:val="Rubrik2"/>
      </w:pPr>
      <w:r w:rsidRPr="00EE5A58">
        <w:t>Rättslig grund och beslutsförfarande</w:t>
      </w:r>
    </w:p>
    <w:p w:rsidR="0010455A" w:rsidRPr="00EE5A58" w:rsidRDefault="0010455A">
      <w:r w:rsidRPr="00EE5A58">
        <w:t>När det gäller kommissionens förslag till ändring av mervärdesskatte</w:t>
      </w:r>
      <w:r w:rsidRPr="00EE5A58">
        <w:softHyphen/>
        <w:t>direktivet 2006/112/EG utgör artikel 93 i EG-fördraget (f.d. artikel 99 i Romfördraget) rättslig grund. Nämnda artikel 93 stadgar att rådet genom enhälligt beslut på förslag av kommissionen och efter att ha hört Europaparlamentet och den Ekonomiska och sociala kommittén, ska anta bestämmelser om harmoniseringen av bl.a. omsättningsskatter, för att säkerställa att den inre marknaden fungerar. Beträffande förordningsförslaget utgör artikel 397 i mervärdesskattedirektivet rättslig grund. Enligt den bestämmels</w:t>
      </w:r>
      <w:r w:rsidRPr="00EE5A58">
        <w:t xml:space="preserve">en ska rådet enhälligt på kommissionens förslag besluta om nödvändiga åtgärder för tillämpningen av mervärdesskattedirektivet. </w:t>
      </w:r>
    </w:p>
    <w:p w:rsidR="0010455A" w:rsidRPr="00EE5A58" w:rsidRDefault="0010455A">
      <w:pPr>
        <w:pStyle w:val="Rubrik2"/>
      </w:pPr>
      <w:r w:rsidRPr="00EE5A58">
        <w:t>Subsidiaritets- och proportionalitetsprincipen</w:t>
      </w:r>
    </w:p>
    <w:p w:rsidR="0010455A" w:rsidRPr="00EE5A58" w:rsidRDefault="0010455A">
      <w:r w:rsidRPr="00EE5A58">
        <w:t>Kommissionen anför att subsidiaritetsprincipen inte är tillämplig eftersom förslaget avser ett område där gemenskapen är ensamt behörig. Regeringen delar denna uppfattning.</w:t>
      </w:r>
    </w:p>
    <w:p w:rsidR="0010455A" w:rsidRPr="00EE5A58" w:rsidRDefault="0010455A">
      <w:r w:rsidRPr="00EE5A58">
        <w:t>Kommissionen anför vidare att den anser att förslaget är förenligt med proportionalitetsprincipen av följande skäl. Det kan endast finnas en korrekt tolkning av reglerna om undantag från mervärdesskatt för försäkringstjänster och finansiella tjänster som är tillämplig inom gemenskapen. Denna målsättning kan endast uppnås om genom att ändra de befintliga reglerna i mervärdesskatte</w:t>
      </w:r>
      <w:r w:rsidRPr="00EE5A58">
        <w:softHyphen/>
        <w:t>direktivet. Det krävs lämpliga instrument för att finansiella företag ska kunna fördela kostnader som fungerar även vid gränsöverskridande aktivitet. Genom att basera de nya reglerna på ekonomiska kriterier minskar risken för eventuella tvister och skapar förutsättningar för att kunna öka förutsebarheten i regelverket. Därmed kan även de administrativa kostnaderna för att uppfylla regelverket reduceras. Regeringen delar kommissionens uppfattning att förslaget är förenligt med proportionalitetsprincipen.</w:t>
      </w:r>
    </w:p>
    <w:p w:rsidR="0010455A" w:rsidRPr="00EE5A58" w:rsidRDefault="0010455A">
      <w:pPr>
        <w:pStyle w:val="Rubrik1"/>
      </w:pPr>
      <w:r w:rsidRPr="00EE5A58">
        <w:t>Öv</w:t>
      </w:r>
      <w:r w:rsidRPr="00EE5A58">
        <w:t>rigt</w:t>
      </w:r>
    </w:p>
    <w:p w:rsidR="0010455A" w:rsidRPr="00EE5A58" w:rsidRDefault="0010455A">
      <w:pPr>
        <w:pStyle w:val="Rubrik2"/>
      </w:pPr>
      <w:r w:rsidRPr="00EE5A58">
        <w:t>Fortsatt behandling av ärendet</w:t>
      </w:r>
    </w:p>
    <w:p w:rsidR="0010455A" w:rsidRPr="00EE5A58" w:rsidRDefault="0010455A">
      <w:r w:rsidRPr="00EE5A58">
        <w:t>Lagförslaget kommer att diskuteras i rådsarbetsgruppen under våren 2008.</w:t>
      </w:r>
    </w:p>
    <w:p w:rsidR="0010455A" w:rsidRPr="00EE5A58" w:rsidRDefault="0010455A">
      <w:pPr>
        <w:pStyle w:val="Rubrik2"/>
      </w:pPr>
      <w:r w:rsidRPr="00EE5A58">
        <w:t>Fackuttryck/termer</w:t>
      </w:r>
    </w:p>
    <w:p w:rsidR="0010455A" w:rsidRPr="00EE5A58" w:rsidRDefault="0010455A">
      <w:r w:rsidRPr="00EE5A58">
        <w:t>–</w:t>
      </w:r>
    </w:p>
    <w:sectPr w:rsidR="0010455A" w:rsidRPr="00EE5A5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55A" w:rsidRPr="00EE5A58" w:rsidRDefault="0010455A">
      <w:r w:rsidRPr="00EE5A58">
        <w:separator/>
      </w:r>
    </w:p>
  </w:endnote>
  <w:endnote w:type="continuationSeparator" w:id="0">
    <w:p w:rsidR="0010455A" w:rsidRPr="00EE5A58" w:rsidRDefault="0010455A">
      <w:r w:rsidRPr="00EE5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1045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10455A">
    <w:pPr>
      <w:pStyle w:val="SidfotH"/>
      <w:framePr w:wrap="around"/>
    </w:pPr>
    <w:r w:rsidRPr="00EE5A58">
      <w:t>2</w:t>
    </w:r>
  </w:p>
  <w:p w:rsidR="0010455A" w:rsidRPr="00EE5A58" w:rsidRDefault="001045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10455A">
    <w:pPr>
      <w:pStyle w:val="SidfotH"/>
      <w:framePr w:wrap="around"/>
    </w:pPr>
    <w:r w:rsidRPr="00EE5A58">
      <w:t>1</w:t>
    </w:r>
  </w:p>
  <w:p w:rsidR="0010455A" w:rsidRPr="00EE5A58" w:rsidRDefault="00104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55A" w:rsidRPr="00EE5A58" w:rsidRDefault="0010455A">
      <w:r w:rsidRPr="00EE5A58">
        <w:separator/>
      </w:r>
    </w:p>
  </w:footnote>
  <w:footnote w:type="continuationSeparator" w:id="0">
    <w:p w:rsidR="0010455A" w:rsidRPr="00EE5A58" w:rsidRDefault="0010455A">
      <w:r w:rsidRPr="00EE5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1045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10455A">
    <w:pPr>
      <w:pStyle w:val="Kantrubrik"/>
      <w:framePr w:h="1157" w:hRule="exact" w:wrap="around" w:y="738"/>
    </w:pPr>
    <w:r w:rsidRPr="00EE5A58">
      <w:t>2007/08:FPM55</w:t>
    </w:r>
  </w:p>
  <w:p w:rsidR="0010455A" w:rsidRPr="00EE5A58" w:rsidRDefault="001045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55A" w:rsidRPr="00EE5A58" w:rsidRDefault="00EE5A58">
    <w:pPr>
      <w:pStyle w:val="Sidhuvud"/>
    </w:pPr>
    <w:r w:rsidRPr="00EE5A5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2975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55A" w:rsidRDefault="0010455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0455A" w:rsidRDefault="0010455A">
                    <w:pPr>
                      <w:pStyle w:val="Logo"/>
                    </w:pPr>
                    <w:r>
                      <w:object w:dxaOrig="840" w:dyaOrig="1545">
                        <v:shape id="_x0000_i1025" type="#_x0000_t75" style="width:42pt;height:77.15pt" filled="t">
                          <v:imagedata r:id="rId1" o:title=""/>
                        </v:shape>
                        <o:OLEObject Type="Embed" ProgID="Word.Picture.8" ShapeID="_x0000_i1025" DrawAspect="Content" ObjectID="_18274962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2433194">
    <w:abstractNumId w:val="4"/>
  </w:num>
  <w:num w:numId="2" w16cid:durableId="233007269">
    <w:abstractNumId w:val="1"/>
  </w:num>
  <w:num w:numId="3" w16cid:durableId="1559196604">
    <w:abstractNumId w:val="2"/>
  </w:num>
  <w:num w:numId="4" w16cid:durableId="1072195362">
    <w:abstractNumId w:val="3"/>
  </w:num>
  <w:num w:numId="5" w16cid:durableId="1639334876">
    <w:abstractNumId w:val="5"/>
  </w:num>
  <w:num w:numId="6" w16cid:durableId="22040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5"/>
    <w:docVar w:name="Ar" w:val="2007/08"/>
    <w:docVar w:name="Dep" w:val="Finansdepartementet"/>
    <w:docVar w:name="DepWeb" w:val="Finansdepartementet"/>
    <w:docVar w:name="GDB1" w:val="KOM(2007)747"/>
    <w:docVar w:name="GDB10" w:val=" "/>
    <w:docVar w:name="GDB11" w:val=" "/>
    <w:docVar w:name="GDB12" w:val=" "/>
    <w:docVar w:name="GDB13" w:val=" "/>
    <w:docVar w:name="GDB2" w:val="KOM(2007)746"/>
    <w:docVar w:name="GDB3" w:val=" "/>
    <w:docVar w:name="GDB4" w:val=" "/>
    <w:docVar w:name="GDB5" w:val=" "/>
    <w:docVar w:name="GDB6" w:val=" "/>
    <w:docVar w:name="GDB7" w:val=" "/>
    <w:docVar w:name="GDB8" w:val=" "/>
    <w:docVar w:name="GDB9" w:val=" "/>
    <w:docVar w:name="GDT1" w:val="Förslag till rådets direktiv om ändring av direktiv 2006/112/EG om ett gemensamt system för mervärdesskatt i fråga om behandling av försäkring och finansiella tjänster"/>
    <w:docVar w:name="GDT10" w:val=" "/>
    <w:docVar w:name="GDT11" w:val=" "/>
    <w:docVar w:name="GDT12" w:val=" "/>
    <w:docVar w:name="GDT13" w:val=" "/>
    <w:docVar w:name="GDT2" w:val="Förslag till rådets förordning om tillämpningsföreskrifter för direktiv 2006/112/EG om ett gemensamt system för mervärdesskatt i fråga om behandling av försäkring och finansiella tjänster"/>
    <w:docVar w:name="GDT3" w:val=" "/>
    <w:docVar w:name="GDT4" w:val=" "/>
    <w:docVar w:name="GDT5" w:val=" "/>
    <w:docVar w:name="GDT6" w:val=" "/>
    <w:docVar w:name="GDT7" w:val=" "/>
    <w:docVar w:name="GDT8" w:val=" "/>
    <w:docVar w:name="GDT9" w:val=" "/>
    <w:docVar w:name="GDTWeb" w:val="KOM(2007)747, KOM(2007)746"/>
    <w:docVar w:name="Nr" w:val="55"/>
    <w:docVar w:name="RD_APPVERSION" w:val="3.00"/>
    <w:docVar w:name="Rub" w:val="Mervärdesskatt och finansiella tjänster"/>
    <w:docVar w:name="UppDat" w:val="2008-01-15"/>
    <w:docVar w:name="Utsk" w:val="Skatteutskottet"/>
  </w:docVars>
  <w:rsids>
    <w:rsidRoot w:val="00596647"/>
    <w:rsid w:val="0010455A"/>
    <w:rsid w:val="00596647"/>
    <w:rsid w:val="00EE5A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AAE9D8-155C-4C24-B324-60459719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1405</Words>
  <Characters>9673</Characters>
  <Application>Microsoft Office Word</Application>
  <DocSecurity>4</DocSecurity>
  <Lines>175</Lines>
  <Paragraphs>46</Paragraphs>
  <ScaleCrop>false</ScaleCrop>
  <HeadingPairs>
    <vt:vector size="2" baseType="variant">
      <vt:variant>
        <vt:lpstr>Rubrik</vt:lpstr>
      </vt:variant>
      <vt:variant>
        <vt:i4>1</vt:i4>
      </vt:variant>
    </vt:vector>
  </HeadingPairs>
  <TitlesOfParts>
    <vt:vector size="1" baseType="lpstr">
      <vt:lpstr>FPM_200708__55</vt:lpstr>
    </vt:vector>
  </TitlesOfParts>
  <Company>RD-DTSL</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FPM_200708__55</dc:title>
  <dc:subject>FPM_200708__55</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2008-01-15T10:39:00Z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KOM(2007)747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Mervärdesskatt och finansiella tjänster</vt:lpwstr>
  </property>
  <property fmtid="{D5CDD505-2E9C-101B-9397-08002B2CF9AE}" pid="8" name="UppDat">
    <vt:lpwstr>2008-01-15</vt:lpwstr>
  </property>
  <property fmtid="{D5CDD505-2E9C-101B-9397-08002B2CF9AE}" pid="9" name="AnkDat">
    <vt:lpwstr>2008-01-15</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KOM(2007)746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ies>
</file>